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rFonts w:hint="default" w:ascii="Times New Roman" w:hAnsi="Times New Roman" w:eastAsia="宋体" w:cs="Times New Roman"/>
          <w:color w:val="FF0000"/>
          <w:sz w:val="20"/>
        </w:rPr>
      </w:pPr>
      <w:r>
        <w:rPr>
          <w:rFonts w:hint="eastAsia"/>
          <w:color w:val="FF0000"/>
          <w:sz w:val="36"/>
          <w:szCs w:val="36"/>
        </w:rPr>
        <w:drawing>
          <wp:anchor distT="0" distB="0" distL="114300" distR="114300" simplePos="0" relativeHeight="251660288" behindDoc="0" locked="0" layoutInCell="1" allowOverlap="1">
            <wp:simplePos x="0" y="0"/>
            <wp:positionH relativeFrom="column">
              <wp:posOffset>-838835</wp:posOffset>
            </wp:positionH>
            <wp:positionV relativeFrom="paragraph">
              <wp:posOffset>-844550</wp:posOffset>
            </wp:positionV>
            <wp:extent cx="1007745" cy="598805"/>
            <wp:effectExtent l="0" t="0" r="1905" b="10795"/>
            <wp:wrapNone/>
            <wp:docPr id="35" name="图片 1" descr="昊晟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descr="昊晟logo"/>
                    <pic:cNvPicPr>
                      <a:picLocks noChangeAspect="1"/>
                    </pic:cNvPicPr>
                  </pic:nvPicPr>
                  <pic:blipFill>
                    <a:blip r:embed="rId15"/>
                    <a:srcRect b="53210"/>
                    <a:stretch>
                      <a:fillRect/>
                    </a:stretch>
                  </pic:blipFill>
                  <pic:spPr>
                    <a:xfrm>
                      <a:off x="0" y="0"/>
                      <a:ext cx="1007745" cy="598805"/>
                    </a:xfrm>
                    <a:prstGeom prst="rect">
                      <a:avLst/>
                    </a:prstGeom>
                    <a:noFill/>
                    <a:ln>
                      <a:noFill/>
                    </a:ln>
                  </pic:spPr>
                </pic:pic>
              </a:graphicData>
            </a:graphic>
          </wp:anchor>
        </w:drawing>
      </w:r>
    </w:p>
    <w:p>
      <w:pPr>
        <w:pStyle w:val="11"/>
        <w:rPr>
          <w:rFonts w:hint="default" w:ascii="Times New Roman" w:hAnsi="Times New Roman" w:eastAsia="宋体" w:cs="Times New Roman"/>
          <w:color w:val="FF0000"/>
          <w:sz w:val="20"/>
        </w:rPr>
      </w:pPr>
    </w:p>
    <w:p>
      <w:pPr>
        <w:pStyle w:val="11"/>
        <w:rPr>
          <w:rFonts w:hint="default" w:ascii="Times New Roman" w:hAnsi="Times New Roman" w:eastAsia="宋体" w:cs="Times New Roman"/>
          <w:color w:val="FF0000"/>
          <w:sz w:val="20"/>
        </w:rPr>
      </w:pPr>
    </w:p>
    <w:p>
      <w:pPr>
        <w:pStyle w:val="11"/>
        <w:rPr>
          <w:rFonts w:hint="default" w:ascii="Times New Roman" w:hAnsi="Times New Roman" w:eastAsia="宋体" w:cs="Times New Roman"/>
          <w:color w:val="FF0000"/>
          <w:sz w:val="20"/>
        </w:rPr>
      </w:pPr>
    </w:p>
    <w:p>
      <w:pPr>
        <w:rPr>
          <w:rFonts w:hint="default" w:ascii="Times New Roman" w:hAnsi="Times New Roman" w:eastAsia="宋体" w:cs="Times New Roman"/>
        </w:rPr>
      </w:pPr>
    </w:p>
    <w:p>
      <w:pPr>
        <w:jc w:val="center"/>
        <w:rPr>
          <w:rFonts w:hint="default" w:ascii="Times New Roman" w:hAnsi="Times New Roman" w:eastAsia="宋体" w:cs="Times New Roman"/>
          <w:b/>
          <w:bCs/>
          <w:sz w:val="48"/>
          <w:szCs w:val="48"/>
          <w:lang w:eastAsia="zh-CN"/>
        </w:rPr>
      </w:pPr>
      <w:r>
        <w:rPr>
          <w:rFonts w:hint="default" w:ascii="Times New Roman" w:hAnsi="Times New Roman" w:eastAsia="宋体" w:cs="Times New Roman"/>
          <w:b/>
          <w:bCs/>
          <w:sz w:val="48"/>
          <w:szCs w:val="48"/>
          <w:lang w:eastAsia="zh-CN"/>
        </w:rPr>
        <w:t>缔壹电工科技（江苏）有限公司缔壹电工科技锂电池胶带项目（</w:t>
      </w:r>
      <w:r>
        <w:rPr>
          <w:rFonts w:hint="default" w:ascii="Times New Roman" w:hAnsi="Times New Roman" w:eastAsia="宋体" w:cs="Times New Roman"/>
          <w:b/>
          <w:bCs/>
          <w:sz w:val="48"/>
          <w:szCs w:val="48"/>
          <w:lang w:val="en-US" w:eastAsia="zh-CN"/>
        </w:rPr>
        <w:t>阶段验收</w:t>
      </w:r>
      <w:r>
        <w:rPr>
          <w:rFonts w:hint="default" w:ascii="Times New Roman" w:hAnsi="Times New Roman" w:eastAsia="宋体" w:cs="Times New Roman"/>
          <w:b/>
          <w:bCs/>
          <w:sz w:val="48"/>
          <w:szCs w:val="48"/>
          <w:lang w:eastAsia="zh-CN"/>
        </w:rPr>
        <w:t>）</w:t>
      </w:r>
    </w:p>
    <w:p>
      <w:pPr>
        <w:jc w:val="center"/>
        <w:rPr>
          <w:rFonts w:hint="default" w:ascii="Times New Roman" w:hAnsi="Times New Roman" w:eastAsia="宋体" w:cs="Times New Roman"/>
          <w:b/>
          <w:bCs/>
          <w:sz w:val="48"/>
          <w:szCs w:val="48"/>
        </w:rPr>
      </w:pPr>
      <w:r>
        <w:rPr>
          <w:rFonts w:hint="default" w:ascii="Times New Roman" w:hAnsi="Times New Roman" w:eastAsia="宋体" w:cs="Times New Roman"/>
          <w:b/>
          <w:bCs/>
          <w:sz w:val="48"/>
          <w:szCs w:val="48"/>
        </w:rPr>
        <w:t>竣工环境保护验收监测报告</w:t>
      </w:r>
    </w:p>
    <w:p>
      <w:pPr>
        <w:jc w:val="center"/>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昊晟环验字[202</w:t>
      </w:r>
      <w:r>
        <w:rPr>
          <w:rFonts w:hint="default" w:ascii="Times New Roman" w:hAnsi="Times New Roman" w:eastAsia="宋体" w:cs="Times New Roman"/>
          <w:b/>
          <w:bCs/>
          <w:sz w:val="32"/>
          <w:szCs w:val="32"/>
          <w:lang w:val="en-US" w:eastAsia="zh-CN"/>
        </w:rPr>
        <w:t>3</w:t>
      </w:r>
      <w:r>
        <w:rPr>
          <w:rFonts w:hint="default" w:ascii="Times New Roman" w:hAnsi="Times New Roman" w:eastAsia="宋体" w:cs="Times New Roman"/>
          <w:b/>
          <w:bCs/>
          <w:sz w:val="32"/>
          <w:szCs w:val="32"/>
        </w:rPr>
        <w:t>]第</w:t>
      </w:r>
      <w:r>
        <w:rPr>
          <w:rFonts w:hint="default" w:ascii="Times New Roman" w:hAnsi="Times New Roman" w:eastAsia="宋体" w:cs="Times New Roman"/>
          <w:b/>
          <w:bCs/>
          <w:sz w:val="32"/>
          <w:szCs w:val="32"/>
          <w:lang w:val="en-US" w:eastAsia="zh-CN"/>
        </w:rPr>
        <w:t>0217</w:t>
      </w:r>
      <w:r>
        <w:rPr>
          <w:rFonts w:hint="default" w:ascii="Times New Roman" w:hAnsi="Times New Roman" w:eastAsia="宋体" w:cs="Times New Roman"/>
          <w:b/>
          <w:bCs/>
          <w:sz w:val="32"/>
          <w:szCs w:val="32"/>
        </w:rPr>
        <w:t>号</w:t>
      </w:r>
    </w:p>
    <w:p>
      <w:pPr>
        <w:pStyle w:val="11"/>
        <w:jc w:val="center"/>
        <w:rPr>
          <w:rFonts w:hint="default" w:ascii="Times New Roman" w:hAnsi="Times New Roman" w:eastAsia="宋体" w:cs="Times New Roman"/>
          <w:b/>
          <w:color w:val="FF0000"/>
          <w:sz w:val="50"/>
        </w:rPr>
      </w:pPr>
    </w:p>
    <w:p>
      <w:pPr>
        <w:pStyle w:val="11"/>
        <w:jc w:val="center"/>
        <w:rPr>
          <w:rFonts w:hint="default" w:ascii="Times New Roman" w:hAnsi="Times New Roman" w:eastAsia="宋体" w:cs="Times New Roman"/>
          <w:b/>
          <w:color w:val="FF0000"/>
          <w:sz w:val="50"/>
        </w:rPr>
      </w:pPr>
    </w:p>
    <w:p>
      <w:pPr>
        <w:pStyle w:val="11"/>
        <w:jc w:val="center"/>
        <w:rPr>
          <w:rFonts w:hint="default" w:ascii="Times New Roman" w:hAnsi="Times New Roman" w:eastAsia="宋体" w:cs="Times New Roman"/>
          <w:b/>
          <w:color w:val="FF0000"/>
          <w:sz w:val="50"/>
        </w:rPr>
      </w:pPr>
    </w:p>
    <w:p>
      <w:pPr>
        <w:pStyle w:val="11"/>
        <w:jc w:val="center"/>
        <w:rPr>
          <w:rFonts w:hint="default" w:ascii="Times New Roman" w:hAnsi="Times New Roman" w:eastAsia="宋体" w:cs="Times New Roman"/>
          <w:b/>
          <w:color w:val="FF0000"/>
          <w:sz w:val="50"/>
        </w:rPr>
      </w:pPr>
    </w:p>
    <w:p>
      <w:pPr>
        <w:pStyle w:val="11"/>
        <w:jc w:val="center"/>
        <w:rPr>
          <w:rFonts w:hint="default" w:ascii="Times New Roman" w:hAnsi="Times New Roman" w:eastAsia="宋体" w:cs="Times New Roman"/>
          <w:b/>
          <w:color w:val="FF0000"/>
          <w:sz w:val="50"/>
        </w:rPr>
      </w:pPr>
    </w:p>
    <w:p>
      <w:pPr>
        <w:pStyle w:val="11"/>
        <w:jc w:val="center"/>
        <w:rPr>
          <w:rFonts w:hint="default" w:ascii="Times New Roman" w:hAnsi="Times New Roman" w:eastAsia="宋体" w:cs="Times New Roman"/>
          <w:b/>
          <w:color w:val="FF0000"/>
          <w:sz w:val="50"/>
        </w:rPr>
      </w:pPr>
    </w:p>
    <w:p>
      <w:pPr>
        <w:jc w:val="center"/>
        <w:rPr>
          <w:rFonts w:hint="default" w:ascii="Times New Roman" w:hAnsi="Times New Roman" w:eastAsia="宋体" w:cs="Times New Roman"/>
          <w:sz w:val="32"/>
          <w:szCs w:val="32"/>
          <w:u w:val="single"/>
          <w:lang w:eastAsia="zh-CN"/>
        </w:rPr>
      </w:pPr>
      <w:r>
        <w:rPr>
          <w:rFonts w:hint="default" w:ascii="Times New Roman" w:hAnsi="Times New Roman" w:eastAsia="宋体" w:cs="Times New Roman"/>
          <w:sz w:val="32"/>
          <w:szCs w:val="32"/>
        </w:rPr>
        <w:t>建设单位：</w:t>
      </w:r>
      <w:r>
        <w:rPr>
          <w:rFonts w:hint="default" w:ascii="Times New Roman" w:hAnsi="Times New Roman" w:eastAsia="宋体" w:cs="Times New Roman"/>
          <w:sz w:val="32"/>
          <w:szCs w:val="32"/>
          <w:u w:val="single"/>
          <w:lang w:val="en-US" w:eastAsia="zh-CN"/>
        </w:rPr>
        <w:t xml:space="preserve"> </w:t>
      </w:r>
      <w:r>
        <w:rPr>
          <w:rFonts w:hint="default" w:ascii="Times New Roman" w:hAnsi="Times New Roman" w:eastAsia="宋体" w:cs="Times New Roman"/>
          <w:sz w:val="32"/>
          <w:szCs w:val="32"/>
          <w:u w:val="single"/>
          <w:lang w:eastAsia="zh-CN"/>
        </w:rPr>
        <w:t>缔壹电工科技（江苏）有限司</w:t>
      </w:r>
    </w:p>
    <w:p>
      <w:pPr>
        <w:ind w:firstLine="1920" w:firstLineChars="600"/>
        <w:jc w:val="both"/>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rPr>
        <w:t>编制单位：</w:t>
      </w:r>
      <w:r>
        <w:rPr>
          <w:rFonts w:hint="default" w:ascii="Times New Roman" w:hAnsi="Times New Roman" w:eastAsia="宋体" w:cs="Times New Roman"/>
          <w:sz w:val="32"/>
          <w:szCs w:val="32"/>
          <w:u w:val="single"/>
          <w:lang w:val="en-US" w:eastAsia="zh-CN"/>
        </w:rPr>
        <w:t xml:space="preserve">  </w:t>
      </w:r>
      <w:r>
        <w:rPr>
          <w:rFonts w:hint="default" w:ascii="Times New Roman" w:hAnsi="Times New Roman" w:eastAsia="宋体" w:cs="Times New Roman"/>
          <w:sz w:val="32"/>
          <w:szCs w:val="32"/>
          <w:u w:val="single"/>
          <w:lang w:eastAsia="zh-CN"/>
        </w:rPr>
        <w:t>南京昊晟环保科技有限公司</w:t>
      </w:r>
      <w:r>
        <w:rPr>
          <w:rFonts w:hint="default" w:ascii="Times New Roman" w:hAnsi="Times New Roman" w:eastAsia="宋体" w:cs="Times New Roman"/>
          <w:sz w:val="32"/>
          <w:szCs w:val="32"/>
          <w:u w:val="single"/>
          <w:lang w:val="en-US" w:eastAsia="zh-CN"/>
        </w:rPr>
        <w:t xml:space="preserve"> </w:t>
      </w:r>
    </w:p>
    <w:p>
      <w:pPr>
        <w:pStyle w:val="11"/>
        <w:spacing w:line="414" w:lineRule="exact"/>
        <w:ind w:right="157"/>
        <w:jc w:val="center"/>
        <w:rPr>
          <w:rFonts w:hint="default" w:ascii="Times New Roman" w:hAnsi="Times New Roman" w:eastAsia="宋体" w:cs="Times New Roman"/>
          <w:color w:val="FF0000"/>
          <w:sz w:val="32"/>
          <w:szCs w:val="32"/>
        </w:rPr>
      </w:pPr>
    </w:p>
    <w:p>
      <w:pPr>
        <w:pStyle w:val="11"/>
        <w:spacing w:line="414" w:lineRule="exact"/>
        <w:ind w:right="157"/>
        <w:jc w:val="center"/>
        <w:rPr>
          <w:rFonts w:hint="default" w:ascii="Times New Roman" w:hAnsi="Times New Roman" w:eastAsia="宋体" w:cs="Times New Roman"/>
          <w:color w:val="FF0000"/>
          <w:sz w:val="32"/>
          <w:szCs w:val="32"/>
        </w:rPr>
      </w:pPr>
    </w:p>
    <w:p>
      <w:pPr>
        <w:pStyle w:val="11"/>
        <w:spacing w:line="414" w:lineRule="exact"/>
        <w:ind w:right="157"/>
        <w:jc w:val="center"/>
        <w:rPr>
          <w:rFonts w:hint="default" w:ascii="Times New Roman" w:hAnsi="Times New Roman" w:eastAsia="宋体" w:cs="Times New Roman"/>
          <w:color w:val="FF0000"/>
          <w:sz w:val="32"/>
          <w:szCs w:val="32"/>
        </w:rPr>
      </w:pPr>
    </w:p>
    <w:p>
      <w:pPr>
        <w:pStyle w:val="11"/>
        <w:spacing w:line="414" w:lineRule="exact"/>
        <w:ind w:right="157"/>
        <w:jc w:val="center"/>
        <w:rPr>
          <w:rFonts w:hint="default" w:ascii="Times New Roman" w:hAnsi="Times New Roman" w:eastAsia="宋体" w:cs="Times New Roman"/>
          <w:color w:val="FF0000"/>
          <w:sz w:val="32"/>
          <w:szCs w:val="32"/>
        </w:rPr>
      </w:pPr>
    </w:p>
    <w:p>
      <w:pPr>
        <w:pStyle w:val="11"/>
        <w:spacing w:line="414" w:lineRule="exact"/>
        <w:ind w:right="157"/>
        <w:jc w:val="center"/>
        <w:rPr>
          <w:rFonts w:hint="default" w:ascii="Times New Roman" w:hAnsi="Times New Roman" w:eastAsia="宋体" w:cs="Times New Roman"/>
          <w:color w:val="FF0000"/>
          <w:sz w:val="32"/>
          <w:szCs w:val="32"/>
        </w:rPr>
      </w:pPr>
    </w:p>
    <w:p>
      <w:pPr>
        <w:pStyle w:val="11"/>
        <w:spacing w:line="414" w:lineRule="exact"/>
        <w:ind w:right="157"/>
        <w:jc w:val="center"/>
        <w:rPr>
          <w:rFonts w:hint="default" w:ascii="Times New Roman" w:hAnsi="Times New Roman" w:eastAsia="宋体" w:cs="Times New Roman"/>
          <w:color w:val="FF0000"/>
          <w:sz w:val="32"/>
          <w:szCs w:val="32"/>
        </w:rPr>
      </w:pPr>
    </w:p>
    <w:p>
      <w:pPr>
        <w:pStyle w:val="11"/>
        <w:spacing w:line="414" w:lineRule="exact"/>
        <w:ind w:right="157"/>
        <w:jc w:val="center"/>
        <w:rPr>
          <w:rFonts w:hint="default" w:ascii="Times New Roman" w:hAnsi="Times New Roman" w:eastAsia="宋体" w:cs="Times New Roman"/>
          <w:color w:val="FF0000"/>
          <w:sz w:val="32"/>
          <w:szCs w:val="32"/>
        </w:rPr>
      </w:pPr>
    </w:p>
    <w:p>
      <w:pPr>
        <w:pStyle w:val="11"/>
        <w:spacing w:line="414" w:lineRule="exact"/>
        <w:ind w:right="157"/>
        <w:jc w:val="center"/>
        <w:rPr>
          <w:rFonts w:hint="default" w:ascii="Times New Roman" w:hAnsi="Times New Roman" w:eastAsia="宋体" w:cs="Times New Roman"/>
          <w:color w:val="FF0000"/>
          <w:sz w:val="32"/>
          <w:szCs w:val="32"/>
        </w:rPr>
      </w:pPr>
    </w:p>
    <w:p>
      <w:pPr>
        <w:pStyle w:val="11"/>
        <w:spacing w:line="414" w:lineRule="exact"/>
        <w:ind w:right="157"/>
        <w:jc w:val="center"/>
        <w:rPr>
          <w:rFonts w:hint="default" w:ascii="Times New Roman" w:hAnsi="Times New Roman" w:eastAsia="宋体" w:cs="Times New Roman"/>
          <w:color w:val="auto"/>
          <w:sz w:val="32"/>
          <w:szCs w:val="32"/>
        </w:rPr>
      </w:pPr>
      <w:r>
        <w:rPr>
          <w:rFonts w:hint="default" w:ascii="Times New Roman" w:hAnsi="Times New Roman" w:eastAsia="宋体" w:cs="Times New Roman"/>
          <w:color w:val="auto"/>
          <w:sz w:val="32"/>
          <w:szCs w:val="32"/>
        </w:rPr>
        <w:t>202</w:t>
      </w:r>
      <w:r>
        <w:rPr>
          <w:rFonts w:hint="default" w:ascii="Times New Roman" w:hAnsi="Times New Roman" w:eastAsia="宋体" w:cs="Times New Roman"/>
          <w:color w:val="auto"/>
          <w:sz w:val="32"/>
          <w:szCs w:val="32"/>
          <w:lang w:val="en-US" w:eastAsia="zh-CN"/>
        </w:rPr>
        <w:t>3</w:t>
      </w:r>
      <w:r>
        <w:rPr>
          <w:rFonts w:hint="default" w:ascii="Times New Roman" w:hAnsi="Times New Roman" w:eastAsia="宋体" w:cs="Times New Roman"/>
          <w:color w:val="auto"/>
          <w:sz w:val="32"/>
          <w:szCs w:val="32"/>
        </w:rPr>
        <w:t>年</w:t>
      </w:r>
      <w:r>
        <w:rPr>
          <w:rFonts w:hint="default" w:ascii="Times New Roman" w:hAnsi="Times New Roman" w:eastAsia="宋体" w:cs="Times New Roman"/>
          <w:color w:val="auto"/>
          <w:sz w:val="32"/>
          <w:szCs w:val="32"/>
          <w:lang w:val="en-US" w:eastAsia="zh-CN"/>
        </w:rPr>
        <w:t>3</w:t>
      </w:r>
      <w:r>
        <w:rPr>
          <w:rFonts w:hint="default" w:ascii="Times New Roman" w:hAnsi="Times New Roman" w:eastAsia="宋体" w:cs="Times New Roman"/>
          <w:color w:val="auto"/>
          <w:sz w:val="32"/>
          <w:szCs w:val="32"/>
        </w:rPr>
        <w:t>月</w:t>
      </w:r>
    </w:p>
    <w:p>
      <w:pPr>
        <w:rPr>
          <w:rFonts w:hint="default" w:ascii="Times New Roman" w:hAnsi="Times New Roman" w:eastAsia="宋体" w:cs="Times New Roman"/>
          <w:color w:val="FF0000"/>
        </w:rPr>
        <w:sectPr>
          <w:headerReference r:id="rId7" w:type="first"/>
          <w:footerReference r:id="rId10" w:type="first"/>
          <w:headerReference r:id="rId5" w:type="default"/>
          <w:footerReference r:id="rId8" w:type="default"/>
          <w:headerReference r:id="rId6" w:type="even"/>
          <w:footerReference r:id="rId9" w:type="even"/>
          <w:pgSz w:w="11910" w:h="16850"/>
          <w:pgMar w:top="1418" w:right="1418" w:bottom="1418" w:left="1418" w:header="680" w:footer="680" w:gutter="0"/>
          <w:pgBorders>
            <w:top w:val="none" w:sz="0" w:space="0"/>
            <w:left w:val="none" w:sz="0" w:space="0"/>
            <w:bottom w:val="none" w:sz="0" w:space="0"/>
            <w:right w:val="none" w:sz="0" w:space="0"/>
          </w:pgBorders>
          <w:pgNumType w:start="0"/>
          <w:cols w:space="720" w:num="1"/>
          <w:docGrid w:linePitch="299" w:charSpace="0"/>
        </w:sectPr>
      </w:pPr>
    </w:p>
    <w:tbl>
      <w:tblPr>
        <w:tblStyle w:val="24"/>
        <w:tblW w:w="4998" w:type="pct"/>
        <w:jc w:val="center"/>
        <w:tblLayout w:type="autofit"/>
        <w:tblCellMar>
          <w:top w:w="0" w:type="dxa"/>
          <w:left w:w="28" w:type="dxa"/>
          <w:bottom w:w="0" w:type="dxa"/>
          <w:right w:w="28" w:type="dxa"/>
        </w:tblCellMar>
      </w:tblPr>
      <w:tblGrid>
        <w:gridCol w:w="2666"/>
        <w:gridCol w:w="6412"/>
      </w:tblGrid>
      <w:tr>
        <w:tblPrEx>
          <w:tblCellMar>
            <w:top w:w="0" w:type="dxa"/>
            <w:left w:w="28" w:type="dxa"/>
            <w:bottom w:w="0" w:type="dxa"/>
            <w:right w:w="28" w:type="dxa"/>
          </w:tblCellMar>
        </w:tblPrEx>
        <w:trPr>
          <w:trHeight w:val="851" w:hRule="atLeast"/>
          <w:jc w:val="center"/>
        </w:trPr>
        <w:tc>
          <w:tcPr>
            <w:tcW w:w="1468"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0" w:firstLineChars="0"/>
              <w:jc w:val="center"/>
              <w:textAlignment w:val="auto"/>
              <w:rPr>
                <w:rFonts w:hint="eastAsia" w:ascii="Times New Roman" w:hAnsi="Times New Roman" w:eastAsia="宋体" w:cs="Times New Roman"/>
                <w:b/>
                <w:color w:val="auto"/>
                <w:w w:val="88"/>
                <w:sz w:val="28"/>
                <w:szCs w:val="28"/>
                <w:lang w:eastAsia="zh-CN"/>
              </w:rPr>
            </w:pPr>
            <w:bookmarkStart w:id="0" w:name="_Hlk33006250"/>
            <w:bookmarkStart w:id="1" w:name="_Hlk38809354"/>
            <w:r>
              <w:rPr>
                <w:rFonts w:hint="default" w:ascii="Times New Roman" w:hAnsi="Times New Roman" w:eastAsia="宋体" w:cs="Times New Roman"/>
                <w:b/>
                <w:color w:val="auto"/>
                <w:sz w:val="28"/>
                <w:szCs w:val="28"/>
              </w:rPr>
              <w:t>建设单位法人代表</w:t>
            </w:r>
            <w:r>
              <w:rPr>
                <w:rFonts w:hint="eastAsia" w:ascii="Times New Roman" w:hAnsi="Times New Roman" w:eastAsia="宋体" w:cs="Times New Roman"/>
                <w:b/>
                <w:color w:val="auto"/>
                <w:sz w:val="28"/>
                <w:szCs w:val="28"/>
                <w:lang w:eastAsia="zh-CN"/>
              </w:rPr>
              <w:t>：</w:t>
            </w:r>
          </w:p>
        </w:tc>
        <w:tc>
          <w:tcPr>
            <w:tcW w:w="3531"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0" w:firstLineChars="0"/>
              <w:jc w:val="center"/>
              <w:textAlignment w:val="auto"/>
              <w:rPr>
                <w:rFonts w:hint="default" w:ascii="Times New Roman" w:hAnsi="Times New Roman" w:eastAsia="宋体" w:cs="Times New Roman"/>
                <w:b/>
                <w:color w:val="auto"/>
                <w:w w:val="88"/>
                <w:sz w:val="28"/>
                <w:szCs w:val="28"/>
              </w:rPr>
            </w:pPr>
            <w:r>
              <w:rPr>
                <w:rFonts w:hint="default" w:ascii="Times New Roman" w:hAnsi="Times New Roman" w:eastAsia="宋体" w:cs="Times New Roman"/>
                <w:color w:val="auto"/>
                <w:sz w:val="28"/>
                <w:szCs w:val="28"/>
              </w:rPr>
              <w:t>（签字）</w:t>
            </w:r>
          </w:p>
        </w:tc>
      </w:tr>
      <w:tr>
        <w:tblPrEx>
          <w:tblCellMar>
            <w:top w:w="0" w:type="dxa"/>
            <w:left w:w="28" w:type="dxa"/>
            <w:bottom w:w="0" w:type="dxa"/>
            <w:right w:w="28" w:type="dxa"/>
          </w:tblCellMar>
        </w:tblPrEx>
        <w:trPr>
          <w:trHeight w:val="851" w:hRule="atLeast"/>
          <w:jc w:val="center"/>
        </w:trPr>
        <w:tc>
          <w:tcPr>
            <w:tcW w:w="1468"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0" w:firstLineChars="0"/>
              <w:jc w:val="center"/>
              <w:textAlignment w:val="auto"/>
              <w:rPr>
                <w:rFonts w:hint="eastAsia" w:ascii="Times New Roman" w:hAnsi="Times New Roman" w:eastAsia="宋体" w:cs="Times New Roman"/>
                <w:b/>
                <w:color w:val="auto"/>
                <w:w w:val="88"/>
                <w:sz w:val="28"/>
                <w:szCs w:val="28"/>
                <w:lang w:eastAsia="zh-CN"/>
              </w:rPr>
            </w:pPr>
            <w:r>
              <w:rPr>
                <w:rFonts w:hint="default" w:ascii="Times New Roman" w:hAnsi="Times New Roman" w:eastAsia="宋体" w:cs="Times New Roman"/>
                <w:b/>
                <w:color w:val="auto"/>
                <w:sz w:val="28"/>
                <w:szCs w:val="28"/>
              </w:rPr>
              <w:t>编制单位法人代表</w:t>
            </w:r>
            <w:r>
              <w:rPr>
                <w:rFonts w:hint="eastAsia" w:ascii="Times New Roman" w:hAnsi="Times New Roman" w:eastAsia="宋体" w:cs="Times New Roman"/>
                <w:b/>
                <w:color w:val="auto"/>
                <w:sz w:val="28"/>
                <w:szCs w:val="28"/>
                <w:lang w:eastAsia="zh-CN"/>
              </w:rPr>
              <w:t>：</w:t>
            </w:r>
          </w:p>
        </w:tc>
        <w:tc>
          <w:tcPr>
            <w:tcW w:w="3531"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0" w:firstLineChars="0"/>
              <w:jc w:val="center"/>
              <w:textAlignment w:val="auto"/>
              <w:rPr>
                <w:rFonts w:hint="default" w:ascii="Times New Roman" w:hAnsi="Times New Roman" w:eastAsia="宋体" w:cs="Times New Roman"/>
                <w:b/>
                <w:color w:val="auto"/>
                <w:w w:val="88"/>
                <w:sz w:val="28"/>
                <w:szCs w:val="28"/>
              </w:rPr>
            </w:pPr>
            <w:r>
              <w:rPr>
                <w:rFonts w:hint="default" w:ascii="Times New Roman" w:hAnsi="Times New Roman" w:eastAsia="宋体" w:cs="Times New Roman"/>
                <w:color w:val="auto"/>
                <w:sz w:val="28"/>
                <w:szCs w:val="28"/>
              </w:rPr>
              <w:t>（签字）</w:t>
            </w:r>
          </w:p>
        </w:tc>
      </w:tr>
      <w:tr>
        <w:tblPrEx>
          <w:tblCellMar>
            <w:top w:w="0" w:type="dxa"/>
            <w:left w:w="28" w:type="dxa"/>
            <w:bottom w:w="0" w:type="dxa"/>
            <w:right w:w="28" w:type="dxa"/>
          </w:tblCellMar>
        </w:tblPrEx>
        <w:trPr>
          <w:trHeight w:val="851" w:hRule="atLeast"/>
          <w:jc w:val="center"/>
        </w:trPr>
        <w:tc>
          <w:tcPr>
            <w:tcW w:w="1468"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0" w:firstLineChars="0"/>
              <w:jc w:val="center"/>
              <w:textAlignment w:val="auto"/>
              <w:rPr>
                <w:rFonts w:hint="eastAsia" w:ascii="Times New Roman" w:hAnsi="Times New Roman" w:eastAsia="宋体" w:cs="Times New Roman"/>
                <w:b/>
                <w:bCs w:val="0"/>
                <w:color w:val="auto"/>
                <w:spacing w:val="2"/>
                <w:w w:val="79"/>
                <w:sz w:val="28"/>
                <w:szCs w:val="28"/>
                <w:lang w:eastAsia="zh-CN"/>
              </w:rPr>
            </w:pPr>
            <w:r>
              <w:rPr>
                <w:rFonts w:hint="default" w:ascii="Times New Roman" w:hAnsi="Times New Roman" w:eastAsia="宋体" w:cs="Times New Roman"/>
                <w:b/>
                <w:bCs w:val="0"/>
                <w:color w:val="auto"/>
                <w:spacing w:val="10"/>
                <w:w w:val="79"/>
                <w:sz w:val="28"/>
                <w:szCs w:val="28"/>
              </w:rPr>
              <w:t>项  目  负  责  人</w:t>
            </w:r>
            <w:r>
              <w:rPr>
                <w:rFonts w:hint="eastAsia" w:ascii="Times New Roman" w:hAnsi="Times New Roman" w:eastAsia="宋体" w:cs="Times New Roman"/>
                <w:b/>
                <w:bCs w:val="0"/>
                <w:color w:val="auto"/>
                <w:spacing w:val="7"/>
                <w:w w:val="79"/>
                <w:sz w:val="28"/>
                <w:szCs w:val="28"/>
                <w:lang w:eastAsia="zh-CN"/>
              </w:rPr>
              <w:t>：</w:t>
            </w:r>
          </w:p>
        </w:tc>
        <w:tc>
          <w:tcPr>
            <w:tcW w:w="3531"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247" w:firstLineChars="100"/>
              <w:jc w:val="both"/>
              <w:textAlignment w:val="auto"/>
              <w:rPr>
                <w:rFonts w:hint="eastAsia" w:ascii="Times New Roman" w:hAnsi="Times New Roman" w:eastAsia="宋体" w:cs="Times New Roman"/>
                <w:b/>
                <w:bCs w:val="0"/>
                <w:color w:val="auto"/>
                <w:w w:val="88"/>
                <w:sz w:val="28"/>
                <w:szCs w:val="28"/>
                <w:lang w:eastAsia="zh-CN"/>
              </w:rPr>
            </w:pPr>
            <w:r>
              <w:rPr>
                <w:rFonts w:hint="eastAsia" w:ascii="Times New Roman" w:hAnsi="Times New Roman" w:eastAsia="宋体" w:cs="Times New Roman"/>
                <w:b/>
                <w:bCs w:val="0"/>
                <w:color w:val="auto"/>
                <w:w w:val="88"/>
                <w:sz w:val="28"/>
                <w:szCs w:val="28"/>
                <w:lang w:eastAsia="zh-CN"/>
              </w:rPr>
              <w:t>朱高峰</w:t>
            </w:r>
          </w:p>
        </w:tc>
      </w:tr>
      <w:tr>
        <w:tblPrEx>
          <w:tblCellMar>
            <w:top w:w="0" w:type="dxa"/>
            <w:left w:w="28" w:type="dxa"/>
            <w:bottom w:w="0" w:type="dxa"/>
            <w:right w:w="28" w:type="dxa"/>
          </w:tblCellMar>
        </w:tblPrEx>
        <w:trPr>
          <w:trHeight w:val="851" w:hRule="atLeast"/>
          <w:jc w:val="center"/>
        </w:trPr>
        <w:tc>
          <w:tcPr>
            <w:tcW w:w="1468"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0" w:firstLineChars="0"/>
              <w:jc w:val="center"/>
              <w:textAlignment w:val="auto"/>
              <w:rPr>
                <w:rFonts w:hint="eastAsia" w:ascii="Times New Roman" w:hAnsi="Times New Roman" w:eastAsia="宋体" w:cs="Times New Roman"/>
                <w:b/>
                <w:bCs w:val="0"/>
                <w:color w:val="auto"/>
                <w:spacing w:val="2"/>
                <w:w w:val="79"/>
                <w:sz w:val="28"/>
                <w:szCs w:val="28"/>
                <w:lang w:eastAsia="zh-CN"/>
              </w:rPr>
            </w:pPr>
            <w:r>
              <w:rPr>
                <w:rFonts w:hint="eastAsia" w:ascii="Times New Roman" w:hAnsi="Times New Roman" w:cs="Times New Roman"/>
                <w:b/>
                <w:bCs w:val="0"/>
                <w:color w:val="auto"/>
                <w:spacing w:val="10"/>
                <w:w w:val="79"/>
                <w:sz w:val="28"/>
                <w:szCs w:val="28"/>
                <w:lang w:val="en-US" w:eastAsia="zh-CN"/>
              </w:rPr>
              <w:t>报  告  编  写</w:t>
            </w:r>
            <w:r>
              <w:rPr>
                <w:rFonts w:hint="default" w:ascii="Times New Roman" w:hAnsi="Times New Roman" w:eastAsia="宋体" w:cs="Times New Roman"/>
                <w:b/>
                <w:bCs w:val="0"/>
                <w:color w:val="auto"/>
                <w:spacing w:val="10"/>
                <w:w w:val="79"/>
                <w:sz w:val="28"/>
                <w:szCs w:val="28"/>
                <w:lang w:val="en-US" w:eastAsia="zh-CN"/>
              </w:rPr>
              <w:t xml:space="preserve">   人</w:t>
            </w:r>
            <w:r>
              <w:rPr>
                <w:rFonts w:hint="eastAsia" w:ascii="Times New Roman" w:hAnsi="Times New Roman" w:eastAsia="宋体" w:cs="Times New Roman"/>
                <w:b/>
                <w:bCs w:val="0"/>
                <w:color w:val="auto"/>
                <w:spacing w:val="7"/>
                <w:w w:val="79"/>
                <w:sz w:val="28"/>
                <w:szCs w:val="28"/>
                <w:lang w:eastAsia="zh-CN"/>
              </w:rPr>
              <w:t>：</w:t>
            </w:r>
          </w:p>
        </w:tc>
        <w:tc>
          <w:tcPr>
            <w:tcW w:w="3531"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494" w:firstLineChars="200"/>
              <w:textAlignment w:val="auto"/>
              <w:rPr>
                <w:rFonts w:hint="default" w:ascii="Times New Roman" w:hAnsi="Times New Roman" w:eastAsia="宋体" w:cs="Times New Roman"/>
                <w:b/>
                <w:bCs w:val="0"/>
                <w:color w:val="auto"/>
                <w:w w:val="88"/>
                <w:sz w:val="28"/>
                <w:szCs w:val="28"/>
              </w:rPr>
            </w:pPr>
            <w:r>
              <w:rPr>
                <w:rFonts w:hint="default" w:ascii="Times New Roman" w:hAnsi="Times New Roman" w:eastAsia="宋体" w:cs="Times New Roman"/>
                <w:b/>
                <w:bCs w:val="0"/>
                <w:color w:val="auto"/>
                <w:w w:val="88"/>
                <w:sz w:val="28"/>
                <w:szCs w:val="28"/>
              </w:rPr>
              <w:t>汪璐</w:t>
            </w:r>
          </w:p>
        </w:tc>
      </w:tr>
    </w:tbl>
    <w:p>
      <w:pPr>
        <w:pStyle w:val="11"/>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tbl>
      <w:tblPr>
        <w:tblStyle w:val="24"/>
        <w:tblW w:w="9376" w:type="dxa"/>
        <w:jc w:val="center"/>
        <w:tblLayout w:type="fixed"/>
        <w:tblCellMar>
          <w:top w:w="0" w:type="dxa"/>
          <w:left w:w="0" w:type="dxa"/>
          <w:bottom w:w="0" w:type="dxa"/>
          <w:right w:w="0" w:type="dxa"/>
        </w:tblCellMar>
      </w:tblPr>
      <w:tblGrid>
        <w:gridCol w:w="1426"/>
        <w:gridCol w:w="3097"/>
        <w:gridCol w:w="309"/>
        <w:gridCol w:w="1530"/>
        <w:gridCol w:w="3014"/>
      </w:tblGrid>
      <w:tr>
        <w:tblPrEx>
          <w:tblCellMar>
            <w:top w:w="0" w:type="dxa"/>
            <w:left w:w="0" w:type="dxa"/>
            <w:bottom w:w="0" w:type="dxa"/>
            <w:right w:w="0" w:type="dxa"/>
          </w:tblCellMar>
        </w:tblPrEx>
        <w:trPr>
          <w:trHeight w:val="233" w:hRule="atLeast"/>
          <w:jc w:val="center"/>
        </w:trPr>
        <w:tc>
          <w:tcPr>
            <w:tcW w:w="1426"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建设单位：</w:t>
            </w:r>
          </w:p>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（盖章）</w:t>
            </w:r>
          </w:p>
        </w:tc>
        <w:tc>
          <w:tcPr>
            <w:tcW w:w="3097"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缔壹电工科技（江苏）有限公司</w:t>
            </w:r>
          </w:p>
        </w:tc>
        <w:tc>
          <w:tcPr>
            <w:tcW w:w="309"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jc w:val="center"/>
              <w:textAlignment w:val="auto"/>
              <w:rPr>
                <w:rFonts w:hint="default" w:ascii="Times New Roman" w:hAnsi="Times New Roman" w:eastAsia="宋体" w:cs="Times New Roman"/>
                <w:b/>
                <w:color w:val="auto"/>
                <w:sz w:val="28"/>
                <w:szCs w:val="28"/>
              </w:rPr>
            </w:pPr>
          </w:p>
        </w:tc>
        <w:tc>
          <w:tcPr>
            <w:tcW w:w="1530"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编制单位：（盖章）</w:t>
            </w:r>
          </w:p>
        </w:tc>
        <w:tc>
          <w:tcPr>
            <w:tcW w:w="3014"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bookmarkStart w:id="2" w:name="_Hlk26027440"/>
            <w:r>
              <w:rPr>
                <w:rFonts w:hint="default" w:ascii="Times New Roman" w:hAnsi="Times New Roman" w:eastAsia="宋体" w:cs="Times New Roman"/>
                <w:color w:val="auto"/>
                <w:sz w:val="28"/>
                <w:szCs w:val="28"/>
              </w:rPr>
              <w:t>南京昊晟环保科技有限公司</w:t>
            </w:r>
            <w:bookmarkEnd w:id="2"/>
          </w:p>
        </w:tc>
      </w:tr>
      <w:tr>
        <w:tblPrEx>
          <w:tblCellMar>
            <w:top w:w="0" w:type="dxa"/>
            <w:left w:w="0" w:type="dxa"/>
            <w:bottom w:w="0" w:type="dxa"/>
            <w:right w:w="0" w:type="dxa"/>
          </w:tblCellMar>
        </w:tblPrEx>
        <w:trPr>
          <w:trHeight w:val="233" w:hRule="atLeast"/>
          <w:jc w:val="center"/>
        </w:trPr>
        <w:tc>
          <w:tcPr>
            <w:tcW w:w="1426"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电 话：</w:t>
            </w:r>
          </w:p>
        </w:tc>
        <w:tc>
          <w:tcPr>
            <w:tcW w:w="3097"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lang w:eastAsia="zh-CN"/>
              </w:rPr>
              <w:t>18796891766</w:t>
            </w:r>
            <w:r>
              <w:rPr>
                <w:rFonts w:hint="default" w:ascii="Times New Roman" w:hAnsi="Times New Roman" w:eastAsia="宋体" w:cs="Times New Roman"/>
                <w:color w:val="auto"/>
                <w:sz w:val="28"/>
                <w:szCs w:val="28"/>
              </w:rPr>
              <w:t>‬</w:t>
            </w:r>
          </w:p>
        </w:tc>
        <w:tc>
          <w:tcPr>
            <w:tcW w:w="309"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jc w:val="center"/>
              <w:textAlignment w:val="auto"/>
              <w:rPr>
                <w:rFonts w:hint="default" w:ascii="Times New Roman" w:hAnsi="Times New Roman" w:eastAsia="宋体" w:cs="Times New Roman"/>
                <w:color w:val="auto"/>
                <w:sz w:val="28"/>
                <w:szCs w:val="28"/>
              </w:rPr>
            </w:pPr>
          </w:p>
        </w:tc>
        <w:tc>
          <w:tcPr>
            <w:tcW w:w="1530"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电 话：</w:t>
            </w:r>
          </w:p>
        </w:tc>
        <w:tc>
          <w:tcPr>
            <w:tcW w:w="3014"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color w:val="auto"/>
                <w:sz w:val="28"/>
                <w:szCs w:val="28"/>
              </w:rPr>
              <w:t>025-87793182</w:t>
            </w:r>
          </w:p>
        </w:tc>
      </w:tr>
      <w:tr>
        <w:tblPrEx>
          <w:tblCellMar>
            <w:top w:w="0" w:type="dxa"/>
            <w:left w:w="0" w:type="dxa"/>
            <w:bottom w:w="0" w:type="dxa"/>
            <w:right w:w="0" w:type="dxa"/>
          </w:tblCellMar>
        </w:tblPrEx>
        <w:trPr>
          <w:trHeight w:val="233" w:hRule="atLeast"/>
          <w:jc w:val="center"/>
        </w:trPr>
        <w:tc>
          <w:tcPr>
            <w:tcW w:w="1426"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传 真：</w:t>
            </w:r>
          </w:p>
        </w:tc>
        <w:tc>
          <w:tcPr>
            <w:tcW w:w="3097"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w:t>
            </w:r>
          </w:p>
        </w:tc>
        <w:tc>
          <w:tcPr>
            <w:tcW w:w="309"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jc w:val="center"/>
              <w:textAlignment w:val="auto"/>
              <w:rPr>
                <w:rFonts w:hint="default" w:ascii="Times New Roman" w:hAnsi="Times New Roman" w:eastAsia="宋体" w:cs="Times New Roman"/>
                <w:color w:val="auto"/>
                <w:sz w:val="28"/>
                <w:szCs w:val="28"/>
              </w:rPr>
            </w:pPr>
          </w:p>
        </w:tc>
        <w:tc>
          <w:tcPr>
            <w:tcW w:w="1530"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传 真：</w:t>
            </w:r>
          </w:p>
        </w:tc>
        <w:tc>
          <w:tcPr>
            <w:tcW w:w="3014"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color w:val="auto"/>
                <w:sz w:val="28"/>
                <w:szCs w:val="28"/>
              </w:rPr>
              <w:t>/</w:t>
            </w:r>
          </w:p>
        </w:tc>
      </w:tr>
      <w:tr>
        <w:tblPrEx>
          <w:tblCellMar>
            <w:top w:w="0" w:type="dxa"/>
            <w:left w:w="0" w:type="dxa"/>
            <w:bottom w:w="0" w:type="dxa"/>
            <w:right w:w="0" w:type="dxa"/>
          </w:tblCellMar>
        </w:tblPrEx>
        <w:trPr>
          <w:trHeight w:val="233" w:hRule="atLeast"/>
          <w:jc w:val="center"/>
        </w:trPr>
        <w:tc>
          <w:tcPr>
            <w:tcW w:w="1426"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邮 编：</w:t>
            </w:r>
          </w:p>
        </w:tc>
        <w:tc>
          <w:tcPr>
            <w:tcW w:w="3097"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lang w:val="en-US" w:eastAsia="zh-CN"/>
              </w:rPr>
            </w:pPr>
            <w:r>
              <w:rPr>
                <w:rFonts w:hint="default" w:ascii="Times New Roman" w:hAnsi="Times New Roman" w:eastAsia="宋体" w:cs="Times New Roman"/>
                <w:color w:val="auto"/>
                <w:sz w:val="28"/>
                <w:szCs w:val="28"/>
              </w:rPr>
              <w:t>21</w:t>
            </w:r>
            <w:r>
              <w:rPr>
                <w:rFonts w:hint="default" w:ascii="Times New Roman" w:hAnsi="Times New Roman" w:eastAsia="宋体" w:cs="Times New Roman"/>
                <w:color w:val="auto"/>
                <w:sz w:val="28"/>
                <w:szCs w:val="28"/>
                <w:lang w:val="en-US" w:eastAsia="zh-CN"/>
              </w:rPr>
              <w:t>3200</w:t>
            </w:r>
          </w:p>
        </w:tc>
        <w:tc>
          <w:tcPr>
            <w:tcW w:w="309"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jc w:val="center"/>
              <w:textAlignment w:val="auto"/>
              <w:rPr>
                <w:rFonts w:hint="default" w:ascii="Times New Roman" w:hAnsi="Times New Roman" w:eastAsia="宋体" w:cs="Times New Roman"/>
                <w:color w:val="auto"/>
                <w:sz w:val="28"/>
                <w:szCs w:val="28"/>
              </w:rPr>
            </w:pPr>
          </w:p>
        </w:tc>
        <w:tc>
          <w:tcPr>
            <w:tcW w:w="1530"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邮 编：</w:t>
            </w:r>
          </w:p>
        </w:tc>
        <w:tc>
          <w:tcPr>
            <w:tcW w:w="3014"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color w:val="auto"/>
                <w:sz w:val="28"/>
                <w:szCs w:val="28"/>
              </w:rPr>
              <w:t>210000</w:t>
            </w:r>
          </w:p>
        </w:tc>
      </w:tr>
      <w:tr>
        <w:tblPrEx>
          <w:tblCellMar>
            <w:top w:w="0" w:type="dxa"/>
            <w:left w:w="0" w:type="dxa"/>
            <w:bottom w:w="0" w:type="dxa"/>
            <w:right w:w="0" w:type="dxa"/>
          </w:tblCellMar>
        </w:tblPrEx>
        <w:trPr>
          <w:trHeight w:val="233" w:hRule="atLeast"/>
          <w:jc w:val="center"/>
        </w:trPr>
        <w:tc>
          <w:tcPr>
            <w:tcW w:w="1426"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地 址：</w:t>
            </w:r>
          </w:p>
        </w:tc>
        <w:tc>
          <w:tcPr>
            <w:tcW w:w="3097"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江苏省金坛经济开发区金胜东路218号</w:t>
            </w:r>
          </w:p>
        </w:tc>
        <w:tc>
          <w:tcPr>
            <w:tcW w:w="309"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jc w:val="center"/>
              <w:textAlignment w:val="auto"/>
              <w:rPr>
                <w:rFonts w:hint="default" w:ascii="Times New Roman" w:hAnsi="Times New Roman" w:eastAsia="宋体" w:cs="Times New Roman"/>
                <w:color w:val="auto"/>
                <w:sz w:val="28"/>
                <w:szCs w:val="28"/>
              </w:rPr>
            </w:pPr>
          </w:p>
        </w:tc>
        <w:tc>
          <w:tcPr>
            <w:tcW w:w="1530"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地 址：</w:t>
            </w:r>
          </w:p>
        </w:tc>
        <w:tc>
          <w:tcPr>
            <w:tcW w:w="3014" w:type="dxa"/>
            <w:noWrap w:val="0"/>
            <w:vAlign w:val="center"/>
          </w:tcPr>
          <w:p>
            <w:pPr>
              <w:keepNext w:val="0"/>
              <w:keepLines w:val="0"/>
              <w:pageBreakBefore w:val="0"/>
              <w:widowControl w:val="0"/>
              <w:kinsoku/>
              <w:wordWrap/>
              <w:overflowPunct/>
              <w:topLinePunct w:val="0"/>
              <w:autoSpaceDE w:val="0"/>
              <w:autoSpaceDN w:val="0"/>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南京市玄武区徐庄软件园研发三区E栋305室</w:t>
            </w:r>
          </w:p>
        </w:tc>
      </w:tr>
    </w:tbl>
    <w:p>
      <w:pPr>
        <w:pStyle w:val="12"/>
        <w:widowControl w:val="0"/>
        <w:numPr>
          <w:ilvl w:val="0"/>
          <w:numId w:val="0"/>
        </w:numPr>
        <w:autoSpaceDE w:val="0"/>
        <w:autoSpaceDN w:val="0"/>
        <w:spacing w:line="500" w:lineRule="exact"/>
        <w:rPr>
          <w:rFonts w:hint="default"/>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p>
    <w:sdt>
      <w:sdtPr>
        <w:rPr>
          <w:rFonts w:hint="default" w:ascii="Times New Roman" w:hAnsi="Times New Roman" w:eastAsia="宋体" w:cs="Times New Roman"/>
          <w:color w:val="FF0000"/>
          <w:sz w:val="21"/>
        </w:rPr>
        <w:id w:val="147454949"/>
        <w:docPartObj>
          <w:docPartGallery w:val="Table of Contents"/>
          <w:docPartUnique/>
        </w:docPartObj>
      </w:sdtPr>
      <w:sdtEndPr>
        <w:rPr>
          <w:rFonts w:hint="default" w:ascii="Times New Roman" w:hAnsi="Times New Roman" w:eastAsia="宋体" w:cs="Times New Roman"/>
          <w:b/>
          <w:color w:val="auto"/>
          <w:sz w:val="21"/>
          <w:szCs w:val="21"/>
        </w:rPr>
      </w:sdtEndPr>
      <w:sdtContent>
        <w:p>
          <w:pPr>
            <w:spacing w:line="240" w:lineRule="auto"/>
            <w:ind w:firstLine="0" w:firstLineChars="0"/>
            <w:jc w:val="center"/>
            <w:rPr>
              <w:rFonts w:hint="default" w:ascii="Times New Roman" w:hAnsi="Times New Roman" w:eastAsia="宋体" w:cs="Times New Roman"/>
              <w:b/>
              <w:bCs/>
              <w:color w:val="auto"/>
              <w:sz w:val="32"/>
              <w:szCs w:val="32"/>
            </w:rPr>
          </w:pPr>
          <w:r>
            <w:rPr>
              <w:rFonts w:hint="default" w:ascii="Times New Roman" w:hAnsi="Times New Roman" w:eastAsia="宋体" w:cs="Times New Roman"/>
              <w:b/>
              <w:bCs/>
              <w:color w:val="auto"/>
              <w:sz w:val="32"/>
              <w:szCs w:val="32"/>
            </w:rPr>
            <w:t>目  录</w:t>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TOC \o "1-2" \h \u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_Toc29587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1 项目概况</w:t>
          </w:r>
          <w:r>
            <w:rPr>
              <w:color w:val="auto"/>
              <w:sz w:val="21"/>
              <w:szCs w:val="21"/>
            </w:rPr>
            <w:tab/>
          </w:r>
          <w:r>
            <w:rPr>
              <w:color w:val="auto"/>
              <w:sz w:val="21"/>
              <w:szCs w:val="21"/>
            </w:rPr>
            <w:fldChar w:fldCharType="begin"/>
          </w:r>
          <w:r>
            <w:rPr>
              <w:color w:val="auto"/>
              <w:sz w:val="21"/>
              <w:szCs w:val="21"/>
            </w:rPr>
            <w:instrText xml:space="preserve"> PAGEREF _Toc29587 \h </w:instrText>
          </w:r>
          <w:r>
            <w:rPr>
              <w:color w:val="auto"/>
              <w:sz w:val="21"/>
              <w:szCs w:val="21"/>
            </w:rPr>
            <w:fldChar w:fldCharType="separate"/>
          </w:r>
          <w:r>
            <w:rPr>
              <w:color w:val="auto"/>
              <w:sz w:val="21"/>
              <w:szCs w:val="21"/>
            </w:rPr>
            <w:t>1</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_Toc3293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2 验收依据</w:t>
          </w:r>
          <w:r>
            <w:rPr>
              <w:color w:val="auto"/>
              <w:sz w:val="21"/>
              <w:szCs w:val="21"/>
            </w:rPr>
            <w:tab/>
          </w:r>
          <w:r>
            <w:rPr>
              <w:color w:val="auto"/>
              <w:sz w:val="21"/>
              <w:szCs w:val="21"/>
            </w:rPr>
            <w:fldChar w:fldCharType="begin"/>
          </w:r>
          <w:r>
            <w:rPr>
              <w:color w:val="auto"/>
              <w:sz w:val="21"/>
              <w:szCs w:val="21"/>
            </w:rPr>
            <w:instrText xml:space="preserve"> PAGEREF _Toc3293 \h </w:instrText>
          </w:r>
          <w:r>
            <w:rPr>
              <w:color w:val="auto"/>
              <w:sz w:val="21"/>
              <w:szCs w:val="21"/>
            </w:rPr>
            <w:fldChar w:fldCharType="separate"/>
          </w:r>
          <w:r>
            <w:rPr>
              <w:color w:val="auto"/>
              <w:sz w:val="21"/>
              <w:szCs w:val="21"/>
            </w:rPr>
            <w:t>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_Toc6504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2.1 建设项目环境保护相关法律、法规和规章制度</w:t>
          </w:r>
          <w:r>
            <w:rPr>
              <w:color w:val="auto"/>
              <w:sz w:val="21"/>
              <w:szCs w:val="21"/>
            </w:rPr>
            <w:tab/>
          </w:r>
          <w:r>
            <w:rPr>
              <w:color w:val="auto"/>
              <w:sz w:val="21"/>
              <w:szCs w:val="21"/>
            </w:rPr>
            <w:fldChar w:fldCharType="begin"/>
          </w:r>
          <w:r>
            <w:rPr>
              <w:color w:val="auto"/>
              <w:sz w:val="21"/>
              <w:szCs w:val="21"/>
            </w:rPr>
            <w:instrText xml:space="preserve"> PAGEREF _Toc6504 \h </w:instrText>
          </w:r>
          <w:r>
            <w:rPr>
              <w:color w:val="auto"/>
              <w:sz w:val="21"/>
              <w:szCs w:val="21"/>
            </w:rPr>
            <w:fldChar w:fldCharType="separate"/>
          </w:r>
          <w:r>
            <w:rPr>
              <w:color w:val="auto"/>
              <w:sz w:val="21"/>
              <w:szCs w:val="21"/>
            </w:rPr>
            <w:t>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_Toc30141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2.2 建设项目环境保护验收技术规范</w:t>
          </w:r>
          <w:r>
            <w:rPr>
              <w:color w:val="auto"/>
              <w:sz w:val="21"/>
              <w:szCs w:val="21"/>
            </w:rPr>
            <w:tab/>
          </w:r>
          <w:r>
            <w:rPr>
              <w:color w:val="auto"/>
              <w:sz w:val="21"/>
              <w:szCs w:val="21"/>
            </w:rPr>
            <w:fldChar w:fldCharType="begin"/>
          </w:r>
          <w:r>
            <w:rPr>
              <w:color w:val="auto"/>
              <w:sz w:val="21"/>
              <w:szCs w:val="21"/>
            </w:rPr>
            <w:instrText xml:space="preserve"> PAGEREF _Toc30141 \h </w:instrText>
          </w:r>
          <w:r>
            <w:rPr>
              <w:color w:val="auto"/>
              <w:sz w:val="21"/>
              <w:szCs w:val="21"/>
            </w:rPr>
            <w:fldChar w:fldCharType="separate"/>
          </w:r>
          <w:r>
            <w:rPr>
              <w:color w:val="auto"/>
              <w:sz w:val="21"/>
              <w:szCs w:val="21"/>
            </w:rPr>
            <w:t>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_Toc31057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2.3 建设项目环境影响报告书及其审批部门审批决定</w:t>
          </w:r>
          <w:r>
            <w:rPr>
              <w:color w:val="auto"/>
              <w:sz w:val="21"/>
              <w:szCs w:val="21"/>
            </w:rPr>
            <w:tab/>
          </w:r>
          <w:r>
            <w:rPr>
              <w:color w:val="auto"/>
              <w:sz w:val="21"/>
              <w:szCs w:val="21"/>
            </w:rPr>
            <w:fldChar w:fldCharType="begin"/>
          </w:r>
          <w:r>
            <w:rPr>
              <w:color w:val="auto"/>
              <w:sz w:val="21"/>
              <w:szCs w:val="21"/>
            </w:rPr>
            <w:instrText xml:space="preserve"> PAGEREF _Toc31057 \h </w:instrText>
          </w:r>
          <w:r>
            <w:rPr>
              <w:color w:val="auto"/>
              <w:sz w:val="21"/>
              <w:szCs w:val="21"/>
            </w:rPr>
            <w:fldChar w:fldCharType="separate"/>
          </w:r>
          <w:r>
            <w:rPr>
              <w:color w:val="auto"/>
              <w:sz w:val="21"/>
              <w:szCs w:val="21"/>
            </w:rPr>
            <w:t>4</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_Toc2447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2.4 其他相关文件</w:t>
          </w:r>
          <w:r>
            <w:rPr>
              <w:color w:val="auto"/>
              <w:sz w:val="21"/>
              <w:szCs w:val="21"/>
            </w:rPr>
            <w:tab/>
          </w:r>
          <w:r>
            <w:rPr>
              <w:color w:val="auto"/>
              <w:sz w:val="21"/>
              <w:szCs w:val="21"/>
            </w:rPr>
            <w:fldChar w:fldCharType="begin"/>
          </w:r>
          <w:r>
            <w:rPr>
              <w:color w:val="auto"/>
              <w:sz w:val="21"/>
              <w:szCs w:val="21"/>
            </w:rPr>
            <w:instrText xml:space="preserve"> PAGEREF _Toc2447 \h </w:instrText>
          </w:r>
          <w:r>
            <w:rPr>
              <w:color w:val="auto"/>
              <w:sz w:val="21"/>
              <w:szCs w:val="21"/>
            </w:rPr>
            <w:fldChar w:fldCharType="separate"/>
          </w:r>
          <w:r>
            <w:rPr>
              <w:color w:val="auto"/>
              <w:sz w:val="21"/>
              <w:szCs w:val="21"/>
            </w:rPr>
            <w:t>4</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_Toc6611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3 项目建设情况</w:t>
          </w:r>
          <w:r>
            <w:rPr>
              <w:color w:val="auto"/>
              <w:sz w:val="21"/>
              <w:szCs w:val="21"/>
            </w:rPr>
            <w:tab/>
          </w:r>
          <w:r>
            <w:rPr>
              <w:color w:val="auto"/>
              <w:sz w:val="21"/>
              <w:szCs w:val="21"/>
            </w:rPr>
            <w:fldChar w:fldCharType="begin"/>
          </w:r>
          <w:r>
            <w:rPr>
              <w:color w:val="auto"/>
              <w:sz w:val="21"/>
              <w:szCs w:val="21"/>
            </w:rPr>
            <w:instrText xml:space="preserve"> PAGEREF _Toc6611 \h </w:instrText>
          </w:r>
          <w:r>
            <w:rPr>
              <w:color w:val="auto"/>
              <w:sz w:val="21"/>
              <w:szCs w:val="21"/>
            </w:rPr>
            <w:fldChar w:fldCharType="separate"/>
          </w:r>
          <w:r>
            <w:rPr>
              <w:color w:val="auto"/>
              <w:sz w:val="21"/>
              <w:szCs w:val="21"/>
            </w:rPr>
            <w:t>5</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_Toc12353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3.1 地理位置及平面布置</w:t>
          </w:r>
          <w:r>
            <w:rPr>
              <w:color w:val="auto"/>
              <w:sz w:val="21"/>
              <w:szCs w:val="21"/>
            </w:rPr>
            <w:tab/>
          </w:r>
          <w:r>
            <w:rPr>
              <w:color w:val="auto"/>
              <w:sz w:val="21"/>
              <w:szCs w:val="21"/>
            </w:rPr>
            <w:fldChar w:fldCharType="begin"/>
          </w:r>
          <w:r>
            <w:rPr>
              <w:color w:val="auto"/>
              <w:sz w:val="21"/>
              <w:szCs w:val="21"/>
            </w:rPr>
            <w:instrText xml:space="preserve"> PAGEREF _Toc12353 \h </w:instrText>
          </w:r>
          <w:r>
            <w:rPr>
              <w:color w:val="auto"/>
              <w:sz w:val="21"/>
              <w:szCs w:val="21"/>
            </w:rPr>
            <w:fldChar w:fldCharType="separate"/>
          </w:r>
          <w:r>
            <w:rPr>
              <w:color w:val="auto"/>
              <w:sz w:val="21"/>
              <w:szCs w:val="21"/>
            </w:rPr>
            <w:t>5</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_Toc14522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3.2 建设内容</w:t>
          </w:r>
          <w:r>
            <w:rPr>
              <w:color w:val="auto"/>
              <w:sz w:val="21"/>
              <w:szCs w:val="21"/>
            </w:rPr>
            <w:tab/>
          </w:r>
          <w:r>
            <w:rPr>
              <w:color w:val="auto"/>
              <w:sz w:val="21"/>
              <w:szCs w:val="21"/>
            </w:rPr>
            <w:fldChar w:fldCharType="begin"/>
          </w:r>
          <w:r>
            <w:rPr>
              <w:color w:val="auto"/>
              <w:sz w:val="21"/>
              <w:szCs w:val="21"/>
            </w:rPr>
            <w:instrText xml:space="preserve"> PAGEREF _Toc14522 \h </w:instrText>
          </w:r>
          <w:r>
            <w:rPr>
              <w:color w:val="auto"/>
              <w:sz w:val="21"/>
              <w:szCs w:val="21"/>
            </w:rPr>
            <w:fldChar w:fldCharType="separate"/>
          </w:r>
          <w:r>
            <w:rPr>
              <w:color w:val="auto"/>
              <w:sz w:val="21"/>
              <w:szCs w:val="21"/>
            </w:rPr>
            <w:t>5</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_Toc6068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3.3 主要原辅材料消耗及产品产量</w:t>
          </w:r>
          <w:r>
            <w:rPr>
              <w:color w:val="auto"/>
              <w:sz w:val="21"/>
              <w:szCs w:val="21"/>
            </w:rPr>
            <w:tab/>
          </w:r>
          <w:r>
            <w:rPr>
              <w:color w:val="auto"/>
              <w:sz w:val="21"/>
              <w:szCs w:val="21"/>
            </w:rPr>
            <w:fldChar w:fldCharType="begin"/>
          </w:r>
          <w:r>
            <w:rPr>
              <w:color w:val="auto"/>
              <w:sz w:val="21"/>
              <w:szCs w:val="21"/>
            </w:rPr>
            <w:instrText xml:space="preserve"> PAGEREF _Toc6068 \h </w:instrText>
          </w:r>
          <w:r>
            <w:rPr>
              <w:color w:val="auto"/>
              <w:sz w:val="21"/>
              <w:szCs w:val="21"/>
            </w:rPr>
            <w:fldChar w:fldCharType="separate"/>
          </w:r>
          <w:r>
            <w:rPr>
              <w:color w:val="auto"/>
              <w:sz w:val="21"/>
              <w:szCs w:val="21"/>
            </w:rPr>
            <w:t>8</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_Toc16003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3.4 水源及水平衡</w:t>
          </w:r>
          <w:r>
            <w:rPr>
              <w:color w:val="auto"/>
              <w:sz w:val="21"/>
              <w:szCs w:val="21"/>
            </w:rPr>
            <w:tab/>
          </w:r>
          <w:r>
            <w:rPr>
              <w:color w:val="auto"/>
              <w:sz w:val="21"/>
              <w:szCs w:val="21"/>
            </w:rPr>
            <w:fldChar w:fldCharType="begin"/>
          </w:r>
          <w:r>
            <w:rPr>
              <w:color w:val="auto"/>
              <w:sz w:val="21"/>
              <w:szCs w:val="21"/>
            </w:rPr>
            <w:instrText xml:space="preserve"> PAGEREF _Toc16003 \h </w:instrText>
          </w:r>
          <w:r>
            <w:rPr>
              <w:color w:val="auto"/>
              <w:sz w:val="21"/>
              <w:szCs w:val="21"/>
            </w:rPr>
            <w:fldChar w:fldCharType="separate"/>
          </w:r>
          <w:r>
            <w:rPr>
              <w:color w:val="auto"/>
              <w:sz w:val="21"/>
              <w:szCs w:val="21"/>
            </w:rPr>
            <w:t>9</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_Toc14352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3.5 生产工艺</w:t>
          </w:r>
          <w:r>
            <w:rPr>
              <w:color w:val="auto"/>
              <w:sz w:val="21"/>
              <w:szCs w:val="21"/>
            </w:rPr>
            <w:tab/>
          </w:r>
          <w:r>
            <w:rPr>
              <w:color w:val="auto"/>
              <w:sz w:val="21"/>
              <w:szCs w:val="21"/>
            </w:rPr>
            <w:fldChar w:fldCharType="begin"/>
          </w:r>
          <w:r>
            <w:rPr>
              <w:color w:val="auto"/>
              <w:sz w:val="21"/>
              <w:szCs w:val="21"/>
            </w:rPr>
            <w:instrText xml:space="preserve"> PAGEREF _Toc14352 \h </w:instrText>
          </w:r>
          <w:r>
            <w:rPr>
              <w:color w:val="auto"/>
              <w:sz w:val="21"/>
              <w:szCs w:val="21"/>
            </w:rPr>
            <w:fldChar w:fldCharType="separate"/>
          </w:r>
          <w:r>
            <w:rPr>
              <w:color w:val="auto"/>
              <w:sz w:val="21"/>
              <w:szCs w:val="21"/>
            </w:rPr>
            <w:t>9</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_Toc5610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3.6 项目变动情况</w:t>
          </w:r>
          <w:r>
            <w:rPr>
              <w:color w:val="auto"/>
              <w:sz w:val="21"/>
              <w:szCs w:val="21"/>
            </w:rPr>
            <w:tab/>
          </w:r>
          <w:r>
            <w:rPr>
              <w:color w:val="auto"/>
              <w:sz w:val="21"/>
              <w:szCs w:val="21"/>
            </w:rPr>
            <w:fldChar w:fldCharType="begin"/>
          </w:r>
          <w:r>
            <w:rPr>
              <w:color w:val="auto"/>
              <w:sz w:val="21"/>
              <w:szCs w:val="21"/>
            </w:rPr>
            <w:instrText xml:space="preserve"> PAGEREF _Toc5610 \h </w:instrText>
          </w:r>
          <w:r>
            <w:rPr>
              <w:color w:val="auto"/>
              <w:sz w:val="21"/>
              <w:szCs w:val="21"/>
            </w:rPr>
            <w:fldChar w:fldCharType="separate"/>
          </w:r>
          <w:r>
            <w:rPr>
              <w:color w:val="auto"/>
              <w:sz w:val="21"/>
              <w:szCs w:val="21"/>
            </w:rPr>
            <w:t>10</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_Toc8073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4 环境保护设施</w:t>
          </w:r>
          <w:r>
            <w:rPr>
              <w:color w:val="auto"/>
              <w:sz w:val="21"/>
              <w:szCs w:val="21"/>
            </w:rPr>
            <w:tab/>
          </w:r>
          <w:r>
            <w:rPr>
              <w:color w:val="auto"/>
              <w:sz w:val="21"/>
              <w:szCs w:val="21"/>
            </w:rPr>
            <w:fldChar w:fldCharType="begin"/>
          </w:r>
          <w:r>
            <w:rPr>
              <w:color w:val="auto"/>
              <w:sz w:val="21"/>
              <w:szCs w:val="21"/>
            </w:rPr>
            <w:instrText xml:space="preserve"> PAGEREF _Toc8073 \h </w:instrText>
          </w:r>
          <w:r>
            <w:rPr>
              <w:color w:val="auto"/>
              <w:sz w:val="21"/>
              <w:szCs w:val="21"/>
            </w:rPr>
            <w:fldChar w:fldCharType="separate"/>
          </w:r>
          <w:r>
            <w:rPr>
              <w:color w:val="auto"/>
              <w:sz w:val="21"/>
              <w:szCs w:val="21"/>
            </w:rPr>
            <w:t>13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_Toc20756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4.1 污染物治理处置设施</w:t>
          </w:r>
          <w:r>
            <w:rPr>
              <w:color w:val="auto"/>
              <w:sz w:val="21"/>
              <w:szCs w:val="21"/>
            </w:rPr>
            <w:tab/>
          </w:r>
          <w:r>
            <w:rPr>
              <w:color w:val="auto"/>
              <w:sz w:val="21"/>
              <w:szCs w:val="21"/>
            </w:rPr>
            <w:fldChar w:fldCharType="begin"/>
          </w:r>
          <w:r>
            <w:rPr>
              <w:color w:val="auto"/>
              <w:sz w:val="21"/>
              <w:szCs w:val="21"/>
            </w:rPr>
            <w:instrText xml:space="preserve"> PAGEREF _Toc20756 \h </w:instrText>
          </w:r>
          <w:r>
            <w:rPr>
              <w:color w:val="auto"/>
              <w:sz w:val="21"/>
              <w:szCs w:val="21"/>
            </w:rPr>
            <w:fldChar w:fldCharType="separate"/>
          </w:r>
          <w:r>
            <w:rPr>
              <w:color w:val="auto"/>
              <w:sz w:val="21"/>
              <w:szCs w:val="21"/>
            </w:rPr>
            <w:t>13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_Toc26986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4.2 其他环境保护措施</w:t>
          </w:r>
          <w:r>
            <w:rPr>
              <w:color w:val="auto"/>
              <w:sz w:val="21"/>
              <w:szCs w:val="21"/>
            </w:rPr>
            <w:tab/>
          </w:r>
          <w:r>
            <w:rPr>
              <w:color w:val="auto"/>
              <w:sz w:val="21"/>
              <w:szCs w:val="21"/>
            </w:rPr>
            <w:fldChar w:fldCharType="begin"/>
          </w:r>
          <w:r>
            <w:rPr>
              <w:color w:val="auto"/>
              <w:sz w:val="21"/>
              <w:szCs w:val="21"/>
            </w:rPr>
            <w:instrText xml:space="preserve"> PAGEREF _Toc26986 \h </w:instrText>
          </w:r>
          <w:r>
            <w:rPr>
              <w:color w:val="auto"/>
              <w:sz w:val="21"/>
              <w:szCs w:val="21"/>
            </w:rPr>
            <w:fldChar w:fldCharType="separate"/>
          </w:r>
          <w:r>
            <w:rPr>
              <w:color w:val="auto"/>
              <w:sz w:val="21"/>
              <w:szCs w:val="21"/>
            </w:rPr>
            <w:t>16</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_Toc4340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4.3 环保设施投资及“三同时”落实情况</w:t>
          </w:r>
          <w:r>
            <w:rPr>
              <w:color w:val="auto"/>
              <w:sz w:val="21"/>
              <w:szCs w:val="21"/>
            </w:rPr>
            <w:tab/>
          </w:r>
          <w:r>
            <w:rPr>
              <w:color w:val="auto"/>
              <w:sz w:val="21"/>
              <w:szCs w:val="21"/>
            </w:rPr>
            <w:fldChar w:fldCharType="begin"/>
          </w:r>
          <w:r>
            <w:rPr>
              <w:color w:val="auto"/>
              <w:sz w:val="21"/>
              <w:szCs w:val="21"/>
            </w:rPr>
            <w:instrText xml:space="preserve"> PAGEREF _Toc4340 \h </w:instrText>
          </w:r>
          <w:r>
            <w:rPr>
              <w:color w:val="auto"/>
              <w:sz w:val="21"/>
              <w:szCs w:val="21"/>
            </w:rPr>
            <w:fldChar w:fldCharType="separate"/>
          </w:r>
          <w:r>
            <w:rPr>
              <w:color w:val="auto"/>
              <w:sz w:val="21"/>
              <w:szCs w:val="21"/>
            </w:rPr>
            <w:t>18</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_Toc8805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5 报告书主要结论与建议及审批部门审批决定</w:t>
          </w:r>
          <w:r>
            <w:rPr>
              <w:color w:val="auto"/>
              <w:sz w:val="21"/>
              <w:szCs w:val="21"/>
            </w:rPr>
            <w:tab/>
          </w:r>
          <w:r>
            <w:rPr>
              <w:color w:val="auto"/>
              <w:sz w:val="21"/>
              <w:szCs w:val="21"/>
            </w:rPr>
            <w:fldChar w:fldCharType="begin"/>
          </w:r>
          <w:r>
            <w:rPr>
              <w:color w:val="auto"/>
              <w:sz w:val="21"/>
              <w:szCs w:val="21"/>
            </w:rPr>
            <w:instrText xml:space="preserve"> PAGEREF _Toc8805 \h </w:instrText>
          </w:r>
          <w:r>
            <w:rPr>
              <w:color w:val="auto"/>
              <w:sz w:val="21"/>
              <w:szCs w:val="21"/>
            </w:rPr>
            <w:fldChar w:fldCharType="separate"/>
          </w:r>
          <w:r>
            <w:rPr>
              <w:color w:val="auto"/>
              <w:sz w:val="21"/>
              <w:szCs w:val="21"/>
            </w:rPr>
            <w:t>20</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_Toc2259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5.1 环境影响报告书主要结论与建议</w:t>
          </w:r>
          <w:r>
            <w:rPr>
              <w:color w:val="auto"/>
              <w:sz w:val="21"/>
              <w:szCs w:val="21"/>
            </w:rPr>
            <w:tab/>
          </w:r>
          <w:r>
            <w:rPr>
              <w:color w:val="auto"/>
              <w:sz w:val="21"/>
              <w:szCs w:val="21"/>
            </w:rPr>
            <w:fldChar w:fldCharType="begin"/>
          </w:r>
          <w:r>
            <w:rPr>
              <w:color w:val="auto"/>
              <w:sz w:val="21"/>
              <w:szCs w:val="21"/>
            </w:rPr>
            <w:instrText xml:space="preserve"> PAGEREF _Toc2259 \h </w:instrText>
          </w:r>
          <w:r>
            <w:rPr>
              <w:color w:val="auto"/>
              <w:sz w:val="21"/>
              <w:szCs w:val="21"/>
            </w:rPr>
            <w:fldChar w:fldCharType="separate"/>
          </w:r>
          <w:r>
            <w:rPr>
              <w:color w:val="auto"/>
              <w:sz w:val="21"/>
              <w:szCs w:val="21"/>
            </w:rPr>
            <w:t>20</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_Toc11385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5.2 审批部门审批决定</w:t>
          </w:r>
          <w:r>
            <w:rPr>
              <w:color w:val="auto"/>
              <w:sz w:val="21"/>
              <w:szCs w:val="21"/>
            </w:rPr>
            <w:tab/>
          </w:r>
          <w:r>
            <w:rPr>
              <w:color w:val="auto"/>
              <w:sz w:val="21"/>
              <w:szCs w:val="21"/>
            </w:rPr>
            <w:fldChar w:fldCharType="begin"/>
          </w:r>
          <w:r>
            <w:rPr>
              <w:color w:val="auto"/>
              <w:sz w:val="21"/>
              <w:szCs w:val="21"/>
            </w:rPr>
            <w:instrText xml:space="preserve"> PAGEREF _Toc11385 \h </w:instrText>
          </w:r>
          <w:r>
            <w:rPr>
              <w:color w:val="auto"/>
              <w:sz w:val="21"/>
              <w:szCs w:val="21"/>
            </w:rPr>
            <w:fldChar w:fldCharType="separate"/>
          </w:r>
          <w:r>
            <w:rPr>
              <w:color w:val="auto"/>
              <w:sz w:val="21"/>
              <w:szCs w:val="21"/>
            </w:rPr>
            <w:t>20</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_Toc1831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5.3 与环评批复对照分析</w:t>
          </w:r>
          <w:r>
            <w:rPr>
              <w:color w:val="auto"/>
              <w:sz w:val="21"/>
              <w:szCs w:val="21"/>
            </w:rPr>
            <w:tab/>
          </w:r>
          <w:r>
            <w:rPr>
              <w:color w:val="auto"/>
              <w:sz w:val="21"/>
              <w:szCs w:val="21"/>
            </w:rPr>
            <w:fldChar w:fldCharType="begin"/>
          </w:r>
          <w:r>
            <w:rPr>
              <w:color w:val="auto"/>
              <w:sz w:val="21"/>
              <w:szCs w:val="21"/>
            </w:rPr>
            <w:instrText xml:space="preserve"> PAGEREF _Toc1831 \h </w:instrText>
          </w:r>
          <w:r>
            <w:rPr>
              <w:color w:val="auto"/>
              <w:sz w:val="21"/>
              <w:szCs w:val="21"/>
            </w:rPr>
            <w:fldChar w:fldCharType="separate"/>
          </w:r>
          <w:r>
            <w:rPr>
              <w:color w:val="auto"/>
              <w:sz w:val="21"/>
              <w:szCs w:val="21"/>
            </w:rPr>
            <w:t>22</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_Toc1772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5.4 变动影响分析主要结论</w:t>
          </w:r>
          <w:r>
            <w:rPr>
              <w:color w:val="auto"/>
              <w:sz w:val="21"/>
              <w:szCs w:val="21"/>
            </w:rPr>
            <w:tab/>
          </w:r>
          <w:r>
            <w:rPr>
              <w:color w:val="auto"/>
              <w:sz w:val="21"/>
              <w:szCs w:val="21"/>
            </w:rPr>
            <w:fldChar w:fldCharType="begin"/>
          </w:r>
          <w:r>
            <w:rPr>
              <w:color w:val="auto"/>
              <w:sz w:val="21"/>
              <w:szCs w:val="21"/>
            </w:rPr>
            <w:instrText xml:space="preserve"> PAGEREF _Toc1772 \h </w:instrText>
          </w:r>
          <w:r>
            <w:rPr>
              <w:color w:val="auto"/>
              <w:sz w:val="21"/>
              <w:szCs w:val="21"/>
            </w:rPr>
            <w:fldChar w:fldCharType="separate"/>
          </w:r>
          <w:r>
            <w:rPr>
              <w:color w:val="auto"/>
              <w:sz w:val="21"/>
              <w:szCs w:val="21"/>
            </w:rPr>
            <w:t>25</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_Toc30240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6 验收执行标准</w:t>
          </w:r>
          <w:r>
            <w:rPr>
              <w:color w:val="auto"/>
              <w:sz w:val="21"/>
              <w:szCs w:val="21"/>
            </w:rPr>
            <w:tab/>
          </w:r>
          <w:r>
            <w:rPr>
              <w:color w:val="auto"/>
              <w:sz w:val="21"/>
              <w:szCs w:val="21"/>
            </w:rPr>
            <w:fldChar w:fldCharType="begin"/>
          </w:r>
          <w:r>
            <w:rPr>
              <w:color w:val="auto"/>
              <w:sz w:val="21"/>
              <w:szCs w:val="21"/>
            </w:rPr>
            <w:instrText xml:space="preserve"> PAGEREF _Toc30240 \h </w:instrText>
          </w:r>
          <w:r>
            <w:rPr>
              <w:color w:val="auto"/>
              <w:sz w:val="21"/>
              <w:szCs w:val="21"/>
            </w:rPr>
            <w:fldChar w:fldCharType="separate"/>
          </w:r>
          <w:r>
            <w:rPr>
              <w:color w:val="auto"/>
              <w:sz w:val="21"/>
              <w:szCs w:val="21"/>
            </w:rPr>
            <w:t>26</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_Toc17193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6.1 废水执行标准</w:t>
          </w:r>
          <w:r>
            <w:rPr>
              <w:color w:val="auto"/>
              <w:sz w:val="21"/>
              <w:szCs w:val="21"/>
            </w:rPr>
            <w:tab/>
          </w:r>
          <w:r>
            <w:rPr>
              <w:color w:val="auto"/>
              <w:sz w:val="21"/>
              <w:szCs w:val="21"/>
            </w:rPr>
            <w:fldChar w:fldCharType="begin"/>
          </w:r>
          <w:r>
            <w:rPr>
              <w:color w:val="auto"/>
              <w:sz w:val="21"/>
              <w:szCs w:val="21"/>
            </w:rPr>
            <w:instrText xml:space="preserve"> PAGEREF _Toc17193 \h </w:instrText>
          </w:r>
          <w:r>
            <w:rPr>
              <w:color w:val="auto"/>
              <w:sz w:val="21"/>
              <w:szCs w:val="21"/>
            </w:rPr>
            <w:fldChar w:fldCharType="separate"/>
          </w:r>
          <w:r>
            <w:rPr>
              <w:color w:val="auto"/>
              <w:sz w:val="21"/>
              <w:szCs w:val="21"/>
            </w:rPr>
            <w:t>26</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_Toc6544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6.2 废气执行标准</w:t>
          </w:r>
          <w:r>
            <w:rPr>
              <w:color w:val="auto"/>
              <w:sz w:val="21"/>
              <w:szCs w:val="21"/>
            </w:rPr>
            <w:tab/>
          </w:r>
          <w:r>
            <w:rPr>
              <w:color w:val="auto"/>
              <w:sz w:val="21"/>
              <w:szCs w:val="21"/>
            </w:rPr>
            <w:fldChar w:fldCharType="begin"/>
          </w:r>
          <w:r>
            <w:rPr>
              <w:color w:val="auto"/>
              <w:sz w:val="21"/>
              <w:szCs w:val="21"/>
            </w:rPr>
            <w:instrText xml:space="preserve"> PAGEREF _Toc6544 \h </w:instrText>
          </w:r>
          <w:r>
            <w:rPr>
              <w:color w:val="auto"/>
              <w:sz w:val="21"/>
              <w:szCs w:val="21"/>
            </w:rPr>
            <w:fldChar w:fldCharType="separate"/>
          </w:r>
          <w:r>
            <w:rPr>
              <w:color w:val="auto"/>
              <w:sz w:val="21"/>
              <w:szCs w:val="21"/>
            </w:rPr>
            <w:t>26</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_Toc30086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6.3 噪声执行标准</w:t>
          </w:r>
          <w:r>
            <w:rPr>
              <w:color w:val="auto"/>
              <w:sz w:val="21"/>
              <w:szCs w:val="21"/>
            </w:rPr>
            <w:tab/>
          </w:r>
          <w:r>
            <w:rPr>
              <w:color w:val="auto"/>
              <w:sz w:val="21"/>
              <w:szCs w:val="21"/>
            </w:rPr>
            <w:fldChar w:fldCharType="begin"/>
          </w:r>
          <w:r>
            <w:rPr>
              <w:color w:val="auto"/>
              <w:sz w:val="21"/>
              <w:szCs w:val="21"/>
            </w:rPr>
            <w:instrText xml:space="preserve"> PAGEREF _Toc30086 \h </w:instrText>
          </w:r>
          <w:r>
            <w:rPr>
              <w:color w:val="auto"/>
              <w:sz w:val="21"/>
              <w:szCs w:val="21"/>
            </w:rPr>
            <w:fldChar w:fldCharType="separate"/>
          </w:r>
          <w:r>
            <w:rPr>
              <w:color w:val="auto"/>
              <w:sz w:val="21"/>
              <w:szCs w:val="21"/>
            </w:rPr>
            <w:t>27</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_Toc15639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6.4 固废执行标准</w:t>
          </w:r>
          <w:r>
            <w:rPr>
              <w:color w:val="auto"/>
              <w:sz w:val="21"/>
              <w:szCs w:val="21"/>
            </w:rPr>
            <w:tab/>
          </w:r>
          <w:r>
            <w:rPr>
              <w:color w:val="auto"/>
              <w:sz w:val="21"/>
              <w:szCs w:val="21"/>
            </w:rPr>
            <w:fldChar w:fldCharType="begin"/>
          </w:r>
          <w:r>
            <w:rPr>
              <w:color w:val="auto"/>
              <w:sz w:val="21"/>
              <w:szCs w:val="21"/>
            </w:rPr>
            <w:instrText xml:space="preserve"> PAGEREF _Toc15639 \h </w:instrText>
          </w:r>
          <w:r>
            <w:rPr>
              <w:color w:val="auto"/>
              <w:sz w:val="21"/>
              <w:szCs w:val="21"/>
            </w:rPr>
            <w:fldChar w:fldCharType="separate"/>
          </w:r>
          <w:r>
            <w:rPr>
              <w:color w:val="auto"/>
              <w:sz w:val="21"/>
              <w:szCs w:val="21"/>
            </w:rPr>
            <w:t>27</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_Toc10554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7 验收监测内容</w:t>
          </w:r>
          <w:r>
            <w:rPr>
              <w:color w:val="auto"/>
              <w:sz w:val="21"/>
              <w:szCs w:val="21"/>
            </w:rPr>
            <w:tab/>
          </w:r>
          <w:r>
            <w:rPr>
              <w:color w:val="auto"/>
              <w:sz w:val="21"/>
              <w:szCs w:val="21"/>
            </w:rPr>
            <w:fldChar w:fldCharType="begin"/>
          </w:r>
          <w:r>
            <w:rPr>
              <w:color w:val="auto"/>
              <w:sz w:val="21"/>
              <w:szCs w:val="21"/>
            </w:rPr>
            <w:instrText xml:space="preserve"> PAGEREF _Toc10554 \h </w:instrText>
          </w:r>
          <w:r>
            <w:rPr>
              <w:color w:val="auto"/>
              <w:sz w:val="21"/>
              <w:szCs w:val="21"/>
            </w:rPr>
            <w:fldChar w:fldCharType="separate"/>
          </w:r>
          <w:r>
            <w:rPr>
              <w:color w:val="auto"/>
              <w:sz w:val="21"/>
              <w:szCs w:val="21"/>
            </w:rPr>
            <w:t>28</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_Toc23743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7.1 废水</w:t>
          </w:r>
          <w:r>
            <w:rPr>
              <w:color w:val="auto"/>
              <w:sz w:val="21"/>
              <w:szCs w:val="21"/>
            </w:rPr>
            <w:tab/>
          </w:r>
          <w:r>
            <w:rPr>
              <w:color w:val="auto"/>
              <w:sz w:val="21"/>
              <w:szCs w:val="21"/>
            </w:rPr>
            <w:fldChar w:fldCharType="begin"/>
          </w:r>
          <w:r>
            <w:rPr>
              <w:color w:val="auto"/>
              <w:sz w:val="21"/>
              <w:szCs w:val="21"/>
            </w:rPr>
            <w:instrText xml:space="preserve"> PAGEREF _Toc23743 \h </w:instrText>
          </w:r>
          <w:r>
            <w:rPr>
              <w:color w:val="auto"/>
              <w:sz w:val="21"/>
              <w:szCs w:val="21"/>
            </w:rPr>
            <w:fldChar w:fldCharType="separate"/>
          </w:r>
          <w:r>
            <w:rPr>
              <w:color w:val="auto"/>
              <w:sz w:val="21"/>
              <w:szCs w:val="21"/>
            </w:rPr>
            <w:t>28</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_Toc22800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7.2 废气</w:t>
          </w:r>
          <w:r>
            <w:rPr>
              <w:color w:val="auto"/>
              <w:sz w:val="21"/>
              <w:szCs w:val="21"/>
            </w:rPr>
            <w:tab/>
          </w:r>
          <w:r>
            <w:rPr>
              <w:color w:val="auto"/>
              <w:sz w:val="21"/>
              <w:szCs w:val="21"/>
            </w:rPr>
            <w:fldChar w:fldCharType="begin"/>
          </w:r>
          <w:r>
            <w:rPr>
              <w:color w:val="auto"/>
              <w:sz w:val="21"/>
              <w:szCs w:val="21"/>
            </w:rPr>
            <w:instrText xml:space="preserve"> PAGEREF _Toc22800 \h </w:instrText>
          </w:r>
          <w:r>
            <w:rPr>
              <w:color w:val="auto"/>
              <w:sz w:val="21"/>
              <w:szCs w:val="21"/>
            </w:rPr>
            <w:fldChar w:fldCharType="separate"/>
          </w:r>
          <w:r>
            <w:rPr>
              <w:color w:val="auto"/>
              <w:sz w:val="21"/>
              <w:szCs w:val="21"/>
            </w:rPr>
            <w:t>28</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_Toc25455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7.3 噪声</w:t>
          </w:r>
          <w:r>
            <w:rPr>
              <w:color w:val="auto"/>
              <w:sz w:val="21"/>
              <w:szCs w:val="21"/>
            </w:rPr>
            <w:tab/>
          </w:r>
          <w:r>
            <w:rPr>
              <w:color w:val="auto"/>
              <w:sz w:val="21"/>
              <w:szCs w:val="21"/>
            </w:rPr>
            <w:fldChar w:fldCharType="begin"/>
          </w:r>
          <w:r>
            <w:rPr>
              <w:color w:val="auto"/>
              <w:sz w:val="21"/>
              <w:szCs w:val="21"/>
            </w:rPr>
            <w:instrText xml:space="preserve"> PAGEREF _Toc25455 \h </w:instrText>
          </w:r>
          <w:r>
            <w:rPr>
              <w:color w:val="auto"/>
              <w:sz w:val="21"/>
              <w:szCs w:val="21"/>
            </w:rPr>
            <w:fldChar w:fldCharType="separate"/>
          </w:r>
          <w:r>
            <w:rPr>
              <w:color w:val="auto"/>
              <w:sz w:val="21"/>
              <w:szCs w:val="21"/>
            </w:rPr>
            <w:t>28</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_Toc14996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8 质量保证和质量控制</w:t>
          </w:r>
          <w:r>
            <w:rPr>
              <w:color w:val="auto"/>
              <w:sz w:val="21"/>
              <w:szCs w:val="21"/>
            </w:rPr>
            <w:tab/>
          </w:r>
          <w:r>
            <w:rPr>
              <w:color w:val="auto"/>
              <w:sz w:val="21"/>
              <w:szCs w:val="21"/>
            </w:rPr>
            <w:fldChar w:fldCharType="begin"/>
          </w:r>
          <w:r>
            <w:rPr>
              <w:color w:val="auto"/>
              <w:sz w:val="21"/>
              <w:szCs w:val="21"/>
            </w:rPr>
            <w:instrText xml:space="preserve"> PAGEREF _Toc14996 \h </w:instrText>
          </w:r>
          <w:r>
            <w:rPr>
              <w:color w:val="auto"/>
              <w:sz w:val="21"/>
              <w:szCs w:val="21"/>
            </w:rPr>
            <w:fldChar w:fldCharType="separate"/>
          </w:r>
          <w:r>
            <w:rPr>
              <w:color w:val="auto"/>
              <w:sz w:val="21"/>
              <w:szCs w:val="21"/>
            </w:rPr>
            <w:t>30</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_Toc13774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8.1 监测分析方法与监测仪器</w:t>
          </w:r>
          <w:r>
            <w:rPr>
              <w:color w:val="auto"/>
              <w:sz w:val="21"/>
              <w:szCs w:val="21"/>
            </w:rPr>
            <w:tab/>
          </w:r>
          <w:r>
            <w:rPr>
              <w:color w:val="auto"/>
              <w:sz w:val="21"/>
              <w:szCs w:val="21"/>
            </w:rPr>
            <w:fldChar w:fldCharType="begin"/>
          </w:r>
          <w:r>
            <w:rPr>
              <w:color w:val="auto"/>
              <w:sz w:val="21"/>
              <w:szCs w:val="21"/>
            </w:rPr>
            <w:instrText xml:space="preserve"> PAGEREF _Toc13774 \h </w:instrText>
          </w:r>
          <w:r>
            <w:rPr>
              <w:color w:val="auto"/>
              <w:sz w:val="21"/>
              <w:szCs w:val="21"/>
            </w:rPr>
            <w:fldChar w:fldCharType="separate"/>
          </w:r>
          <w:r>
            <w:rPr>
              <w:color w:val="auto"/>
              <w:sz w:val="21"/>
              <w:szCs w:val="21"/>
            </w:rPr>
            <w:t>30</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_Toc22481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8.2 人员能力</w:t>
          </w:r>
          <w:r>
            <w:rPr>
              <w:color w:val="auto"/>
              <w:sz w:val="21"/>
              <w:szCs w:val="21"/>
            </w:rPr>
            <w:tab/>
          </w:r>
          <w:r>
            <w:rPr>
              <w:color w:val="auto"/>
              <w:sz w:val="21"/>
              <w:szCs w:val="21"/>
            </w:rPr>
            <w:fldChar w:fldCharType="begin"/>
          </w:r>
          <w:r>
            <w:rPr>
              <w:color w:val="auto"/>
              <w:sz w:val="21"/>
              <w:szCs w:val="21"/>
            </w:rPr>
            <w:instrText xml:space="preserve"> PAGEREF _Toc22481 \h </w:instrText>
          </w:r>
          <w:r>
            <w:rPr>
              <w:color w:val="auto"/>
              <w:sz w:val="21"/>
              <w:szCs w:val="21"/>
            </w:rPr>
            <w:fldChar w:fldCharType="separate"/>
          </w:r>
          <w:r>
            <w:rPr>
              <w:color w:val="auto"/>
              <w:sz w:val="21"/>
              <w:szCs w:val="21"/>
            </w:rPr>
            <w:t>31</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_Toc13729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8.3 水质监测分析过程中的质量保证和质量控制</w:t>
          </w:r>
          <w:r>
            <w:rPr>
              <w:color w:val="auto"/>
              <w:sz w:val="21"/>
              <w:szCs w:val="21"/>
            </w:rPr>
            <w:tab/>
          </w:r>
          <w:r>
            <w:rPr>
              <w:color w:val="auto"/>
              <w:sz w:val="21"/>
              <w:szCs w:val="21"/>
            </w:rPr>
            <w:fldChar w:fldCharType="begin"/>
          </w:r>
          <w:r>
            <w:rPr>
              <w:color w:val="auto"/>
              <w:sz w:val="21"/>
              <w:szCs w:val="21"/>
            </w:rPr>
            <w:instrText xml:space="preserve"> PAGEREF _Toc13729 \h </w:instrText>
          </w:r>
          <w:r>
            <w:rPr>
              <w:color w:val="auto"/>
              <w:sz w:val="21"/>
              <w:szCs w:val="21"/>
            </w:rPr>
            <w:fldChar w:fldCharType="separate"/>
          </w:r>
          <w:r>
            <w:rPr>
              <w:color w:val="auto"/>
              <w:sz w:val="21"/>
              <w:szCs w:val="21"/>
            </w:rPr>
            <w:t>31</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_Toc5082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8.4 气体监测分析过程中的质量保证和质量控制</w:t>
          </w:r>
          <w:r>
            <w:rPr>
              <w:color w:val="auto"/>
              <w:sz w:val="21"/>
              <w:szCs w:val="21"/>
            </w:rPr>
            <w:tab/>
          </w:r>
          <w:r>
            <w:rPr>
              <w:color w:val="auto"/>
              <w:sz w:val="21"/>
              <w:szCs w:val="21"/>
            </w:rPr>
            <w:fldChar w:fldCharType="begin"/>
          </w:r>
          <w:r>
            <w:rPr>
              <w:color w:val="auto"/>
              <w:sz w:val="21"/>
              <w:szCs w:val="21"/>
            </w:rPr>
            <w:instrText xml:space="preserve"> PAGEREF _Toc5082 \h </w:instrText>
          </w:r>
          <w:r>
            <w:rPr>
              <w:color w:val="auto"/>
              <w:sz w:val="21"/>
              <w:szCs w:val="21"/>
            </w:rPr>
            <w:fldChar w:fldCharType="separate"/>
          </w:r>
          <w:r>
            <w:rPr>
              <w:color w:val="auto"/>
              <w:sz w:val="21"/>
              <w:szCs w:val="21"/>
            </w:rPr>
            <w:t>31</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_Toc2208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8.5 噪声监测过程中的质量保证和质量控制</w:t>
          </w:r>
          <w:r>
            <w:rPr>
              <w:color w:val="auto"/>
              <w:sz w:val="21"/>
              <w:szCs w:val="21"/>
            </w:rPr>
            <w:tab/>
          </w:r>
          <w:r>
            <w:rPr>
              <w:color w:val="auto"/>
              <w:sz w:val="21"/>
              <w:szCs w:val="21"/>
            </w:rPr>
            <w:fldChar w:fldCharType="begin"/>
          </w:r>
          <w:r>
            <w:rPr>
              <w:color w:val="auto"/>
              <w:sz w:val="21"/>
              <w:szCs w:val="21"/>
            </w:rPr>
            <w:instrText xml:space="preserve"> PAGEREF _Toc2208 \h </w:instrText>
          </w:r>
          <w:r>
            <w:rPr>
              <w:color w:val="auto"/>
              <w:sz w:val="21"/>
              <w:szCs w:val="21"/>
            </w:rPr>
            <w:fldChar w:fldCharType="separate"/>
          </w:r>
          <w:r>
            <w:rPr>
              <w:color w:val="auto"/>
              <w:sz w:val="21"/>
              <w:szCs w:val="21"/>
            </w:rPr>
            <w:t>31</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_Toc22703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9 验收监测结果</w:t>
          </w:r>
          <w:r>
            <w:rPr>
              <w:color w:val="auto"/>
              <w:sz w:val="21"/>
              <w:szCs w:val="21"/>
            </w:rPr>
            <w:tab/>
          </w:r>
          <w:r>
            <w:rPr>
              <w:color w:val="auto"/>
              <w:sz w:val="21"/>
              <w:szCs w:val="21"/>
            </w:rPr>
            <w:fldChar w:fldCharType="begin"/>
          </w:r>
          <w:r>
            <w:rPr>
              <w:color w:val="auto"/>
              <w:sz w:val="21"/>
              <w:szCs w:val="21"/>
            </w:rPr>
            <w:instrText xml:space="preserve"> PAGEREF _Toc22703 \h </w:instrText>
          </w:r>
          <w:r>
            <w:rPr>
              <w:color w:val="auto"/>
              <w:sz w:val="21"/>
              <w:szCs w:val="21"/>
            </w:rPr>
            <w:fldChar w:fldCharType="separate"/>
          </w:r>
          <w:r>
            <w:rPr>
              <w:color w:val="auto"/>
              <w:sz w:val="21"/>
              <w:szCs w:val="21"/>
            </w:rPr>
            <w:t>33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_Toc1869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9.1 生产工况</w:t>
          </w:r>
          <w:r>
            <w:rPr>
              <w:color w:val="auto"/>
              <w:sz w:val="21"/>
              <w:szCs w:val="21"/>
            </w:rPr>
            <w:tab/>
          </w:r>
          <w:r>
            <w:rPr>
              <w:color w:val="auto"/>
              <w:sz w:val="21"/>
              <w:szCs w:val="21"/>
            </w:rPr>
            <w:fldChar w:fldCharType="begin"/>
          </w:r>
          <w:r>
            <w:rPr>
              <w:color w:val="auto"/>
              <w:sz w:val="21"/>
              <w:szCs w:val="21"/>
            </w:rPr>
            <w:instrText xml:space="preserve"> PAGEREF _Toc1869 \h </w:instrText>
          </w:r>
          <w:r>
            <w:rPr>
              <w:color w:val="auto"/>
              <w:sz w:val="21"/>
              <w:szCs w:val="21"/>
            </w:rPr>
            <w:fldChar w:fldCharType="separate"/>
          </w:r>
          <w:r>
            <w:rPr>
              <w:color w:val="auto"/>
              <w:sz w:val="21"/>
              <w:szCs w:val="21"/>
            </w:rPr>
            <w:t>33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_Toc24897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9.2 环保设施调试运行效果</w:t>
          </w:r>
          <w:r>
            <w:rPr>
              <w:color w:val="auto"/>
              <w:sz w:val="21"/>
              <w:szCs w:val="21"/>
            </w:rPr>
            <w:tab/>
          </w:r>
          <w:r>
            <w:rPr>
              <w:color w:val="auto"/>
              <w:sz w:val="21"/>
              <w:szCs w:val="21"/>
            </w:rPr>
            <w:fldChar w:fldCharType="begin"/>
          </w:r>
          <w:r>
            <w:rPr>
              <w:color w:val="auto"/>
              <w:sz w:val="21"/>
              <w:szCs w:val="21"/>
            </w:rPr>
            <w:instrText xml:space="preserve"> PAGEREF _Toc24897 \h </w:instrText>
          </w:r>
          <w:r>
            <w:rPr>
              <w:color w:val="auto"/>
              <w:sz w:val="21"/>
              <w:szCs w:val="21"/>
            </w:rPr>
            <w:fldChar w:fldCharType="separate"/>
          </w:r>
          <w:r>
            <w:rPr>
              <w:color w:val="auto"/>
              <w:sz w:val="21"/>
              <w:szCs w:val="21"/>
            </w:rPr>
            <w:t>33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21"/>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_Toc7015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9.3 污染物排放总量核算</w:t>
          </w:r>
          <w:r>
            <w:rPr>
              <w:color w:val="auto"/>
              <w:sz w:val="21"/>
              <w:szCs w:val="21"/>
            </w:rPr>
            <w:tab/>
          </w:r>
          <w:r>
            <w:rPr>
              <w:color w:val="auto"/>
              <w:sz w:val="21"/>
              <w:szCs w:val="21"/>
            </w:rPr>
            <w:fldChar w:fldCharType="begin"/>
          </w:r>
          <w:r>
            <w:rPr>
              <w:color w:val="auto"/>
              <w:sz w:val="21"/>
              <w:szCs w:val="21"/>
            </w:rPr>
            <w:instrText xml:space="preserve"> PAGEREF _Toc7015 \h </w:instrText>
          </w:r>
          <w:r>
            <w:rPr>
              <w:color w:val="auto"/>
              <w:sz w:val="21"/>
              <w:szCs w:val="21"/>
            </w:rPr>
            <w:fldChar w:fldCharType="separate"/>
          </w:r>
          <w:r>
            <w:rPr>
              <w:color w:val="auto"/>
              <w:sz w:val="21"/>
              <w:szCs w:val="21"/>
            </w:rPr>
            <w:t>38</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_Toc26786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10 验收监测结论</w:t>
          </w:r>
          <w:r>
            <w:rPr>
              <w:color w:val="auto"/>
              <w:sz w:val="21"/>
              <w:szCs w:val="21"/>
            </w:rPr>
            <w:tab/>
          </w:r>
          <w:r>
            <w:rPr>
              <w:color w:val="auto"/>
              <w:sz w:val="21"/>
              <w:szCs w:val="21"/>
            </w:rPr>
            <w:fldChar w:fldCharType="begin"/>
          </w:r>
          <w:r>
            <w:rPr>
              <w:color w:val="auto"/>
              <w:sz w:val="21"/>
              <w:szCs w:val="21"/>
            </w:rPr>
            <w:instrText xml:space="preserve"> PAGEREF _Toc26786 \h </w:instrText>
          </w:r>
          <w:r>
            <w:rPr>
              <w:color w:val="auto"/>
              <w:sz w:val="21"/>
              <w:szCs w:val="21"/>
            </w:rPr>
            <w:fldChar w:fldCharType="separate"/>
          </w:r>
          <w:r>
            <w:rPr>
              <w:color w:val="auto"/>
              <w:sz w:val="21"/>
              <w:szCs w:val="21"/>
            </w:rPr>
            <w:t>40</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_Toc21210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11 建设项目竣工环境保护“三同时”验收登记表</w:t>
          </w:r>
          <w:r>
            <w:rPr>
              <w:color w:val="auto"/>
              <w:sz w:val="21"/>
              <w:szCs w:val="21"/>
            </w:rPr>
            <w:tab/>
          </w:r>
          <w:r>
            <w:rPr>
              <w:color w:val="auto"/>
              <w:sz w:val="21"/>
              <w:szCs w:val="21"/>
            </w:rPr>
            <w:fldChar w:fldCharType="begin"/>
          </w:r>
          <w:r>
            <w:rPr>
              <w:color w:val="auto"/>
              <w:sz w:val="21"/>
              <w:szCs w:val="21"/>
            </w:rPr>
            <w:instrText xml:space="preserve"> PAGEREF _Toc21210 \h </w:instrText>
          </w:r>
          <w:r>
            <w:rPr>
              <w:color w:val="auto"/>
              <w:sz w:val="21"/>
              <w:szCs w:val="21"/>
            </w:rPr>
            <w:fldChar w:fldCharType="separate"/>
          </w:r>
          <w:r>
            <w:rPr>
              <w:color w:val="auto"/>
              <w:sz w:val="21"/>
              <w:szCs w:val="21"/>
            </w:rPr>
            <w:t>43</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_Toc4003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highlight w:val="none"/>
            </w:rPr>
            <w:t>12 附</w:t>
          </w:r>
          <w:r>
            <w:rPr>
              <w:rFonts w:hint="eastAsia" w:ascii="Times New Roman" w:hAnsi="Times New Roman" w:eastAsia="宋体" w:cs="Times New Roman"/>
              <w:color w:val="auto"/>
              <w:sz w:val="21"/>
              <w:szCs w:val="21"/>
              <w:highlight w:val="none"/>
              <w:lang w:val="en-US" w:eastAsia="zh-CN"/>
            </w:rPr>
            <w:t>图</w:t>
          </w:r>
          <w:r>
            <w:rPr>
              <w:color w:val="auto"/>
              <w:sz w:val="21"/>
              <w:szCs w:val="21"/>
            </w:rPr>
            <w:tab/>
          </w:r>
          <w:r>
            <w:rPr>
              <w:color w:val="auto"/>
              <w:sz w:val="21"/>
              <w:szCs w:val="21"/>
            </w:rPr>
            <w:fldChar w:fldCharType="begin"/>
          </w:r>
          <w:r>
            <w:rPr>
              <w:color w:val="auto"/>
              <w:sz w:val="21"/>
              <w:szCs w:val="21"/>
            </w:rPr>
            <w:instrText xml:space="preserve"> PAGEREF _Toc4003 \h </w:instrText>
          </w:r>
          <w:r>
            <w:rPr>
              <w:color w:val="auto"/>
              <w:sz w:val="21"/>
              <w:szCs w:val="21"/>
            </w:rPr>
            <w:fldChar w:fldCharType="separate"/>
          </w:r>
          <w:r>
            <w:rPr>
              <w:color w:val="auto"/>
              <w:sz w:val="21"/>
              <w:szCs w:val="21"/>
            </w:rPr>
            <w:t>44</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pStyle w:val="19"/>
            <w:keepNext w:val="0"/>
            <w:keepLines w:val="0"/>
            <w:pageBreakBefore w:val="0"/>
            <w:widowControl w:val="0"/>
            <w:tabs>
              <w:tab w:val="right" w:leader="dot" w:pos="9026"/>
            </w:tabs>
            <w:kinsoku/>
            <w:wordWrap/>
            <w:overflowPunct/>
            <w:topLinePunct w:val="0"/>
            <w:autoSpaceDE w:val="0"/>
            <w:autoSpaceDN w:val="0"/>
            <w:bidi w:val="0"/>
            <w:adjustRightInd/>
            <w:snapToGrid w:val="0"/>
            <w:spacing w:line="360" w:lineRule="auto"/>
            <w:textAlignment w:val="auto"/>
            <w:rPr>
              <w:color w:val="auto"/>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\l _Toc21353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highlight w:val="none"/>
            </w:rPr>
            <w:t>1</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 xml:space="preserve"> 附件</w:t>
          </w:r>
          <w:r>
            <w:rPr>
              <w:color w:val="auto"/>
              <w:sz w:val="21"/>
              <w:szCs w:val="21"/>
            </w:rPr>
            <w:tab/>
          </w:r>
          <w:r>
            <w:rPr>
              <w:color w:val="auto"/>
              <w:sz w:val="21"/>
              <w:szCs w:val="21"/>
            </w:rPr>
            <w:fldChar w:fldCharType="begin"/>
          </w:r>
          <w:r>
            <w:rPr>
              <w:color w:val="auto"/>
              <w:sz w:val="21"/>
              <w:szCs w:val="21"/>
            </w:rPr>
            <w:instrText xml:space="preserve"> PAGEREF _Toc21353 \h </w:instrText>
          </w:r>
          <w:r>
            <w:rPr>
              <w:color w:val="auto"/>
              <w:sz w:val="21"/>
              <w:szCs w:val="21"/>
            </w:rPr>
            <w:fldChar w:fldCharType="separate"/>
          </w:r>
          <w:r>
            <w:rPr>
              <w:color w:val="auto"/>
              <w:sz w:val="21"/>
              <w:szCs w:val="21"/>
            </w:rPr>
            <w:t>44</w:t>
          </w:r>
          <w:r>
            <w:rPr>
              <w:color w:val="auto"/>
              <w:sz w:val="21"/>
              <w:szCs w:val="21"/>
            </w:rPr>
            <w:fldChar w:fldCharType="end"/>
          </w:r>
          <w:r>
            <w:rPr>
              <w:rFonts w:hint="default" w:ascii="Times New Roman" w:hAnsi="Times New Roman" w:eastAsia="宋体" w:cs="Times New Roman"/>
              <w:color w:val="auto"/>
              <w:sz w:val="21"/>
              <w:szCs w:val="21"/>
            </w:rPr>
            <w:fldChar w:fldCharType="end"/>
          </w:r>
        </w:p>
        <w:p>
          <w:pPr>
            <w:keepNext w:val="0"/>
            <w:keepLines w:val="0"/>
            <w:pageBreakBefore w:val="0"/>
            <w:widowControl w:val="0"/>
            <w:kinsoku/>
            <w:wordWrap/>
            <w:overflowPunct/>
            <w:topLinePunct w:val="0"/>
            <w:autoSpaceDE w:val="0"/>
            <w:autoSpaceDN w:val="0"/>
            <w:bidi w:val="0"/>
            <w:adjustRightInd/>
            <w:snapToGrid w:val="0"/>
            <w:spacing w:line="360" w:lineRule="auto"/>
            <w:ind w:firstLine="0" w:firstLineChars="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fldChar w:fldCharType="end"/>
          </w:r>
        </w:p>
      </w:sdtContent>
    </w:sdt>
    <w:p>
      <w:pPr>
        <w:rPr>
          <w:rFonts w:hint="default" w:ascii="Times New Roman" w:hAnsi="Times New Roman" w:eastAsia="宋体" w:cs="Times New Roman"/>
          <w:color w:val="auto"/>
          <w:sz w:val="21"/>
          <w:szCs w:val="21"/>
        </w:rPr>
      </w:pPr>
    </w:p>
    <w:p>
      <w:pPr>
        <w:ind w:firstLine="0" w:firstLineChars="0"/>
        <w:rPr>
          <w:rFonts w:hint="default" w:ascii="Times New Roman" w:hAnsi="Times New Roman" w:eastAsia="宋体" w:cs="Times New Roman"/>
          <w:color w:val="auto"/>
        </w:rPr>
        <w:sectPr>
          <w:footerReference r:id="rId11" w:type="default"/>
          <w:pgSz w:w="11906" w:h="16838"/>
          <w:pgMar w:top="1440" w:right="1440" w:bottom="1440" w:left="144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3"/>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3" w:name="_Toc29587"/>
      <w:r>
        <w:rPr>
          <w:rFonts w:hint="default" w:ascii="Times New Roman" w:hAnsi="Times New Roman" w:eastAsia="宋体" w:cs="Times New Roman"/>
          <w:color w:val="auto"/>
        </w:rPr>
        <w:t>1 项目概况</w:t>
      </w:r>
      <w:bookmarkEnd w:id="3"/>
    </w:p>
    <w:bookmarkEnd w:id="0"/>
    <w:bookmarkEnd w:id="1"/>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lang w:eastAsia="zh-CN"/>
        </w:rPr>
        <w:t>缔壹电工科技（江苏）有限公司成立于2021年5月19日，统一社会信用代码为91320413MA262FA1XX。</w:t>
      </w:r>
      <w:r>
        <w:rPr>
          <w:rFonts w:hint="eastAsia" w:cs="Times New Roman"/>
          <w:color w:val="auto"/>
          <w:sz w:val="21"/>
          <w:szCs w:val="21"/>
          <w:lang w:val="en-US" w:eastAsia="zh-CN"/>
        </w:rPr>
        <w:t>2021年7月，</w:t>
      </w:r>
      <w:r>
        <w:rPr>
          <w:rFonts w:hint="default" w:ascii="Times New Roman" w:hAnsi="Times New Roman" w:eastAsia="宋体" w:cs="Times New Roman"/>
          <w:color w:val="auto"/>
          <w:sz w:val="21"/>
          <w:szCs w:val="21"/>
          <w:lang w:eastAsia="zh-CN"/>
        </w:rPr>
        <w:t>缔壹电工科技（江苏）有限公司计划投资5000万元租用江苏缔成特材科技有限公司的闲置厂房建设</w:t>
      </w:r>
      <w:r>
        <w:rPr>
          <w:rFonts w:hint="eastAsia" w:ascii="宋体" w:hAnsi="宋体" w:eastAsia="宋体" w:cs="宋体"/>
          <w:color w:val="auto"/>
          <w:sz w:val="21"/>
          <w:szCs w:val="21"/>
          <w:lang w:eastAsia="zh-CN"/>
        </w:rPr>
        <w:t>“缔壹电工科技锂电池胶带项目”</w:t>
      </w:r>
      <w:r>
        <w:rPr>
          <w:rFonts w:hint="default" w:ascii="Times New Roman" w:hAnsi="Times New Roman" w:eastAsia="宋体" w:cs="Times New Roman"/>
          <w:color w:val="auto"/>
          <w:sz w:val="21"/>
          <w:szCs w:val="21"/>
          <w:lang w:eastAsia="zh-CN"/>
        </w:rPr>
        <w:t>，共拟建9条锂电池胶带生产线。项目投产后可形成年产锂电池胶带21600</w:t>
      </w:r>
      <w:r>
        <w:rPr>
          <w:rFonts w:hint="default" w:ascii="Times New Roman" w:hAnsi="Times New Roman" w:eastAsia="宋体" w:cs="Times New Roman"/>
          <w:color w:val="auto"/>
          <w:sz w:val="21"/>
          <w:szCs w:val="21"/>
          <w:highlight w:val="none"/>
          <w:lang w:eastAsia="zh-CN"/>
        </w:rPr>
        <w:t>万m</w:t>
      </w:r>
      <w:r>
        <w:rPr>
          <w:rFonts w:hint="default" w:ascii="Times New Roman" w:hAnsi="Times New Roman" w:eastAsia="宋体" w:cs="Times New Roman"/>
          <w:color w:val="auto"/>
          <w:sz w:val="21"/>
          <w:szCs w:val="21"/>
          <w:highlight w:val="none"/>
          <w:vertAlign w:val="superscript"/>
          <w:lang w:eastAsia="zh-CN"/>
        </w:rPr>
        <w:t>2</w:t>
      </w:r>
      <w:r>
        <w:rPr>
          <w:rFonts w:hint="default" w:ascii="Times New Roman" w:hAnsi="Times New Roman" w:eastAsia="宋体" w:cs="Times New Roman"/>
          <w:color w:val="auto"/>
          <w:sz w:val="21"/>
          <w:szCs w:val="21"/>
          <w:highlight w:val="none"/>
          <w:lang w:eastAsia="zh-CN"/>
        </w:rPr>
        <w:t>的产能。</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2022年3月，企业委托南京昊晟环保科技有限公司编制了《缔壹电工科技（江苏）有限公司缔壹电工科技锂电池胶带项目</w:t>
      </w:r>
      <w:r>
        <w:rPr>
          <w:rFonts w:hint="eastAsia" w:cs="Times New Roman"/>
          <w:color w:val="auto"/>
          <w:sz w:val="21"/>
          <w:szCs w:val="21"/>
          <w:highlight w:val="none"/>
          <w:lang w:eastAsia="zh-CN"/>
        </w:rPr>
        <w:t>环境影响报告书</w:t>
      </w:r>
      <w:r>
        <w:rPr>
          <w:rFonts w:hint="default" w:ascii="Times New Roman" w:hAnsi="Times New Roman" w:eastAsia="宋体" w:cs="Times New Roman"/>
          <w:color w:val="auto"/>
          <w:sz w:val="21"/>
          <w:szCs w:val="21"/>
          <w:highlight w:val="none"/>
          <w:lang w:eastAsia="zh-CN"/>
        </w:rPr>
        <w:t>》，并于2022年8月10日取得了常州市环境保护局的审批意见（常金环审[2022]36号）。</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该项目于2022年9月开工建设，于2022年10月建成进入调试期。目前，项目</w:t>
      </w:r>
      <w:r>
        <w:rPr>
          <w:rFonts w:hint="eastAsia" w:cs="Times New Roman"/>
          <w:color w:val="auto"/>
          <w:sz w:val="21"/>
          <w:szCs w:val="21"/>
          <w:highlight w:val="none"/>
          <w:lang w:val="en-US" w:eastAsia="zh-CN"/>
        </w:rPr>
        <w:t>现</w:t>
      </w:r>
      <w:r>
        <w:rPr>
          <w:rFonts w:hint="default" w:ascii="Times New Roman" w:hAnsi="Times New Roman" w:eastAsia="宋体" w:cs="Times New Roman"/>
          <w:color w:val="auto"/>
          <w:sz w:val="21"/>
          <w:szCs w:val="21"/>
          <w:highlight w:val="none"/>
          <w:lang w:eastAsia="zh-CN"/>
        </w:rPr>
        <w:t>已建成2条锂电池胶带生产线，具备年产锂电池胶带4800万m</w:t>
      </w:r>
      <w:r>
        <w:rPr>
          <w:rFonts w:hint="default" w:ascii="Times New Roman" w:hAnsi="Times New Roman" w:eastAsia="宋体" w:cs="Times New Roman"/>
          <w:color w:val="auto"/>
          <w:sz w:val="21"/>
          <w:szCs w:val="21"/>
          <w:highlight w:val="none"/>
          <w:vertAlign w:val="superscript"/>
          <w:lang w:eastAsia="zh-CN"/>
        </w:rPr>
        <w:t>2</w:t>
      </w:r>
      <w:r>
        <w:rPr>
          <w:rFonts w:hint="default" w:ascii="Times New Roman" w:hAnsi="Times New Roman" w:eastAsia="宋体" w:cs="Times New Roman"/>
          <w:color w:val="auto"/>
          <w:sz w:val="21"/>
          <w:szCs w:val="21"/>
          <w:highlight w:val="none"/>
          <w:lang w:eastAsia="zh-CN"/>
        </w:rPr>
        <w:t>的生产能力，因此本项目仅为阶段验收。其他各项配套环保设施的建设均已按照设计要求与主体工程同时建设，运行情况良好，具备阶段验收监测条件。</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highlight w:val="none"/>
          <w:lang w:eastAsia="zh-CN"/>
        </w:rPr>
        <w:t>根据《建设项目竣工环境保护验收暂行办法》（国环规环评</w:t>
      </w:r>
      <w:r>
        <w:rPr>
          <w:rFonts w:hint="default" w:ascii="Times New Roman" w:hAnsi="Times New Roman" w:eastAsia="宋体" w:cs="Times New Roman"/>
          <w:color w:val="auto"/>
          <w:sz w:val="21"/>
          <w:szCs w:val="21"/>
          <w:lang w:eastAsia="zh-CN"/>
        </w:rPr>
        <w:t>【2017】4号）文件的要求，缔壹电工科技（江苏）有限公司委托南京昊晟环保科技有限公司对该项目进行竣工验收监测工作（检测项目包括废气、废水以及噪声）。南京昊晟环保科技有限公司派出技术人员于2022年1</w:t>
      </w:r>
      <w:r>
        <w:rPr>
          <w:rFonts w:hint="eastAsia" w:cs="Times New Roman"/>
          <w:color w:val="auto"/>
          <w:sz w:val="21"/>
          <w:szCs w:val="21"/>
          <w:lang w:val="en-US" w:eastAsia="zh-CN"/>
        </w:rPr>
        <w:t>1</w:t>
      </w:r>
      <w:r>
        <w:rPr>
          <w:rFonts w:hint="default" w:ascii="Times New Roman" w:hAnsi="Times New Roman" w:eastAsia="宋体" w:cs="Times New Roman"/>
          <w:color w:val="auto"/>
          <w:sz w:val="21"/>
          <w:szCs w:val="21"/>
          <w:lang w:eastAsia="zh-CN"/>
        </w:rPr>
        <w:t>月踏勘了现场，收集相关材料，编制了验收监测方案，并委</w:t>
      </w:r>
      <w:r>
        <w:rPr>
          <w:rFonts w:hint="default" w:ascii="Times New Roman" w:hAnsi="Times New Roman" w:eastAsia="宋体" w:cs="Times New Roman"/>
          <w:color w:val="auto"/>
          <w:sz w:val="21"/>
          <w:szCs w:val="21"/>
          <w:highlight w:val="none"/>
          <w:lang w:eastAsia="zh-CN"/>
        </w:rPr>
        <w:t>托江苏蓝天环境检测技术有限公司于 202</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eastAsia="zh-CN"/>
        </w:rPr>
        <w:t>年</w:t>
      </w:r>
      <w:r>
        <w:rPr>
          <w:rFonts w:hint="eastAsia"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eastAsia="zh-CN"/>
        </w:rPr>
        <w:t>月1</w:t>
      </w:r>
      <w:r>
        <w:rPr>
          <w:rFonts w:hint="eastAsia"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eastAsia="zh-CN"/>
        </w:rPr>
        <w:t>日~</w:t>
      </w:r>
      <w:r>
        <w:rPr>
          <w:rFonts w:hint="eastAsia" w:cs="Times New Roman"/>
          <w:color w:val="auto"/>
          <w:sz w:val="21"/>
          <w:szCs w:val="21"/>
          <w:highlight w:val="none"/>
          <w:lang w:val="en-US" w:eastAsia="zh-CN"/>
        </w:rPr>
        <w:t>11</w:t>
      </w:r>
      <w:r>
        <w:rPr>
          <w:rFonts w:hint="default" w:ascii="Times New Roman" w:hAnsi="Times New Roman" w:eastAsia="宋体" w:cs="Times New Roman"/>
          <w:color w:val="auto"/>
          <w:sz w:val="21"/>
          <w:szCs w:val="21"/>
          <w:highlight w:val="none"/>
          <w:lang w:eastAsia="zh-CN"/>
        </w:rPr>
        <w:t>日对该项目进行了现场验收监测，项目竣工验收监测工作（检测项目包括废气、废水以及噪声）。江苏蓝天环境检测技术有限公司于202</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eastAsia="zh-CN"/>
        </w:rPr>
        <w:t>年2月出具监测报告，报告编号：</w:t>
      </w:r>
      <w:r>
        <w:rPr>
          <w:rFonts w:hint="eastAsia" w:cs="Times New Roman"/>
          <w:color w:val="auto"/>
          <w:sz w:val="21"/>
          <w:szCs w:val="21"/>
          <w:highlight w:val="none"/>
          <w:lang w:eastAsia="zh-CN"/>
        </w:rPr>
        <w:t>LT221167</w:t>
      </w:r>
      <w:r>
        <w:rPr>
          <w:rFonts w:hint="default" w:ascii="Times New Roman" w:hAnsi="Times New Roman" w:eastAsia="宋体" w:cs="Times New Roman"/>
          <w:color w:val="auto"/>
          <w:sz w:val="21"/>
          <w:szCs w:val="21"/>
          <w:highlight w:val="none"/>
          <w:lang w:eastAsia="zh-CN"/>
        </w:rPr>
        <w:t>。南京昊晟环保科技有限公司根据现场调查情况和监测报告按照《建设项目竣工环境保护验收技术指南 污染影响类》（公告2018年第9号）编制完成了《缔壹电工科技（江苏）有限公司缔壹电工科技锂电池胶带项目竣工环境保护验收监测报告》并报验收工作组进行</w:t>
      </w:r>
      <w:r>
        <w:rPr>
          <w:rFonts w:hint="default" w:ascii="Times New Roman" w:hAnsi="Times New Roman" w:eastAsia="宋体" w:cs="Times New Roman"/>
          <w:color w:val="auto"/>
          <w:sz w:val="21"/>
          <w:szCs w:val="21"/>
          <w:lang w:eastAsia="zh-CN"/>
        </w:rPr>
        <w:t>审查。</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本次验收为阶段性验收，验收范围为《缔壹电工科技（江苏）有限公司缔壹电工科技锂电池胶带项目</w:t>
      </w:r>
      <w:r>
        <w:rPr>
          <w:rFonts w:hint="eastAsia" w:cs="Times New Roman"/>
          <w:color w:val="auto"/>
          <w:sz w:val="21"/>
          <w:szCs w:val="21"/>
          <w:lang w:eastAsia="zh-CN"/>
        </w:rPr>
        <w:t>环境影响报告书</w:t>
      </w:r>
      <w:r>
        <w:rPr>
          <w:rFonts w:hint="default" w:ascii="Times New Roman" w:hAnsi="Times New Roman" w:eastAsia="宋体" w:cs="Times New Roman"/>
          <w:color w:val="auto"/>
          <w:sz w:val="21"/>
          <w:szCs w:val="21"/>
          <w:lang w:eastAsia="zh-CN"/>
        </w:rPr>
        <w:t>》及其审批意见所述关</w:t>
      </w:r>
      <w:r>
        <w:rPr>
          <w:rFonts w:hint="eastAsia" w:ascii="宋体" w:hAnsi="宋体" w:eastAsia="宋体" w:cs="宋体"/>
          <w:color w:val="auto"/>
          <w:sz w:val="21"/>
          <w:szCs w:val="21"/>
          <w:lang w:eastAsia="zh-CN"/>
        </w:rPr>
        <w:t>于“</w:t>
      </w:r>
      <w:r>
        <w:rPr>
          <w:rFonts w:hint="default" w:ascii="Times New Roman" w:hAnsi="Times New Roman" w:eastAsia="宋体" w:cs="Times New Roman"/>
          <w:color w:val="auto"/>
          <w:sz w:val="21"/>
          <w:szCs w:val="21"/>
          <w:lang w:eastAsia="zh-CN"/>
        </w:rPr>
        <w:t>年产锂电池胶带4800万m</w:t>
      </w:r>
      <w:r>
        <w:rPr>
          <w:rFonts w:hint="default" w:ascii="Times New Roman" w:hAnsi="Times New Roman" w:eastAsia="宋体" w:cs="Times New Roman"/>
          <w:color w:val="auto"/>
          <w:sz w:val="21"/>
          <w:szCs w:val="21"/>
          <w:vertAlign w:val="superscript"/>
          <w:lang w:eastAsia="zh-CN"/>
        </w:rPr>
        <w:t>2</w:t>
      </w:r>
      <w:r>
        <w:rPr>
          <w:rFonts w:hint="default" w:ascii="Times New Roman" w:hAnsi="Times New Roman" w:eastAsia="宋体" w:cs="Times New Roman"/>
          <w:color w:val="auto"/>
          <w:sz w:val="21"/>
          <w:szCs w:val="21"/>
          <w:lang w:eastAsia="zh-CN"/>
        </w:rPr>
        <w:t>项目</w:t>
      </w:r>
      <w:r>
        <w:rPr>
          <w:rFonts w:hint="eastAsia" w:ascii="宋体" w:hAnsi="宋体" w:eastAsia="宋体" w:cs="宋体"/>
          <w:color w:val="auto"/>
          <w:sz w:val="21"/>
          <w:szCs w:val="21"/>
          <w:lang w:eastAsia="zh-CN"/>
        </w:rPr>
        <w:t>”工</w:t>
      </w:r>
      <w:r>
        <w:rPr>
          <w:rFonts w:hint="default" w:ascii="Times New Roman" w:hAnsi="Times New Roman" w:eastAsia="宋体" w:cs="Times New Roman"/>
          <w:color w:val="auto"/>
          <w:sz w:val="21"/>
          <w:szCs w:val="21"/>
          <w:lang w:eastAsia="zh-CN"/>
        </w:rPr>
        <w:t>程内容和环保治理设施。</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项目基本信息见表1-1。</w:t>
      </w:r>
    </w:p>
    <w:p>
      <w:pPr>
        <w:pStyle w:val="29"/>
        <w:keepNext w:val="0"/>
        <w:keepLines w:val="0"/>
        <w:pageBreakBefore w:val="0"/>
        <w:widowControl/>
        <w:kinsoku/>
        <w:wordWrap/>
        <w:overflowPunct/>
        <w:topLinePunct w:val="0"/>
        <w:autoSpaceDE/>
        <w:autoSpaceDN/>
        <w:bidi w:val="0"/>
        <w:adjustRightInd w:val="0"/>
        <w:snapToGrid w:val="0"/>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表1-1  项目基本信息表</w:t>
      </w:r>
    </w:p>
    <w:tbl>
      <w:tblPr>
        <w:tblStyle w:val="25"/>
        <w:tblpPr w:bottomFromText="170" w:vertAnchor="text" w:tblpXSpec="center" w:tblpY="1"/>
        <w:tblOverlap w:val="never"/>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239"/>
        <w:gridCol w:w="2014"/>
        <w:gridCol w:w="1954"/>
        <w:gridCol w:w="27"/>
        <w:gridCol w:w="283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tcBorders>
              <w:bottom w:val="single" w:color="auto" w:sz="12" w:space="0"/>
            </w:tcBorders>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项目名称</w:t>
            </w:r>
          </w:p>
        </w:tc>
        <w:tc>
          <w:tcPr>
            <w:tcW w:w="3765" w:type="pct"/>
            <w:gridSpan w:val="4"/>
            <w:tcBorders>
              <w:bottom w:val="single" w:color="auto" w:sz="12" w:space="0"/>
            </w:tcBorders>
            <w:vAlign w:val="center"/>
          </w:tcPr>
          <w:p>
            <w:pPr>
              <w:pStyle w:val="28"/>
              <w:spacing w:line="240" w:lineRule="auto"/>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缔壹电工科技锂电池胶带项目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1234" w:type="pct"/>
            <w:tcBorders>
              <w:top w:val="single" w:color="auto" w:sz="12" w:space="0"/>
            </w:tcBorders>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建设性质</w:t>
            </w:r>
          </w:p>
        </w:tc>
        <w:tc>
          <w:tcPr>
            <w:tcW w:w="1110" w:type="pct"/>
            <w:tcBorders>
              <w:top w:val="single" w:color="auto" w:sz="12" w:space="0"/>
            </w:tcBorders>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新建</w:t>
            </w:r>
          </w:p>
        </w:tc>
        <w:tc>
          <w:tcPr>
            <w:tcW w:w="1077" w:type="pct"/>
            <w:tcBorders>
              <w:top w:val="single" w:color="auto" w:sz="12" w:space="0"/>
            </w:tcBorders>
            <w:vAlign w:val="center"/>
          </w:tcPr>
          <w:p>
            <w:pPr>
              <w:pStyle w:val="28"/>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规模</w:t>
            </w:r>
          </w:p>
        </w:tc>
        <w:tc>
          <w:tcPr>
            <w:tcW w:w="1578" w:type="pct"/>
            <w:gridSpan w:val="2"/>
            <w:tcBorders>
              <w:top w:val="single" w:color="auto" w:sz="12" w:space="0"/>
            </w:tcBorders>
            <w:vAlign w:val="center"/>
          </w:tcPr>
          <w:p>
            <w:pPr>
              <w:pStyle w:val="28"/>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年产4800万m</w:t>
            </w:r>
            <w:r>
              <w:rPr>
                <w:rFonts w:hint="default" w:ascii="Times New Roman" w:hAnsi="Times New Roman" w:eastAsia="宋体" w:cs="Times New Roman"/>
                <w:color w:val="auto"/>
                <w:sz w:val="21"/>
                <w:szCs w:val="21"/>
                <w:vertAlign w:val="superscript"/>
                <w:lang w:eastAsia="zh-CN"/>
              </w:rPr>
              <w:t>2</w:t>
            </w:r>
            <w:r>
              <w:rPr>
                <w:rFonts w:hint="default" w:ascii="Times New Roman" w:hAnsi="Times New Roman" w:eastAsia="宋体" w:cs="Times New Roman"/>
                <w:color w:val="auto"/>
                <w:sz w:val="21"/>
                <w:szCs w:val="21"/>
                <w:lang w:eastAsia="zh-CN"/>
              </w:rPr>
              <w:t>锂电池胶带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344" w:type="pct"/>
            <w:gridSpan w:val="2"/>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行业类别（国民经济代码）</w:t>
            </w:r>
          </w:p>
        </w:tc>
        <w:tc>
          <w:tcPr>
            <w:tcW w:w="2655" w:type="pct"/>
            <w:gridSpan w:val="3"/>
            <w:vAlign w:val="center"/>
          </w:tcPr>
          <w:p>
            <w:pPr>
              <w:pStyle w:val="28"/>
              <w:spacing w:line="240" w:lineRule="auto"/>
              <w:rPr>
                <w:rFonts w:hint="default" w:ascii="Times New Roman" w:hAnsi="Times New Roman" w:eastAsia="宋体" w:cs="Times New Roman"/>
                <w:color w:val="auto"/>
                <w:sz w:val="21"/>
                <w:szCs w:val="21"/>
              </w:rPr>
            </w:pPr>
            <w:r>
              <w:rPr>
                <w:color w:val="auto"/>
                <w:spacing w:val="-4"/>
                <w:sz w:val="21"/>
                <w:szCs w:val="21"/>
              </w:rPr>
              <w:t>C2929塑料零件及其他塑料制品制造</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占地面积</w:t>
            </w:r>
          </w:p>
        </w:tc>
        <w:tc>
          <w:tcPr>
            <w:tcW w:w="1110" w:type="pct"/>
            <w:vAlign w:val="center"/>
          </w:tcPr>
          <w:p>
            <w:pPr>
              <w:pStyle w:val="28"/>
              <w:spacing w:line="240" w:lineRule="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2600</w:t>
            </w:r>
            <w:r>
              <w:rPr>
                <w:rFonts w:hint="default" w:ascii="Times New Roman" w:hAnsi="Times New Roman" w:eastAsia="宋体" w:cs="Times New Roman"/>
                <w:color w:val="auto"/>
                <w:sz w:val="21"/>
                <w:szCs w:val="21"/>
              </w:rPr>
              <w:t>平方米</w:t>
            </w:r>
          </w:p>
        </w:tc>
        <w:tc>
          <w:tcPr>
            <w:tcW w:w="1077"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绿化面积</w:t>
            </w:r>
          </w:p>
        </w:tc>
        <w:tc>
          <w:tcPr>
            <w:tcW w:w="1578" w:type="pct"/>
            <w:gridSpan w:val="2"/>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本项目总投资</w:t>
            </w:r>
          </w:p>
        </w:tc>
        <w:tc>
          <w:tcPr>
            <w:tcW w:w="1110" w:type="pct"/>
            <w:vAlign w:val="center"/>
          </w:tcPr>
          <w:p>
            <w:pPr>
              <w:pStyle w:val="28"/>
              <w:spacing w:line="240" w:lineRule="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2000</w:t>
            </w:r>
            <w:r>
              <w:rPr>
                <w:rFonts w:hint="default" w:ascii="Times New Roman" w:hAnsi="Times New Roman" w:eastAsia="宋体" w:cs="Times New Roman"/>
                <w:color w:val="auto"/>
                <w:sz w:val="21"/>
                <w:szCs w:val="21"/>
              </w:rPr>
              <w:t>万元</w:t>
            </w:r>
          </w:p>
        </w:tc>
        <w:tc>
          <w:tcPr>
            <w:tcW w:w="1077"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本项目环保投资</w:t>
            </w:r>
          </w:p>
        </w:tc>
        <w:tc>
          <w:tcPr>
            <w:tcW w:w="1578" w:type="pct"/>
            <w:gridSpan w:val="2"/>
            <w:vAlign w:val="center"/>
          </w:tcPr>
          <w:p>
            <w:pPr>
              <w:pStyle w:val="28"/>
              <w:spacing w:line="240" w:lineRule="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300</w:t>
            </w:r>
            <w:r>
              <w:rPr>
                <w:rFonts w:hint="default" w:ascii="Times New Roman" w:hAnsi="Times New Roman" w:eastAsia="宋体" w:cs="Times New Roman"/>
                <w:color w:val="auto"/>
                <w:sz w:val="21"/>
                <w:szCs w:val="21"/>
              </w:rPr>
              <w:t>万元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建设地点</w:t>
            </w:r>
          </w:p>
        </w:tc>
        <w:tc>
          <w:tcPr>
            <w:tcW w:w="3765" w:type="pct"/>
            <w:gridSpan w:val="4"/>
            <w:vAlign w:val="center"/>
          </w:tcPr>
          <w:p>
            <w:pPr>
              <w:pStyle w:val="28"/>
              <w:spacing w:line="240" w:lineRule="auto"/>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江苏省金坛经济开发区金胜东路218号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建设单位</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缔壹电工科技（江苏）有限公司</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法人代表</w:t>
            </w:r>
          </w:p>
        </w:tc>
        <w:tc>
          <w:tcPr>
            <w:tcW w:w="1110"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梁永勤</w:t>
            </w:r>
          </w:p>
        </w:tc>
        <w:tc>
          <w:tcPr>
            <w:tcW w:w="1077"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联系人</w:t>
            </w:r>
          </w:p>
        </w:tc>
        <w:tc>
          <w:tcPr>
            <w:tcW w:w="1578" w:type="pct"/>
            <w:gridSpan w:val="2"/>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朱高峰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联系电话</w:t>
            </w:r>
          </w:p>
        </w:tc>
        <w:tc>
          <w:tcPr>
            <w:tcW w:w="1110"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18796891766</w:t>
            </w:r>
          </w:p>
        </w:tc>
        <w:tc>
          <w:tcPr>
            <w:tcW w:w="1077"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邮政编码</w:t>
            </w:r>
          </w:p>
        </w:tc>
        <w:tc>
          <w:tcPr>
            <w:tcW w:w="1578" w:type="pct"/>
            <w:gridSpan w:val="2"/>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213200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立项审批部门</w:t>
            </w:r>
          </w:p>
        </w:tc>
        <w:tc>
          <w:tcPr>
            <w:tcW w:w="3765" w:type="pct"/>
            <w:gridSpan w:val="4"/>
            <w:vAlign w:val="center"/>
          </w:tcPr>
          <w:p>
            <w:pPr>
              <w:pStyle w:val="28"/>
              <w:spacing w:line="240" w:lineRule="auto"/>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常州市生态环境局</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立项时间</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2021</w:t>
            </w:r>
            <w:r>
              <w:rPr>
                <w:rFonts w:hint="default" w:ascii="Times New Roman" w:hAnsi="Times New Roman" w:eastAsia="宋体" w:cs="Times New Roman"/>
                <w:color w:val="auto"/>
                <w:sz w:val="21"/>
                <w:szCs w:val="21"/>
              </w:rPr>
              <w:t>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项目代码</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2107-320458-89-03-834099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报告书编制单位</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南京昊晟环保科技有限公司</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报告书完成时间</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2022年</w:t>
            </w:r>
            <w:r>
              <w:rPr>
                <w:rFonts w:hint="eastAsia" w:ascii="Times New Roman" w:hAnsi="Times New Roman" w:eastAsia="宋体" w:cs="Times New Roman"/>
                <w:color w:val="auto"/>
                <w:sz w:val="21"/>
                <w:szCs w:val="21"/>
                <w:lang w:val="en-US" w:eastAsia="zh-CN"/>
              </w:rPr>
              <w:t>3</w:t>
            </w:r>
            <w:r>
              <w:rPr>
                <w:rFonts w:hint="default" w:ascii="Times New Roman" w:hAnsi="Times New Roman" w:eastAsia="宋体" w:cs="Times New Roman"/>
                <w:color w:val="auto"/>
                <w:sz w:val="21"/>
                <w:szCs w:val="21"/>
              </w:rPr>
              <w:t>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审批部门</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常州市生态环境局</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审批时间</w:t>
            </w:r>
          </w:p>
        </w:tc>
        <w:tc>
          <w:tcPr>
            <w:tcW w:w="1110"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2022年</w:t>
            </w:r>
            <w:r>
              <w:rPr>
                <w:rFonts w:hint="eastAsia" w:ascii="Times New Roman" w:hAnsi="Times New Roman" w:eastAsia="宋体" w:cs="Times New Roman"/>
                <w:color w:val="auto"/>
                <w:sz w:val="21"/>
                <w:szCs w:val="21"/>
                <w:lang w:val="en-US" w:eastAsia="zh-CN"/>
              </w:rPr>
              <w:t>8</w:t>
            </w:r>
            <w:r>
              <w:rPr>
                <w:rFonts w:hint="default" w:ascii="Times New Roman" w:hAnsi="Times New Roman" w:eastAsia="宋体" w:cs="Times New Roman"/>
                <w:color w:val="auto"/>
                <w:sz w:val="21"/>
                <w:szCs w:val="21"/>
              </w:rPr>
              <w:t>月1</w:t>
            </w:r>
            <w:r>
              <w:rPr>
                <w:rFonts w:hint="eastAsia" w:ascii="Times New Roman" w:hAnsi="Times New Roman" w:eastAsia="宋体" w:cs="Times New Roman"/>
                <w:color w:val="auto"/>
                <w:sz w:val="21"/>
                <w:szCs w:val="21"/>
                <w:lang w:val="en-US" w:eastAsia="zh-CN"/>
              </w:rPr>
              <w:t>0</w:t>
            </w:r>
            <w:r>
              <w:rPr>
                <w:rFonts w:hint="default" w:ascii="Times New Roman" w:hAnsi="Times New Roman" w:eastAsia="宋体" w:cs="Times New Roman"/>
                <w:color w:val="auto"/>
                <w:sz w:val="21"/>
                <w:szCs w:val="21"/>
              </w:rPr>
              <w:t>日</w:t>
            </w:r>
          </w:p>
        </w:tc>
        <w:tc>
          <w:tcPr>
            <w:tcW w:w="1077"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审批文号</w:t>
            </w:r>
          </w:p>
        </w:tc>
        <w:tc>
          <w:tcPr>
            <w:tcW w:w="1578" w:type="pct"/>
            <w:gridSpan w:val="2"/>
            <w:vAlign w:val="center"/>
          </w:tcPr>
          <w:p>
            <w:pPr>
              <w:pStyle w:val="28"/>
              <w:spacing w:line="240" w:lineRule="auto"/>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常金环审[2022]36号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153"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开工时间</w:t>
            </w:r>
          </w:p>
        </w:tc>
        <w:tc>
          <w:tcPr>
            <w:tcW w:w="1110"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2022年</w:t>
            </w:r>
            <w:r>
              <w:rPr>
                <w:rFonts w:hint="eastAsia" w:ascii="Times New Roman" w:hAnsi="Times New Roman" w:eastAsia="宋体" w:cs="Times New Roman"/>
                <w:color w:val="auto"/>
                <w:sz w:val="21"/>
                <w:szCs w:val="21"/>
                <w:lang w:val="en-US" w:eastAsia="zh-CN"/>
              </w:rPr>
              <w:t>9</w:t>
            </w:r>
            <w:r>
              <w:rPr>
                <w:rFonts w:hint="default" w:ascii="Times New Roman" w:hAnsi="Times New Roman" w:eastAsia="宋体" w:cs="Times New Roman"/>
                <w:color w:val="auto"/>
                <w:sz w:val="21"/>
                <w:szCs w:val="21"/>
              </w:rPr>
              <w:t>月</w:t>
            </w:r>
          </w:p>
        </w:tc>
        <w:tc>
          <w:tcPr>
            <w:tcW w:w="1077"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竣工时间</w:t>
            </w:r>
          </w:p>
        </w:tc>
        <w:tc>
          <w:tcPr>
            <w:tcW w:w="1578" w:type="pct"/>
            <w:gridSpan w:val="2"/>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2022年</w:t>
            </w:r>
            <w:r>
              <w:rPr>
                <w:rFonts w:hint="eastAsia" w:ascii="Times New Roman" w:hAnsi="Times New Roman" w:eastAsia="宋体" w:cs="Times New Roman"/>
                <w:color w:val="auto"/>
                <w:sz w:val="21"/>
                <w:szCs w:val="21"/>
                <w:lang w:val="en-US" w:eastAsia="zh-CN"/>
              </w:rPr>
              <w:t>10</w:t>
            </w:r>
            <w:r>
              <w:rPr>
                <w:rFonts w:hint="default" w:ascii="Times New Roman" w:hAnsi="Times New Roman" w:eastAsia="宋体" w:cs="Times New Roman"/>
                <w:color w:val="auto"/>
                <w:sz w:val="21"/>
                <w:szCs w:val="21"/>
              </w:rPr>
              <w:t>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60"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调试时间</w:t>
            </w:r>
          </w:p>
        </w:tc>
        <w:tc>
          <w:tcPr>
            <w:tcW w:w="1110"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2022年</w:t>
            </w:r>
            <w:r>
              <w:rPr>
                <w:rFonts w:hint="eastAsia" w:ascii="Times New Roman" w:hAnsi="Times New Roman" w:eastAsia="宋体" w:cs="Times New Roman"/>
                <w:color w:val="auto"/>
                <w:sz w:val="21"/>
                <w:szCs w:val="21"/>
                <w:lang w:val="en-US" w:eastAsia="zh-CN"/>
              </w:rPr>
              <w:t>10</w:t>
            </w:r>
            <w:r>
              <w:rPr>
                <w:rFonts w:hint="default" w:ascii="Times New Roman" w:hAnsi="Times New Roman" w:eastAsia="宋体" w:cs="Times New Roman"/>
                <w:color w:val="auto"/>
                <w:sz w:val="21"/>
                <w:szCs w:val="21"/>
              </w:rPr>
              <w:t>月</w:t>
            </w:r>
          </w:p>
        </w:tc>
        <w:tc>
          <w:tcPr>
            <w:tcW w:w="1077"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验收工作启动时间</w:t>
            </w:r>
          </w:p>
        </w:tc>
        <w:tc>
          <w:tcPr>
            <w:tcW w:w="1578" w:type="pct"/>
            <w:gridSpan w:val="2"/>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2022年</w:t>
            </w:r>
            <w:r>
              <w:rPr>
                <w:rFonts w:hint="eastAsia" w:ascii="Times New Roman" w:hAnsi="Times New Roman" w:eastAsia="宋体" w:cs="Times New Roman"/>
                <w:color w:val="auto"/>
                <w:sz w:val="21"/>
                <w:szCs w:val="21"/>
                <w:lang w:val="en-US" w:eastAsia="zh-CN"/>
              </w:rPr>
              <w:t>11</w:t>
            </w:r>
            <w:r>
              <w:rPr>
                <w:rFonts w:hint="default"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15</w:t>
            </w:r>
            <w:r>
              <w:rPr>
                <w:rFonts w:hint="default" w:ascii="Times New Roman" w:hAnsi="Times New Roman" w:eastAsia="宋体" w:cs="Times New Roman"/>
                <w:color w:val="auto"/>
                <w:sz w:val="21"/>
                <w:szCs w:val="21"/>
              </w:rPr>
              <w:t>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验收范围</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rPr>
            </w:pPr>
            <w:r>
              <w:rPr>
                <w:rFonts w:hint="eastAsia" w:ascii="宋体" w:hAnsi="宋体" w:eastAsia="宋体" w:cs="宋体"/>
                <w:color w:val="auto"/>
                <w:sz w:val="21"/>
                <w:szCs w:val="21"/>
                <w:lang w:eastAsia="zh-CN"/>
              </w:rPr>
              <w:t>“</w:t>
            </w:r>
            <w:r>
              <w:rPr>
                <w:rFonts w:hint="default" w:ascii="Times New Roman" w:hAnsi="Times New Roman" w:eastAsia="宋体" w:cs="Times New Roman"/>
                <w:color w:val="auto"/>
                <w:sz w:val="21"/>
                <w:szCs w:val="21"/>
                <w:lang w:eastAsia="zh-CN"/>
              </w:rPr>
              <w:t>年产锂电池胶带4800万m</w:t>
            </w:r>
            <w:r>
              <w:rPr>
                <w:rFonts w:hint="default" w:ascii="Times New Roman" w:hAnsi="Times New Roman" w:eastAsia="宋体" w:cs="Times New Roman"/>
                <w:color w:val="auto"/>
                <w:sz w:val="21"/>
                <w:szCs w:val="21"/>
                <w:vertAlign w:val="superscript"/>
                <w:lang w:eastAsia="zh-CN"/>
              </w:rPr>
              <w:t>2</w:t>
            </w:r>
            <w:r>
              <w:rPr>
                <w:rFonts w:hint="default" w:ascii="Times New Roman" w:hAnsi="Times New Roman" w:eastAsia="宋体" w:cs="Times New Roman"/>
                <w:color w:val="auto"/>
                <w:sz w:val="21"/>
                <w:szCs w:val="21"/>
                <w:lang w:eastAsia="zh-CN"/>
              </w:rPr>
              <w:t>项目</w:t>
            </w:r>
            <w:r>
              <w:rPr>
                <w:rFonts w:hint="eastAsia" w:ascii="宋体" w:hAnsi="宋体" w:eastAsia="宋体" w:cs="宋体"/>
                <w:color w:val="auto"/>
                <w:sz w:val="21"/>
                <w:szCs w:val="21"/>
                <w:lang w:eastAsia="zh-CN"/>
              </w:rPr>
              <w:t>”工</w:t>
            </w:r>
            <w:r>
              <w:rPr>
                <w:rFonts w:hint="default" w:ascii="Times New Roman" w:hAnsi="Times New Roman" w:eastAsia="宋体" w:cs="Times New Roman"/>
                <w:color w:val="auto"/>
                <w:sz w:val="21"/>
                <w:szCs w:val="21"/>
                <w:lang w:eastAsia="zh-CN"/>
              </w:rPr>
              <w:t>程内容和环保治理设施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排污许可证发证日期</w:t>
            </w:r>
          </w:p>
        </w:tc>
        <w:tc>
          <w:tcPr>
            <w:tcW w:w="1110"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2022年11月</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1日</w:t>
            </w:r>
          </w:p>
        </w:tc>
        <w:tc>
          <w:tcPr>
            <w:tcW w:w="1092" w:type="pct"/>
            <w:gridSpan w:val="2"/>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管理类型</w:t>
            </w:r>
          </w:p>
        </w:tc>
        <w:tc>
          <w:tcPr>
            <w:tcW w:w="1563" w:type="pct"/>
            <w:vAlign w:val="center"/>
          </w:tcPr>
          <w:p>
            <w:pPr>
              <w:pStyle w:val="28"/>
              <w:spacing w:line="240" w:lineRule="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登记</w:t>
            </w:r>
            <w:r>
              <w:rPr>
                <w:rFonts w:hint="default" w:ascii="Times New Roman" w:hAnsi="Times New Roman" w:eastAsia="宋体" w:cs="Times New Roman"/>
                <w:color w:val="auto"/>
                <w:sz w:val="21"/>
                <w:szCs w:val="21"/>
              </w:rPr>
              <w:t>管理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许可证编号</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9132</w:t>
            </w:r>
            <w:r>
              <w:rPr>
                <w:rFonts w:hint="eastAsia" w:ascii="Times New Roman" w:hAnsi="Times New Roman" w:eastAsia="宋体" w:cs="Times New Roman"/>
                <w:color w:val="auto"/>
                <w:sz w:val="21"/>
                <w:szCs w:val="21"/>
                <w:lang w:val="en-US" w:eastAsia="zh-CN"/>
              </w:rPr>
              <w:t>0413</w:t>
            </w:r>
            <w:r>
              <w:rPr>
                <w:rFonts w:hint="default" w:ascii="Times New Roman" w:hAnsi="Times New Roman" w:eastAsia="宋体" w:cs="Times New Roman"/>
                <w:color w:val="auto"/>
                <w:sz w:val="21"/>
                <w:szCs w:val="21"/>
              </w:rPr>
              <w:t>MA</w:t>
            </w:r>
            <w:r>
              <w:rPr>
                <w:rFonts w:hint="eastAsia" w:ascii="Times New Roman" w:hAnsi="Times New Roman" w:eastAsia="宋体" w:cs="Times New Roman"/>
                <w:color w:val="auto"/>
                <w:sz w:val="21"/>
                <w:szCs w:val="21"/>
                <w:lang w:val="en-US" w:eastAsia="zh-CN"/>
              </w:rPr>
              <w:t>262FA1XX001X</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234"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有效期</w:t>
            </w:r>
          </w:p>
        </w:tc>
        <w:tc>
          <w:tcPr>
            <w:tcW w:w="3765" w:type="pct"/>
            <w:gridSpan w:val="4"/>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2027年</w:t>
            </w:r>
            <w:r>
              <w:rPr>
                <w:rFonts w:hint="eastAsia" w:ascii="Times New Roman" w:hAnsi="Times New Roman" w:eastAsia="宋体" w:cs="Times New Roman"/>
                <w:color w:val="auto"/>
                <w:sz w:val="21"/>
                <w:szCs w:val="21"/>
                <w:lang w:val="en-US" w:eastAsia="zh-CN"/>
              </w:rPr>
              <w:t>11</w:t>
            </w:r>
            <w:r>
              <w:rPr>
                <w:rFonts w:hint="default"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20</w:t>
            </w:r>
            <w:r>
              <w:rPr>
                <w:rFonts w:hint="default" w:ascii="Times New Roman" w:hAnsi="Times New Roman" w:eastAsia="宋体" w:cs="Times New Roman"/>
                <w:color w:val="auto"/>
                <w:sz w:val="21"/>
                <w:szCs w:val="21"/>
              </w:rPr>
              <w:t>日</w:t>
            </w:r>
          </w:p>
        </w:tc>
      </w:tr>
    </w:tbl>
    <w:p>
      <w:pPr>
        <w:pStyle w:val="12"/>
        <w:rPr>
          <w:rFonts w:hint="default"/>
          <w:lang w:eastAsia="zh-CN"/>
        </w:rPr>
        <w:sectPr>
          <w:footerReference r:id="rId12" w:type="default"/>
          <w:pgSz w:w="11906" w:h="16838"/>
          <w:pgMar w:top="1440" w:right="1440" w:bottom="1440" w:left="144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3"/>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4" w:name="_Toc3293"/>
      <w:r>
        <w:rPr>
          <w:rFonts w:hint="default" w:ascii="Times New Roman" w:hAnsi="Times New Roman" w:eastAsia="宋体" w:cs="Times New Roman"/>
          <w:color w:val="auto"/>
        </w:rPr>
        <w:t>2 验收依据</w:t>
      </w:r>
      <w:bookmarkEnd w:id="4"/>
    </w:p>
    <w:p>
      <w:pPr>
        <w:pStyle w:val="4"/>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5" w:name="_Toc6504"/>
      <w:r>
        <w:rPr>
          <w:rFonts w:hint="default" w:ascii="Times New Roman" w:hAnsi="Times New Roman" w:eastAsia="宋体" w:cs="Times New Roman"/>
          <w:color w:val="auto"/>
        </w:rPr>
        <w:t>2.1 建设项目环境保护相关法律、法规和规章制度</w:t>
      </w:r>
      <w:bookmarkEnd w:id="5"/>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1、《中华人民共和国环境保护法》（2015年1月1日施行）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2、《中华人民共和国环境影响评价法》（2018年12月29日施行）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3、《中华人民共和国水污染防治法》（2018年1月1日施行）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4、《中华人民共和国大气污染防治法》（2018年10月26日施行）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5、《中华人民共和国环境噪声污染防治法》（2022年6月5日施行）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6、《中华人民共和国固体废物污染环境防治法》（2020年9月1日施行）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7、《排污许可管理条例》（2021年3月1日施行）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8、《中华人民共和国土壤污染防治法》（2019年1月1日施行）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9、《建设项目环境保护管理条例》（2017年10月1日施行）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10、《江苏省大气污染防治条例》（2018年5月1日施行）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11、《江苏省固体废物污染环境防治条例》（2018年3月28日施行）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12、《江苏省水污染防治条例》（2021年5月1日施行）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13、《建设项目竣工环境保护验收暂行办法》（2017年11月22日施行）</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14、《江苏省排污口设置及规范化整治管理办法》（苏环控[1997]122号）</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15、《关于进一步加强危险废物污染防治工作的实施意见》（苏环办[2019]327号）</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s="Times New Roman"/>
          <w:color w:val="auto"/>
          <w:sz w:val="21"/>
          <w:szCs w:val="21"/>
          <w:lang w:eastAsia="zh-CN"/>
        </w:rPr>
      </w:pPr>
      <w:r>
        <w:rPr>
          <w:rFonts w:hint="default" w:ascii="Times New Roman" w:hAnsi="Times New Roman" w:eastAsia="宋体" w:cs="Times New Roman"/>
          <w:color w:val="auto"/>
          <w:sz w:val="21"/>
          <w:szCs w:val="21"/>
        </w:rPr>
        <w:t>16、《污染影响类建设项目重大变动清单（试行）》（环办环评函[2020]688号）</w:t>
      </w:r>
      <w:r>
        <w:rPr>
          <w:rFonts w:hint="eastAsia" w:cs="Times New Roman"/>
          <w:color w:val="auto"/>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ascii="Times New Roman" w:hAnsi="Times New Roman" w:eastAsia="宋体"/>
          <w:color w:val="auto"/>
          <w:sz w:val="21"/>
          <w:szCs w:val="21"/>
        </w:rPr>
      </w:pPr>
      <w:r>
        <w:rPr>
          <w:rFonts w:hint="eastAsia" w:ascii="Times New Roman" w:hAnsi="Times New Roman" w:eastAsia="宋体"/>
          <w:color w:val="auto"/>
          <w:sz w:val="21"/>
          <w:szCs w:val="21"/>
          <w:lang w:val="en-US" w:eastAsia="zh-CN"/>
        </w:rPr>
        <w:t>17、</w:t>
      </w:r>
      <w:r>
        <w:rPr>
          <w:rFonts w:hint="eastAsia" w:ascii="Times New Roman" w:hAnsi="Times New Roman" w:eastAsia="宋体"/>
          <w:color w:val="auto"/>
          <w:sz w:val="21"/>
          <w:szCs w:val="21"/>
        </w:rPr>
        <w:t>《国家危险废物名录（2021年版）》；</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imes New Roman" w:hAnsi="Times New Roman" w:eastAsia="宋体"/>
          <w:color w:val="auto"/>
          <w:sz w:val="21"/>
          <w:szCs w:val="21"/>
        </w:rPr>
      </w:pPr>
      <w:r>
        <w:rPr>
          <w:rFonts w:hint="eastAsia" w:ascii="Times New Roman" w:hAnsi="Times New Roman" w:eastAsia="宋体"/>
          <w:color w:val="auto"/>
          <w:sz w:val="21"/>
          <w:szCs w:val="21"/>
          <w:lang w:val="en-US" w:eastAsia="zh-CN"/>
        </w:rPr>
        <w:t>18、</w:t>
      </w:r>
      <w:r>
        <w:rPr>
          <w:rFonts w:hint="eastAsia" w:ascii="Times New Roman" w:hAnsi="Times New Roman" w:eastAsia="宋体"/>
          <w:color w:val="auto"/>
          <w:sz w:val="21"/>
          <w:szCs w:val="21"/>
        </w:rPr>
        <w:t>《一般工业固体废物贮存、处置场污染控制标准》（GB18599-2020）；</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imes New Roman" w:hAnsi="Times New Roman" w:eastAsia="宋体"/>
          <w:color w:val="auto"/>
          <w:sz w:val="21"/>
          <w:szCs w:val="21"/>
          <w:lang w:eastAsia="zh-CN"/>
        </w:rPr>
      </w:pPr>
      <w:r>
        <w:rPr>
          <w:rFonts w:hint="eastAsia" w:ascii="Times New Roman" w:hAnsi="Times New Roman" w:eastAsia="宋体"/>
          <w:color w:val="auto"/>
          <w:sz w:val="21"/>
          <w:szCs w:val="21"/>
          <w:lang w:val="en-US" w:eastAsia="zh-CN"/>
        </w:rPr>
        <w:t>19、</w:t>
      </w:r>
      <w:r>
        <w:rPr>
          <w:rFonts w:ascii="Times New Roman" w:hAnsi="Times New Roman" w:eastAsia="宋体"/>
          <w:color w:val="auto"/>
          <w:sz w:val="21"/>
          <w:szCs w:val="21"/>
        </w:rPr>
        <w:t>危险废物执行《危险废物贮存污染控制标准》（GB18597-20</w:t>
      </w:r>
      <w:r>
        <w:rPr>
          <w:rFonts w:hint="eastAsia"/>
          <w:color w:val="auto"/>
          <w:sz w:val="21"/>
          <w:szCs w:val="21"/>
          <w:lang w:val="en-US" w:eastAsia="zh-CN"/>
        </w:rPr>
        <w:t>23</w:t>
      </w:r>
      <w:r>
        <w:rPr>
          <w:rFonts w:ascii="Times New Roman" w:hAnsi="Times New Roman" w:eastAsia="宋体"/>
          <w:color w:val="auto"/>
          <w:sz w:val="21"/>
          <w:szCs w:val="21"/>
        </w:rPr>
        <w:t>）</w:t>
      </w:r>
      <w:r>
        <w:rPr>
          <w:rFonts w:hint="eastAsia" w:ascii="Times New Roman" w:hAnsi="Times New Roman" w:eastAsia="宋体"/>
          <w:color w:val="auto"/>
          <w:sz w:val="21"/>
          <w:szCs w:val="21"/>
          <w:lang w:eastAsia="zh-CN"/>
        </w:rPr>
        <w:t>。</w:t>
      </w:r>
    </w:p>
    <w:p>
      <w:pPr>
        <w:pStyle w:val="4"/>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6" w:name="_Toc30141"/>
      <w:r>
        <w:rPr>
          <w:rFonts w:hint="default" w:ascii="Times New Roman" w:hAnsi="Times New Roman" w:eastAsia="宋体" w:cs="Times New Roman"/>
          <w:color w:val="auto"/>
        </w:rPr>
        <w:t>2.2 建设项目环境保护验收技术规范</w:t>
      </w:r>
      <w:bookmarkEnd w:id="6"/>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s="Times New Roman"/>
          <w:color w:val="auto"/>
          <w:sz w:val="21"/>
          <w:szCs w:val="21"/>
          <w:lang w:eastAsia="zh-CN"/>
        </w:rPr>
      </w:pPr>
      <w:r>
        <w:rPr>
          <w:rFonts w:hint="default" w:ascii="Times New Roman" w:hAnsi="Times New Roman" w:eastAsia="宋体" w:cs="Times New Roman"/>
          <w:color w:val="auto"/>
          <w:sz w:val="21"/>
          <w:szCs w:val="21"/>
        </w:rPr>
        <w:t>1、关于发布《建设项目竣工环境保护验收技术指南 污染影响类》的公告（公告2018年第9号，生态环境部，2018年5月15日）</w:t>
      </w:r>
      <w:r>
        <w:rPr>
          <w:rFonts w:hint="eastAsia" w:cs="Times New Roman"/>
          <w:color w:val="auto"/>
          <w:sz w:val="21"/>
          <w:szCs w:val="21"/>
          <w:lang w:eastAsia="zh-CN"/>
        </w:rPr>
        <w:t>；</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olor w:val="auto"/>
          <w:sz w:val="21"/>
          <w:szCs w:val="21"/>
          <w:lang w:eastAsia="zh-CN"/>
        </w:rPr>
      </w:pPr>
      <w:r>
        <w:rPr>
          <w:rFonts w:hint="eastAsia"/>
          <w:color w:val="auto"/>
          <w:sz w:val="21"/>
          <w:szCs w:val="21"/>
          <w:lang w:eastAsia="zh-CN"/>
        </w:rPr>
        <w:t>2、《环境监测质量管理技术导则》（HJ630-2011）；</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olor w:val="auto"/>
          <w:sz w:val="21"/>
          <w:szCs w:val="21"/>
          <w:lang w:eastAsia="zh-CN"/>
        </w:rPr>
      </w:pPr>
      <w:r>
        <w:rPr>
          <w:rFonts w:hint="eastAsia"/>
          <w:color w:val="auto"/>
          <w:sz w:val="21"/>
          <w:szCs w:val="21"/>
          <w:lang w:eastAsia="zh-CN"/>
        </w:rPr>
        <w:t>3、《固定源废气监测技术规范》（HJ/T397-2007）；</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olor w:val="auto"/>
          <w:sz w:val="21"/>
          <w:szCs w:val="21"/>
          <w:lang w:eastAsia="zh-CN"/>
        </w:rPr>
      </w:pPr>
      <w:r>
        <w:rPr>
          <w:rFonts w:hint="eastAsia"/>
          <w:color w:val="auto"/>
          <w:sz w:val="21"/>
          <w:szCs w:val="21"/>
          <w:lang w:eastAsia="zh-CN"/>
        </w:rPr>
        <w:t>4、《固定源废气监测技术规范》（HJ/T397-2007）（GB/T16157-1996） 及修改单；</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olor w:val="auto"/>
          <w:sz w:val="21"/>
          <w:szCs w:val="21"/>
          <w:lang w:eastAsia="zh-CN"/>
        </w:rPr>
      </w:pPr>
      <w:r>
        <w:rPr>
          <w:rFonts w:hint="eastAsia"/>
          <w:color w:val="auto"/>
          <w:sz w:val="21"/>
          <w:szCs w:val="21"/>
          <w:lang w:eastAsia="zh-CN"/>
        </w:rPr>
        <w:t>5、《固定污染源监测质量保证与质量控制技术规范（试行）》（HJ/T373-2007）；</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olor w:val="auto"/>
          <w:sz w:val="21"/>
          <w:szCs w:val="21"/>
          <w:lang w:eastAsia="zh-CN"/>
        </w:rPr>
      </w:pPr>
      <w:r>
        <w:rPr>
          <w:rFonts w:hint="eastAsia"/>
          <w:color w:val="auto"/>
          <w:sz w:val="21"/>
          <w:szCs w:val="21"/>
          <w:lang w:eastAsia="zh-CN"/>
        </w:rPr>
        <w:t>6、《污水监测技术规范》（HJ91.1-2019）；</w:t>
      </w:r>
    </w:p>
    <w:p>
      <w:pPr>
        <w:pStyle w:val="11"/>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color w:val="auto"/>
          <w:sz w:val="21"/>
          <w:szCs w:val="21"/>
          <w:highlight w:val="none"/>
          <w:lang w:eastAsia="zh-CN"/>
        </w:rPr>
      </w:pPr>
      <w:r>
        <w:rPr>
          <w:rFonts w:hint="eastAsia"/>
          <w:color w:val="auto"/>
          <w:sz w:val="21"/>
          <w:szCs w:val="21"/>
          <w:lang w:eastAsia="zh-CN"/>
        </w:rPr>
        <w:t>7、《水质采样样</w:t>
      </w:r>
      <w:r>
        <w:rPr>
          <w:rFonts w:hint="eastAsia"/>
          <w:color w:val="auto"/>
          <w:sz w:val="21"/>
          <w:szCs w:val="21"/>
          <w:highlight w:val="none"/>
          <w:lang w:eastAsia="zh-CN"/>
        </w:rPr>
        <w:t>品的保存和管理技术规定》（HJ493-2009）；</w:t>
      </w:r>
    </w:p>
    <w:p>
      <w:pPr>
        <w:pStyle w:val="11"/>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color w:val="auto"/>
          <w:sz w:val="21"/>
          <w:szCs w:val="21"/>
          <w:highlight w:val="none"/>
          <w:lang w:eastAsia="zh-CN"/>
        </w:rPr>
      </w:pPr>
      <w:r>
        <w:rPr>
          <w:rFonts w:hint="eastAsia"/>
          <w:color w:val="auto"/>
          <w:sz w:val="21"/>
          <w:szCs w:val="21"/>
          <w:highlight w:val="none"/>
          <w:lang w:eastAsia="zh-CN"/>
        </w:rPr>
        <w:t>8、《水质采样技术指导》（HJ494-2009）；</w:t>
      </w:r>
    </w:p>
    <w:p>
      <w:pPr>
        <w:pStyle w:val="11"/>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eastAsia"/>
          <w:color w:val="auto"/>
          <w:sz w:val="21"/>
          <w:szCs w:val="21"/>
          <w:highlight w:val="none"/>
          <w:lang w:eastAsia="zh-CN"/>
        </w:rPr>
      </w:pPr>
      <w:r>
        <w:rPr>
          <w:rFonts w:hint="eastAsia"/>
          <w:color w:val="auto"/>
          <w:sz w:val="21"/>
          <w:szCs w:val="21"/>
          <w:highlight w:val="none"/>
          <w:lang w:eastAsia="zh-CN"/>
        </w:rPr>
        <w:t>9、《大气污染物无组织排放监测技术导则》（HJ/T55-2000）；</w:t>
      </w:r>
    </w:p>
    <w:p>
      <w:pPr>
        <w:pStyle w:val="11"/>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10、</w:t>
      </w:r>
      <w:r>
        <w:rPr>
          <w:rFonts w:hint="eastAsia" w:ascii="Times New Roman" w:hAnsi="Times New Roman" w:eastAsia="宋体" w:cs="Times New Roman"/>
          <w:color w:val="auto"/>
          <w:sz w:val="21"/>
          <w:szCs w:val="21"/>
          <w:highlight w:val="none"/>
          <w:lang w:eastAsia="zh-CN"/>
        </w:rPr>
        <w:t>《排污单位自行监测技术指南 总则》（HJ 819-2017）。</w:t>
      </w:r>
    </w:p>
    <w:p>
      <w:pPr>
        <w:pStyle w:val="4"/>
        <w:pageBreakBefore w:val="0"/>
        <w:kinsoku/>
        <w:wordWrap/>
        <w:overflowPunct/>
        <w:topLinePunct w:val="0"/>
        <w:bidi w:val="0"/>
        <w:adjustRightInd/>
        <w:snapToGrid/>
        <w:spacing w:beforeLines="0" w:afterLines="0" w:line="360" w:lineRule="auto"/>
        <w:jc w:val="both"/>
        <w:textAlignment w:val="auto"/>
        <w:rPr>
          <w:rFonts w:hint="default" w:ascii="Times New Roman" w:hAnsi="Times New Roman" w:eastAsia="宋体" w:cs="Times New Roman"/>
          <w:color w:val="auto"/>
          <w:highlight w:val="none"/>
        </w:rPr>
      </w:pPr>
      <w:bookmarkStart w:id="7" w:name="_Toc31057"/>
      <w:r>
        <w:rPr>
          <w:rFonts w:hint="default" w:ascii="Times New Roman" w:hAnsi="Times New Roman" w:eastAsia="宋体" w:cs="Times New Roman"/>
          <w:color w:val="auto"/>
          <w:highlight w:val="none"/>
        </w:rPr>
        <w:t>2.3 建设项目环境影响报告书及其审批部门审批决定</w:t>
      </w:r>
      <w:bookmarkEnd w:id="7"/>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1、《缔壹电工科技（江苏）有限公司缔壹电工科技锂电池胶带项目环境影响报告书》（2022年3月）；</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color w:val="auto"/>
          <w:sz w:val="21"/>
          <w:szCs w:val="21"/>
          <w:highlight w:val="none"/>
        </w:rPr>
      </w:pPr>
      <w:r>
        <w:rPr>
          <w:rFonts w:hint="default" w:ascii="Times New Roman" w:hAnsi="Times New Roman" w:eastAsia="宋体" w:cs="Times New Roman"/>
          <w:color w:val="auto"/>
          <w:sz w:val="21"/>
          <w:szCs w:val="21"/>
          <w:highlight w:val="none"/>
        </w:rPr>
        <w:t>2、《关于缔壹电工科技（江苏）有限公司缔壹电工科技锂电池胶带项目环境影响报告书的批复》（常金环审[2022]36号）。</w:t>
      </w:r>
    </w:p>
    <w:p>
      <w:pPr>
        <w:pStyle w:val="4"/>
        <w:pageBreakBefore w:val="0"/>
        <w:kinsoku/>
        <w:wordWrap/>
        <w:overflowPunct/>
        <w:topLinePunct w:val="0"/>
        <w:bidi w:val="0"/>
        <w:adjustRightInd/>
        <w:snapToGrid/>
        <w:spacing w:beforeLines="0" w:afterLines="0" w:line="360" w:lineRule="auto"/>
        <w:jc w:val="both"/>
        <w:textAlignment w:val="auto"/>
        <w:rPr>
          <w:rFonts w:hint="default" w:ascii="Times New Roman" w:hAnsi="Times New Roman" w:eastAsia="宋体" w:cs="Times New Roman"/>
          <w:color w:val="auto"/>
          <w:highlight w:val="none"/>
        </w:rPr>
      </w:pPr>
      <w:bookmarkStart w:id="8" w:name="_Toc2447"/>
      <w:r>
        <w:rPr>
          <w:rFonts w:hint="default" w:ascii="Times New Roman" w:hAnsi="Times New Roman" w:eastAsia="宋体" w:cs="Times New Roman"/>
          <w:color w:val="auto"/>
          <w:highlight w:val="none"/>
        </w:rPr>
        <w:t>2.4 其他相关文件</w:t>
      </w:r>
      <w:bookmarkEnd w:id="8"/>
    </w:p>
    <w:p>
      <w:pPr>
        <w:pageBreakBefore w:val="0"/>
        <w:kinsoku/>
        <w:wordWrap/>
        <w:overflowPunct/>
        <w:topLinePunct w:val="0"/>
        <w:bidi w:val="0"/>
        <w:adjustRightInd/>
        <w:snapToGrid/>
        <w:spacing w:line="360" w:lineRule="auto"/>
        <w:jc w:val="both"/>
        <w:textAlignment w:val="auto"/>
        <w:rPr>
          <w:rFonts w:hint="default" w:ascii="Times New Roman" w:hAnsi="Times New Roman" w:eastAsia="宋体" w:cs="Times New Roman"/>
          <w:color w:val="auto"/>
          <w:sz w:val="21"/>
          <w:szCs w:val="21"/>
          <w:highlight w:val="none"/>
          <w:lang w:val="en-US" w:eastAsia="zh-CN"/>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color w:val="auto"/>
          <w:sz w:val="21"/>
          <w:szCs w:val="21"/>
          <w:highlight w:val="none"/>
        </w:rPr>
        <w:t>1、</w:t>
      </w:r>
      <w:r>
        <w:rPr>
          <w:rFonts w:hint="eastAsia" w:cs="Times New Roman"/>
          <w:color w:val="auto"/>
          <w:sz w:val="21"/>
          <w:szCs w:val="21"/>
          <w:highlight w:val="none"/>
          <w:lang w:val="en-US" w:eastAsia="zh-CN"/>
        </w:rPr>
        <w:t>企业提供的其他材料。</w:t>
      </w:r>
    </w:p>
    <w:p>
      <w:pPr>
        <w:pStyle w:val="3"/>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9" w:name="_Toc6611"/>
      <w:r>
        <w:rPr>
          <w:rFonts w:hint="default" w:ascii="Times New Roman" w:hAnsi="Times New Roman" w:eastAsia="宋体" w:cs="Times New Roman"/>
          <w:color w:val="auto"/>
        </w:rPr>
        <w:t>3 项目建设情况</w:t>
      </w:r>
      <w:bookmarkEnd w:id="9"/>
    </w:p>
    <w:p>
      <w:pPr>
        <w:pStyle w:val="4"/>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10" w:name="_Toc12353"/>
      <w:r>
        <w:rPr>
          <w:rFonts w:hint="default" w:ascii="Times New Roman" w:hAnsi="Times New Roman" w:eastAsia="宋体" w:cs="Times New Roman"/>
          <w:color w:val="auto"/>
        </w:rPr>
        <w:t>3.1 地理位置及平面布置</w:t>
      </w:r>
      <w:bookmarkEnd w:id="10"/>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rPr>
        <w:t>本项目建设地点位于江苏省金坛经济开发区金胜东路218号，项目东侧为常州利腾机械有限公司，南侧为在建厂房；西侧为江苏匠泽园装饰工程有限公司；北侧为江苏世丰欣材料有限公司。距离本项目最近的敏感点为</w:t>
      </w:r>
      <w:r>
        <w:rPr>
          <w:rFonts w:hint="default" w:ascii="Times New Roman" w:hAnsi="Times New Roman" w:eastAsia="宋体" w:cs="Times New Roman"/>
          <w:color w:val="auto"/>
          <w:sz w:val="21"/>
          <w:szCs w:val="21"/>
          <w:highlight w:val="none"/>
        </w:rPr>
        <w:t>西北侧的半岛珑庭，距离本项目厂界约为470米。项目所在区域地理位置中心坐标为： 东经 119°38′40.02″，北纬 31°44′49.38″。项目地理位置详见</w:t>
      </w:r>
      <w:r>
        <w:rPr>
          <w:rFonts w:hint="eastAsia" w:cs="Times New Roman"/>
          <w:color w:val="auto"/>
          <w:sz w:val="21"/>
          <w:szCs w:val="21"/>
          <w:highlight w:val="none"/>
          <w:lang w:val="en-US" w:eastAsia="zh-CN"/>
        </w:rPr>
        <w:t>附</w:t>
      </w:r>
      <w:r>
        <w:rPr>
          <w:rFonts w:hint="default" w:ascii="Times New Roman" w:hAnsi="Times New Roman" w:eastAsia="宋体" w:cs="Times New Roman"/>
          <w:color w:val="auto"/>
          <w:sz w:val="21"/>
          <w:szCs w:val="21"/>
          <w:highlight w:val="none"/>
        </w:rPr>
        <w:t>图1，项目与周边位置关系图见</w:t>
      </w:r>
      <w:r>
        <w:rPr>
          <w:rFonts w:hint="eastAsia" w:cs="Times New Roman"/>
          <w:color w:val="auto"/>
          <w:sz w:val="21"/>
          <w:szCs w:val="21"/>
          <w:highlight w:val="none"/>
          <w:lang w:val="en-US" w:eastAsia="zh-CN"/>
        </w:rPr>
        <w:t>附图2</w:t>
      </w:r>
      <w:r>
        <w:rPr>
          <w:rFonts w:hint="default" w:ascii="Times New Roman" w:hAnsi="Times New Roman" w:eastAsia="宋体" w:cs="Times New Roman"/>
          <w:color w:val="auto"/>
          <w:sz w:val="21"/>
          <w:szCs w:val="21"/>
          <w:highlight w:val="none"/>
        </w:rPr>
        <w:t>，厂区平面图见</w:t>
      </w:r>
      <w:r>
        <w:rPr>
          <w:rFonts w:hint="eastAsia" w:cs="Times New Roman"/>
          <w:color w:val="auto"/>
          <w:sz w:val="21"/>
          <w:szCs w:val="21"/>
          <w:highlight w:val="none"/>
          <w:lang w:val="en-US" w:eastAsia="zh-CN"/>
        </w:rPr>
        <w:t>附图4、车间平面布置图见附图5</w:t>
      </w:r>
      <w:r>
        <w:rPr>
          <w:rFonts w:hint="default" w:ascii="Times New Roman" w:hAnsi="Times New Roman" w:eastAsia="宋体" w:cs="Times New Roman"/>
          <w:color w:val="auto"/>
          <w:sz w:val="21"/>
          <w:szCs w:val="21"/>
          <w:highlight w:val="none"/>
        </w:rPr>
        <w:t>。</w:t>
      </w:r>
    </w:p>
    <w:p>
      <w:pPr>
        <w:pStyle w:val="4"/>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11" w:name="_Toc8142691"/>
      <w:bookmarkStart w:id="12" w:name="_Toc8142797"/>
      <w:bookmarkStart w:id="13" w:name="_Toc22801_WPSOffice_Level2"/>
      <w:bookmarkStart w:id="14" w:name="_Toc14522"/>
      <w:bookmarkStart w:id="15" w:name="_Toc45803098"/>
      <w:r>
        <w:rPr>
          <w:rFonts w:hint="default" w:ascii="Times New Roman" w:hAnsi="Times New Roman" w:eastAsia="宋体" w:cs="Times New Roman"/>
          <w:color w:val="auto"/>
        </w:rPr>
        <w:t>3.2</w:t>
      </w:r>
      <w:bookmarkEnd w:id="11"/>
      <w:bookmarkEnd w:id="12"/>
      <w:bookmarkEnd w:id="13"/>
      <w:r>
        <w:rPr>
          <w:rFonts w:hint="default" w:ascii="Times New Roman" w:hAnsi="Times New Roman" w:eastAsia="宋体" w:cs="Times New Roman"/>
          <w:color w:val="auto"/>
        </w:rPr>
        <w:t xml:space="preserve"> 建设内容</w:t>
      </w:r>
      <w:bookmarkEnd w:id="14"/>
      <w:bookmarkEnd w:id="15"/>
    </w:p>
    <w:p>
      <w:pPr>
        <w:pStyle w:val="2"/>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3.2.1 产品方案及规模</w:t>
      </w:r>
    </w:p>
    <w:p>
      <w:pPr>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验收项目产品方案及规模见表3-1。</w:t>
      </w:r>
    </w:p>
    <w:p>
      <w:pPr>
        <w:pStyle w:val="29"/>
        <w:pageBreakBefore w:val="0"/>
        <w:kinsoku/>
        <w:wordWrap/>
        <w:overflowPunct/>
        <w:topLinePunct w:val="0"/>
        <w:bidi w:val="0"/>
        <w:adjustRightInd/>
        <w:snapToGrid/>
        <w:spacing w:beforeLines="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表3-1  验收项目产品方案及规模</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2477"/>
        <w:gridCol w:w="1599"/>
        <w:gridCol w:w="1301"/>
        <w:gridCol w:w="23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719"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产品名称</w:t>
            </w:r>
          </w:p>
        </w:tc>
        <w:tc>
          <w:tcPr>
            <w:tcW w:w="1365"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设计生产能力（</w:t>
            </w:r>
            <w:r>
              <w:rPr>
                <w:rFonts w:hint="eastAsia" w:ascii="Times New Roman" w:hAnsi="Times New Roman" w:eastAsia="宋体" w:cs="Times New Roman"/>
                <w:b/>
                <w:bCs/>
                <w:color w:val="auto"/>
                <w:sz w:val="21"/>
                <w:szCs w:val="21"/>
                <w:lang w:val="en-US" w:eastAsia="zh-CN"/>
              </w:rPr>
              <w:t>万</w:t>
            </w:r>
            <w:r>
              <w:rPr>
                <w:rFonts w:hint="default" w:ascii="Times New Roman" w:hAnsi="Times New Roman" w:eastAsia="宋体" w:cs="Times New Roman"/>
                <w:b/>
                <w:bCs/>
                <w:color w:val="auto"/>
                <w:sz w:val="21"/>
                <w:szCs w:val="21"/>
                <w:lang w:eastAsia="zh-CN"/>
              </w:rPr>
              <w:t>m</w:t>
            </w:r>
            <w:r>
              <w:rPr>
                <w:rFonts w:hint="default" w:ascii="Times New Roman" w:hAnsi="Times New Roman" w:eastAsia="宋体" w:cs="Times New Roman"/>
                <w:b/>
                <w:bCs/>
                <w:color w:val="auto"/>
                <w:sz w:val="21"/>
                <w:szCs w:val="21"/>
                <w:vertAlign w:val="superscript"/>
                <w:lang w:eastAsia="zh-CN"/>
              </w:rPr>
              <w:t>2</w:t>
            </w:r>
            <w:r>
              <w:rPr>
                <w:rFonts w:hint="default" w:ascii="Times New Roman" w:hAnsi="Times New Roman" w:eastAsia="宋体" w:cs="Times New Roman"/>
                <w:b/>
                <w:bCs/>
                <w:color w:val="auto"/>
                <w:sz w:val="21"/>
                <w:szCs w:val="21"/>
              </w:rPr>
              <w:t>/年）</w:t>
            </w:r>
          </w:p>
        </w:tc>
        <w:tc>
          <w:tcPr>
            <w:tcW w:w="881" w:type="pct"/>
            <w:vAlign w:val="center"/>
          </w:tcPr>
          <w:p>
            <w:pPr>
              <w:pStyle w:val="28"/>
              <w:rPr>
                <w:rFonts w:hint="default" w:ascii="Times New Roman" w:hAnsi="Times New Roman" w:eastAsia="宋体" w:cs="Times New Roman"/>
                <w:b/>
                <w:bCs/>
                <w:color w:val="auto"/>
                <w:sz w:val="21"/>
                <w:szCs w:val="21"/>
                <w:lang w:val="en-US" w:eastAsia="zh-CN"/>
              </w:rPr>
            </w:pPr>
            <w:r>
              <w:rPr>
                <w:rFonts w:hint="eastAsia" w:cs="Times New Roman"/>
                <w:b/>
                <w:bCs/>
                <w:color w:val="auto"/>
                <w:sz w:val="21"/>
                <w:szCs w:val="21"/>
                <w:lang w:val="en-US" w:eastAsia="zh-CN"/>
              </w:rPr>
              <w:t>实际生产能力</w:t>
            </w:r>
            <w:r>
              <w:rPr>
                <w:rFonts w:hint="default" w:ascii="Times New Roman" w:hAnsi="Times New Roman" w:eastAsia="宋体" w:cs="Times New Roman"/>
                <w:b/>
                <w:bCs/>
                <w:color w:val="auto"/>
                <w:sz w:val="21"/>
                <w:szCs w:val="21"/>
              </w:rPr>
              <w:t>（</w:t>
            </w:r>
            <w:r>
              <w:rPr>
                <w:rFonts w:hint="eastAsia" w:ascii="Times New Roman" w:hAnsi="Times New Roman" w:eastAsia="宋体" w:cs="Times New Roman"/>
                <w:b/>
                <w:bCs/>
                <w:color w:val="auto"/>
                <w:sz w:val="21"/>
                <w:szCs w:val="21"/>
                <w:lang w:val="en-US" w:eastAsia="zh-CN"/>
              </w:rPr>
              <w:t>万</w:t>
            </w:r>
            <w:r>
              <w:rPr>
                <w:rFonts w:hint="default" w:ascii="Times New Roman" w:hAnsi="Times New Roman" w:eastAsia="宋体" w:cs="Times New Roman"/>
                <w:b/>
                <w:bCs/>
                <w:color w:val="auto"/>
                <w:sz w:val="21"/>
                <w:szCs w:val="21"/>
                <w:lang w:eastAsia="zh-CN"/>
              </w:rPr>
              <w:t>m</w:t>
            </w:r>
            <w:r>
              <w:rPr>
                <w:rFonts w:hint="default" w:ascii="Times New Roman" w:hAnsi="Times New Roman" w:eastAsia="宋体" w:cs="Times New Roman"/>
                <w:b/>
                <w:bCs/>
                <w:color w:val="auto"/>
                <w:sz w:val="21"/>
                <w:szCs w:val="21"/>
                <w:vertAlign w:val="superscript"/>
                <w:lang w:eastAsia="zh-CN"/>
              </w:rPr>
              <w:t>2</w:t>
            </w:r>
            <w:r>
              <w:rPr>
                <w:rFonts w:hint="default" w:ascii="Times New Roman" w:hAnsi="Times New Roman" w:eastAsia="宋体" w:cs="Times New Roman"/>
                <w:b/>
                <w:bCs/>
                <w:color w:val="auto"/>
                <w:sz w:val="21"/>
                <w:szCs w:val="21"/>
              </w:rPr>
              <w:t>/年）</w:t>
            </w:r>
          </w:p>
        </w:tc>
        <w:tc>
          <w:tcPr>
            <w:tcW w:w="717"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生产时长h</w:t>
            </w:r>
          </w:p>
        </w:tc>
        <w:tc>
          <w:tcPr>
            <w:tcW w:w="1316"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1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锂电池胶带</w:t>
            </w:r>
          </w:p>
        </w:tc>
        <w:tc>
          <w:tcPr>
            <w:tcW w:w="1365" w:type="pc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21600</w:t>
            </w:r>
          </w:p>
        </w:tc>
        <w:tc>
          <w:tcPr>
            <w:tcW w:w="881" w:type="pct"/>
            <w:vAlign w:val="center"/>
          </w:tcPr>
          <w:p>
            <w:pPr>
              <w:pStyle w:val="28"/>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4800</w:t>
            </w:r>
          </w:p>
        </w:tc>
        <w:tc>
          <w:tcPr>
            <w:tcW w:w="717" w:type="pct"/>
            <w:vAlign w:val="center"/>
          </w:tcPr>
          <w:p>
            <w:pPr>
              <w:pStyle w:val="28"/>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4800</w:t>
            </w:r>
          </w:p>
        </w:tc>
        <w:tc>
          <w:tcPr>
            <w:tcW w:w="1316" w:type="pct"/>
            <w:vAlign w:val="center"/>
          </w:tcPr>
          <w:p>
            <w:pPr>
              <w:pStyle w:val="28"/>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环评中拟建9条</w:t>
            </w:r>
            <w:r>
              <w:rPr>
                <w:rFonts w:hint="default" w:ascii="Times New Roman" w:hAnsi="Times New Roman" w:eastAsia="宋体" w:cs="Times New Roman"/>
                <w:color w:val="auto"/>
                <w:sz w:val="21"/>
                <w:szCs w:val="21"/>
                <w:lang w:eastAsia="zh-CN"/>
              </w:rPr>
              <w:t>锂电池胶带</w:t>
            </w:r>
            <w:r>
              <w:rPr>
                <w:rFonts w:hint="eastAsia" w:cs="Times New Roman"/>
                <w:color w:val="auto"/>
                <w:sz w:val="21"/>
                <w:szCs w:val="21"/>
                <w:lang w:val="en-US" w:eastAsia="zh-CN"/>
              </w:rPr>
              <w:t>生产线，实际建设</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lang w:eastAsia="zh-CN"/>
              </w:rPr>
              <w:t>条锂电池胶带生产线</w:t>
            </w:r>
          </w:p>
        </w:tc>
      </w:tr>
    </w:tbl>
    <w:p>
      <w:pPr>
        <w:pStyle w:val="2"/>
        <w:pageBreakBefore w:val="0"/>
        <w:widowControl w:val="0"/>
        <w:kinsoku/>
        <w:wordWrap/>
        <w:overflowPunct/>
        <w:topLinePunct w:val="0"/>
        <w:autoSpaceDE w:val="0"/>
        <w:autoSpaceDN w:val="0"/>
        <w:bidi w:val="0"/>
        <w:adjustRightInd/>
        <w:snapToGrid/>
        <w:spacing w:beforeLines="0" w:afterLines="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3.2.2 主体、公用及辅助工程</w:t>
      </w:r>
    </w:p>
    <w:p>
      <w:pPr>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color w:val="auto"/>
          <w:sz w:val="21"/>
          <w:szCs w:val="21"/>
        </w:rPr>
        <w:t>企业在实际建设过程中平面布置等较原环评发生了变化，对照《关于印发〈污染影响类建设项目重大变动清单（试行）〉的通知》（环办环评函〔2020〕688号）均不属于重大变动，已纳入变动环境影响分析，验收项目主体生产装置以及公用及辅助工程建设情况见表3-</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~表3-</w:t>
      </w:r>
      <w:r>
        <w:rPr>
          <w:rFonts w:hint="eastAsia" w:cs="Times New Roman"/>
          <w:color w:val="auto"/>
          <w:sz w:val="21"/>
          <w:szCs w:val="21"/>
          <w:lang w:val="en-US" w:eastAsia="zh-CN"/>
        </w:rPr>
        <w:t>3</w:t>
      </w:r>
      <w:r>
        <w:rPr>
          <w:rFonts w:hint="default" w:ascii="Times New Roman" w:hAnsi="Times New Roman" w:eastAsia="宋体" w:cs="Times New Roman"/>
          <w:color w:val="auto"/>
          <w:sz w:val="21"/>
          <w:szCs w:val="21"/>
        </w:rPr>
        <w:t>。</w:t>
      </w:r>
    </w:p>
    <w:p>
      <w:pPr>
        <w:pStyle w:val="29"/>
        <w:spacing w:before="196"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表3-</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 xml:space="preserve">  验收项目主要生产设备一览表</w:t>
      </w:r>
    </w:p>
    <w:tbl>
      <w:tblPr>
        <w:tblStyle w:val="24"/>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2753"/>
        <w:gridCol w:w="2251"/>
        <w:gridCol w:w="2367"/>
        <w:gridCol w:w="2704"/>
        <w:gridCol w:w="31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1" w:hRule="atLeast"/>
          <w:tblHeader/>
          <w:jc w:val="center"/>
        </w:trPr>
        <w:tc>
          <w:tcPr>
            <w:tcW w:w="317"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bidi="ar"/>
              </w:rPr>
            </w:pPr>
            <w:r>
              <w:rPr>
                <w:rFonts w:hint="default" w:ascii="Times New Roman" w:hAnsi="Times New Roman" w:eastAsia="宋体" w:cs="Times New Roman"/>
                <w:b/>
                <w:bCs/>
                <w:color w:val="auto"/>
                <w:sz w:val="21"/>
                <w:szCs w:val="21"/>
                <w:lang w:bidi="ar"/>
              </w:rPr>
              <w:t>序号</w:t>
            </w:r>
          </w:p>
        </w:tc>
        <w:tc>
          <w:tcPr>
            <w:tcW w:w="971"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bidi="ar"/>
              </w:rPr>
            </w:pPr>
            <w:r>
              <w:rPr>
                <w:rFonts w:hint="default" w:ascii="Times New Roman" w:hAnsi="Times New Roman" w:eastAsia="宋体" w:cs="Times New Roman"/>
                <w:b/>
                <w:bCs/>
                <w:color w:val="auto"/>
                <w:sz w:val="21"/>
                <w:szCs w:val="21"/>
                <w:lang w:bidi="ar"/>
              </w:rPr>
              <w:t>设备名称</w:t>
            </w:r>
          </w:p>
        </w:tc>
        <w:tc>
          <w:tcPr>
            <w:tcW w:w="794"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bidi="ar"/>
              </w:rPr>
            </w:pPr>
            <w:r>
              <w:rPr>
                <w:rFonts w:hint="default" w:ascii="Times New Roman" w:hAnsi="Times New Roman" w:eastAsia="宋体" w:cs="Times New Roman"/>
                <w:b/>
                <w:bCs/>
                <w:color w:val="auto"/>
                <w:sz w:val="21"/>
                <w:szCs w:val="21"/>
                <w:lang w:bidi="ar"/>
              </w:rPr>
              <w:t>环评中数量（台/套）</w:t>
            </w:r>
          </w:p>
        </w:tc>
        <w:tc>
          <w:tcPr>
            <w:tcW w:w="835"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bidi="ar"/>
              </w:rPr>
            </w:pPr>
            <w:r>
              <w:rPr>
                <w:rFonts w:hint="default" w:ascii="Times New Roman" w:hAnsi="Times New Roman" w:eastAsia="宋体" w:cs="Times New Roman"/>
                <w:b/>
                <w:bCs/>
                <w:color w:val="auto"/>
                <w:sz w:val="21"/>
                <w:szCs w:val="21"/>
                <w:lang w:bidi="ar"/>
              </w:rPr>
              <w:t>变动后数量（台/套）</w:t>
            </w:r>
          </w:p>
        </w:tc>
        <w:tc>
          <w:tcPr>
            <w:tcW w:w="954"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bidi="ar"/>
              </w:rPr>
            </w:pPr>
            <w:r>
              <w:rPr>
                <w:rFonts w:hint="default" w:ascii="Times New Roman" w:hAnsi="Times New Roman" w:eastAsia="宋体" w:cs="Times New Roman"/>
                <w:b/>
                <w:bCs/>
                <w:color w:val="auto"/>
                <w:sz w:val="21"/>
                <w:szCs w:val="21"/>
                <w:lang w:bidi="ar"/>
              </w:rPr>
              <w:t>本轮验收数量（台/套）</w:t>
            </w:r>
          </w:p>
        </w:tc>
        <w:tc>
          <w:tcPr>
            <w:tcW w:w="1125"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bidi="ar"/>
              </w:rPr>
            </w:pPr>
            <w:r>
              <w:rPr>
                <w:rFonts w:hint="default" w:ascii="Times New Roman" w:hAnsi="Times New Roman" w:eastAsia="宋体" w:cs="Times New Roman"/>
                <w:b/>
                <w:bCs/>
                <w:color w:val="auto"/>
                <w:sz w:val="21"/>
                <w:szCs w:val="21"/>
                <w:lang w:bidi="ar"/>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317" w:type="pct"/>
            <w:vAlign w:val="center"/>
          </w:tcPr>
          <w:p>
            <w:pPr>
              <w:numPr>
                <w:ilvl w:val="0"/>
                <w:numId w:val="2"/>
              </w:numPr>
              <w:adjustRightInd w:val="0"/>
              <w:snapToGrid w:val="0"/>
              <w:spacing w:line="240" w:lineRule="auto"/>
              <w:ind w:left="0" w:firstLine="0" w:firstLineChars="0"/>
              <w:jc w:val="center"/>
              <w:rPr>
                <w:rFonts w:hint="default" w:ascii="Times New Roman" w:hAnsi="Times New Roman" w:eastAsia="宋体" w:cs="Times New Roman"/>
                <w:color w:val="auto"/>
                <w:sz w:val="21"/>
                <w:szCs w:val="21"/>
                <w:lang w:bidi="ar"/>
              </w:rPr>
            </w:pPr>
          </w:p>
        </w:tc>
        <w:tc>
          <w:tcPr>
            <w:tcW w:w="971" w:type="pct"/>
            <w:vAlign w:val="center"/>
          </w:tcPr>
          <w:p>
            <w:pPr>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混胶罐</w:t>
            </w:r>
          </w:p>
        </w:tc>
        <w:tc>
          <w:tcPr>
            <w:tcW w:w="794" w:type="pct"/>
            <w:vAlign w:val="center"/>
          </w:tcPr>
          <w:p>
            <w:pPr>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9</w:t>
            </w:r>
          </w:p>
        </w:tc>
        <w:tc>
          <w:tcPr>
            <w:tcW w:w="835" w:type="pct"/>
            <w:vAlign w:val="center"/>
          </w:tcPr>
          <w:p>
            <w:pPr>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9</w:t>
            </w:r>
          </w:p>
        </w:tc>
        <w:tc>
          <w:tcPr>
            <w:tcW w:w="95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2</w:t>
            </w:r>
          </w:p>
        </w:tc>
        <w:tc>
          <w:tcPr>
            <w:tcW w:w="1125"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bidi="ar"/>
              </w:rPr>
            </w:pPr>
            <w:r>
              <w:rPr>
                <w:rFonts w:hint="default" w:ascii="Times New Roman" w:hAnsi="Times New Roman" w:eastAsia="宋体" w:cs="Times New Roman"/>
                <w:color w:val="auto"/>
                <w:sz w:val="21"/>
                <w:szCs w:val="21"/>
                <w:lang w:bidi="ar"/>
              </w:rPr>
              <w:t>分阶段建设</w:t>
            </w:r>
            <w:r>
              <w:rPr>
                <w:rFonts w:hint="eastAsia" w:cs="Times New Roman"/>
                <w:color w:val="auto"/>
                <w:sz w:val="21"/>
                <w:szCs w:val="21"/>
                <w:lang w:eastAsia="zh-CN" w:bidi="ar"/>
              </w:rPr>
              <w:t>，</w:t>
            </w:r>
            <w:r>
              <w:rPr>
                <w:rFonts w:hint="eastAsia" w:cs="Times New Roman"/>
                <w:color w:val="auto"/>
                <w:sz w:val="21"/>
                <w:szCs w:val="21"/>
                <w:lang w:val="en-US" w:eastAsia="zh-CN" w:bidi="ar"/>
              </w:rPr>
              <w:t>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7" w:type="pct"/>
            <w:vAlign w:val="center"/>
          </w:tcPr>
          <w:p>
            <w:pPr>
              <w:numPr>
                <w:ilvl w:val="0"/>
                <w:numId w:val="2"/>
              </w:numPr>
              <w:adjustRightInd w:val="0"/>
              <w:snapToGrid w:val="0"/>
              <w:spacing w:line="240" w:lineRule="auto"/>
              <w:ind w:left="0" w:firstLine="0" w:firstLineChars="0"/>
              <w:jc w:val="center"/>
              <w:rPr>
                <w:rFonts w:hint="default" w:ascii="Times New Roman" w:hAnsi="Times New Roman" w:eastAsia="宋体" w:cs="Times New Roman"/>
                <w:color w:val="auto"/>
                <w:sz w:val="21"/>
                <w:szCs w:val="21"/>
                <w:lang w:bidi="ar"/>
              </w:rPr>
            </w:pPr>
          </w:p>
        </w:tc>
        <w:tc>
          <w:tcPr>
            <w:tcW w:w="971" w:type="pct"/>
            <w:vAlign w:val="center"/>
          </w:tcPr>
          <w:p>
            <w:pPr>
              <w:widowControl/>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涂胶机</w:t>
            </w:r>
          </w:p>
        </w:tc>
        <w:tc>
          <w:tcPr>
            <w:tcW w:w="794"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9</w:t>
            </w:r>
          </w:p>
        </w:tc>
        <w:tc>
          <w:tcPr>
            <w:tcW w:w="835"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9</w:t>
            </w:r>
          </w:p>
        </w:tc>
        <w:tc>
          <w:tcPr>
            <w:tcW w:w="95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2</w:t>
            </w:r>
          </w:p>
        </w:tc>
        <w:tc>
          <w:tcPr>
            <w:tcW w:w="1125" w:type="pct"/>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color w:val="auto"/>
                <w:sz w:val="21"/>
                <w:szCs w:val="21"/>
                <w:lang w:val="en-US" w:eastAsia="zh-CN" w:bidi="ar"/>
              </w:rPr>
            </w:pPr>
            <w:r>
              <w:rPr>
                <w:rFonts w:hint="default" w:ascii="Times New Roman" w:hAnsi="Times New Roman" w:eastAsia="宋体" w:cs="Times New Roman"/>
                <w:color w:val="auto"/>
                <w:sz w:val="21"/>
                <w:szCs w:val="21"/>
                <w:lang w:bidi="ar"/>
              </w:rPr>
              <w:t>分阶段建设</w:t>
            </w:r>
            <w:r>
              <w:rPr>
                <w:rFonts w:hint="eastAsia" w:cs="Times New Roman"/>
                <w:color w:val="auto"/>
                <w:sz w:val="21"/>
                <w:szCs w:val="21"/>
                <w:lang w:eastAsia="zh-CN" w:bidi="ar"/>
              </w:rPr>
              <w:t>，</w:t>
            </w:r>
            <w:r>
              <w:rPr>
                <w:rFonts w:hint="eastAsia" w:cs="Times New Roman"/>
                <w:color w:val="auto"/>
                <w:sz w:val="21"/>
                <w:szCs w:val="21"/>
                <w:lang w:val="en-US" w:eastAsia="zh-CN" w:bidi="ar"/>
              </w:rPr>
              <w:t>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7" w:type="pct"/>
            <w:vAlign w:val="center"/>
          </w:tcPr>
          <w:p>
            <w:pPr>
              <w:numPr>
                <w:ilvl w:val="0"/>
                <w:numId w:val="2"/>
              </w:numPr>
              <w:adjustRightInd w:val="0"/>
              <w:snapToGrid w:val="0"/>
              <w:spacing w:line="240" w:lineRule="auto"/>
              <w:ind w:left="0" w:firstLine="0" w:firstLineChars="0"/>
              <w:jc w:val="center"/>
              <w:rPr>
                <w:rFonts w:hint="default" w:ascii="Times New Roman" w:hAnsi="Times New Roman" w:eastAsia="宋体" w:cs="Times New Roman"/>
                <w:color w:val="auto"/>
                <w:sz w:val="21"/>
                <w:szCs w:val="21"/>
                <w:lang w:bidi="ar"/>
              </w:rPr>
            </w:pPr>
          </w:p>
        </w:tc>
        <w:tc>
          <w:tcPr>
            <w:tcW w:w="971" w:type="pct"/>
            <w:vAlign w:val="center"/>
          </w:tcPr>
          <w:p>
            <w:pPr>
              <w:widowControl/>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烘烤机</w:t>
            </w:r>
          </w:p>
        </w:tc>
        <w:tc>
          <w:tcPr>
            <w:tcW w:w="794"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9</w:t>
            </w:r>
          </w:p>
        </w:tc>
        <w:tc>
          <w:tcPr>
            <w:tcW w:w="835"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9</w:t>
            </w:r>
          </w:p>
        </w:tc>
        <w:tc>
          <w:tcPr>
            <w:tcW w:w="95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2</w:t>
            </w:r>
          </w:p>
        </w:tc>
        <w:tc>
          <w:tcPr>
            <w:tcW w:w="1125" w:type="pct"/>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color w:val="auto"/>
                <w:sz w:val="21"/>
                <w:szCs w:val="21"/>
                <w:lang w:val="en-US" w:eastAsia="zh-CN" w:bidi="ar"/>
              </w:rPr>
            </w:pPr>
            <w:r>
              <w:rPr>
                <w:rFonts w:hint="default" w:ascii="Times New Roman" w:hAnsi="Times New Roman" w:eastAsia="宋体" w:cs="Times New Roman"/>
                <w:color w:val="auto"/>
                <w:sz w:val="21"/>
                <w:szCs w:val="21"/>
                <w:lang w:bidi="ar"/>
              </w:rPr>
              <w:t>分阶段建设</w:t>
            </w:r>
            <w:r>
              <w:rPr>
                <w:rFonts w:hint="eastAsia" w:cs="Times New Roman"/>
                <w:color w:val="auto"/>
                <w:sz w:val="21"/>
                <w:szCs w:val="21"/>
                <w:lang w:eastAsia="zh-CN" w:bidi="ar"/>
              </w:rPr>
              <w:t>，</w:t>
            </w:r>
            <w:r>
              <w:rPr>
                <w:rFonts w:hint="eastAsia" w:cs="Times New Roman"/>
                <w:color w:val="auto"/>
                <w:sz w:val="21"/>
                <w:szCs w:val="21"/>
                <w:lang w:val="en-US" w:eastAsia="zh-CN" w:bidi="ar"/>
              </w:rPr>
              <w:t>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7" w:type="pct"/>
            <w:vAlign w:val="center"/>
          </w:tcPr>
          <w:p>
            <w:pPr>
              <w:numPr>
                <w:ilvl w:val="0"/>
                <w:numId w:val="2"/>
              </w:numPr>
              <w:adjustRightInd w:val="0"/>
              <w:snapToGrid w:val="0"/>
              <w:spacing w:line="240" w:lineRule="auto"/>
              <w:ind w:left="0" w:firstLine="0" w:firstLineChars="0"/>
              <w:jc w:val="center"/>
              <w:rPr>
                <w:rFonts w:hint="default" w:ascii="Times New Roman" w:hAnsi="Times New Roman" w:eastAsia="宋体" w:cs="Times New Roman"/>
                <w:color w:val="auto"/>
                <w:sz w:val="21"/>
                <w:szCs w:val="21"/>
                <w:lang w:bidi="ar"/>
              </w:rPr>
            </w:pPr>
          </w:p>
        </w:tc>
        <w:tc>
          <w:tcPr>
            <w:tcW w:w="971" w:type="pct"/>
            <w:vAlign w:val="center"/>
          </w:tcPr>
          <w:p>
            <w:pPr>
              <w:widowControl/>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hint="eastAsia" w:ascii="Times New Roman" w:hAnsi="Times New Roman"/>
                <w:color w:val="auto"/>
                <w:sz w:val="21"/>
                <w:szCs w:val="21"/>
              </w:rPr>
              <w:t>导热油炉</w:t>
            </w:r>
          </w:p>
        </w:tc>
        <w:tc>
          <w:tcPr>
            <w:tcW w:w="794"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3</w:t>
            </w:r>
          </w:p>
        </w:tc>
        <w:tc>
          <w:tcPr>
            <w:tcW w:w="835"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3</w:t>
            </w:r>
          </w:p>
        </w:tc>
        <w:tc>
          <w:tcPr>
            <w:tcW w:w="95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1</w:t>
            </w:r>
          </w:p>
        </w:tc>
        <w:tc>
          <w:tcPr>
            <w:tcW w:w="1125" w:type="pct"/>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color w:val="auto"/>
                <w:sz w:val="21"/>
                <w:szCs w:val="21"/>
                <w:lang w:val="en-US" w:eastAsia="zh-CN" w:bidi="ar"/>
              </w:rPr>
            </w:pPr>
            <w:r>
              <w:rPr>
                <w:rFonts w:hint="default" w:ascii="Times New Roman" w:hAnsi="Times New Roman" w:eastAsia="宋体" w:cs="Times New Roman"/>
                <w:color w:val="auto"/>
                <w:sz w:val="21"/>
                <w:szCs w:val="21"/>
                <w:lang w:bidi="ar"/>
              </w:rPr>
              <w:t>分阶段建设</w:t>
            </w:r>
            <w:r>
              <w:rPr>
                <w:rFonts w:hint="eastAsia" w:cs="Times New Roman"/>
                <w:color w:val="auto"/>
                <w:sz w:val="21"/>
                <w:szCs w:val="21"/>
                <w:lang w:eastAsia="zh-CN" w:bidi="ar"/>
              </w:rPr>
              <w:t>，</w:t>
            </w:r>
            <w:r>
              <w:rPr>
                <w:rFonts w:hint="eastAsia" w:cs="Times New Roman"/>
                <w:color w:val="auto"/>
                <w:sz w:val="21"/>
                <w:szCs w:val="21"/>
                <w:lang w:val="en-US" w:eastAsia="zh-CN" w:bidi="ar"/>
              </w:rPr>
              <w:t>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317" w:type="pct"/>
            <w:vAlign w:val="center"/>
          </w:tcPr>
          <w:p>
            <w:pPr>
              <w:numPr>
                <w:ilvl w:val="0"/>
                <w:numId w:val="2"/>
              </w:numPr>
              <w:adjustRightInd w:val="0"/>
              <w:snapToGrid w:val="0"/>
              <w:spacing w:line="240" w:lineRule="auto"/>
              <w:ind w:left="0" w:firstLine="0" w:firstLineChars="0"/>
              <w:jc w:val="center"/>
              <w:rPr>
                <w:rFonts w:hint="default" w:ascii="Times New Roman" w:hAnsi="Times New Roman" w:eastAsia="宋体" w:cs="Times New Roman"/>
                <w:color w:val="auto"/>
                <w:sz w:val="21"/>
                <w:szCs w:val="21"/>
                <w:lang w:bidi="ar"/>
              </w:rPr>
            </w:pPr>
          </w:p>
        </w:tc>
        <w:tc>
          <w:tcPr>
            <w:tcW w:w="971" w:type="pct"/>
            <w:vAlign w:val="center"/>
          </w:tcPr>
          <w:p>
            <w:pPr>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精密分切机</w:t>
            </w:r>
          </w:p>
        </w:tc>
        <w:tc>
          <w:tcPr>
            <w:tcW w:w="794"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kern w:val="0"/>
                <w:sz w:val="21"/>
                <w:szCs w:val="21"/>
                <w:lang w:val="en-US" w:eastAsia="zh-CN" w:bidi="ar-SA"/>
              </w:rPr>
            </w:pPr>
            <w:r>
              <w:rPr>
                <w:rFonts w:ascii="Times New Roman" w:hAnsi="Times New Roman"/>
                <w:color w:val="auto"/>
                <w:sz w:val="21"/>
                <w:szCs w:val="21"/>
              </w:rPr>
              <w:t>15</w:t>
            </w:r>
          </w:p>
        </w:tc>
        <w:tc>
          <w:tcPr>
            <w:tcW w:w="835"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kern w:val="0"/>
                <w:sz w:val="21"/>
                <w:szCs w:val="21"/>
                <w:lang w:val="en-US" w:eastAsia="zh-CN" w:bidi="ar-SA"/>
              </w:rPr>
            </w:pPr>
            <w:r>
              <w:rPr>
                <w:rFonts w:ascii="Times New Roman" w:hAnsi="Times New Roman"/>
                <w:color w:val="auto"/>
                <w:sz w:val="21"/>
                <w:szCs w:val="21"/>
              </w:rPr>
              <w:t>15</w:t>
            </w:r>
          </w:p>
        </w:tc>
        <w:tc>
          <w:tcPr>
            <w:tcW w:w="95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5</w:t>
            </w:r>
          </w:p>
        </w:tc>
        <w:tc>
          <w:tcPr>
            <w:tcW w:w="1125" w:type="pct"/>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color w:val="auto"/>
                <w:sz w:val="21"/>
                <w:szCs w:val="21"/>
                <w:lang w:val="en-US" w:eastAsia="zh-CN" w:bidi="ar"/>
              </w:rPr>
            </w:pPr>
            <w:r>
              <w:rPr>
                <w:rFonts w:hint="default" w:ascii="Times New Roman" w:hAnsi="Times New Roman" w:eastAsia="宋体" w:cs="Times New Roman"/>
                <w:color w:val="auto"/>
                <w:sz w:val="21"/>
                <w:szCs w:val="21"/>
                <w:lang w:bidi="ar"/>
              </w:rPr>
              <w:t>分阶段建设</w:t>
            </w:r>
            <w:r>
              <w:rPr>
                <w:rFonts w:hint="eastAsia" w:cs="Times New Roman"/>
                <w:color w:val="auto"/>
                <w:sz w:val="21"/>
                <w:szCs w:val="21"/>
                <w:lang w:eastAsia="zh-CN" w:bidi="ar"/>
              </w:rPr>
              <w:t>，</w:t>
            </w:r>
            <w:r>
              <w:rPr>
                <w:rFonts w:hint="eastAsia" w:cs="Times New Roman"/>
                <w:color w:val="auto"/>
                <w:sz w:val="21"/>
                <w:szCs w:val="21"/>
                <w:lang w:val="en-US" w:eastAsia="zh-CN" w:bidi="ar"/>
              </w:rPr>
              <w:t>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7" w:type="pct"/>
            <w:vAlign w:val="center"/>
          </w:tcPr>
          <w:p>
            <w:pPr>
              <w:numPr>
                <w:ilvl w:val="0"/>
                <w:numId w:val="2"/>
              </w:numPr>
              <w:adjustRightInd w:val="0"/>
              <w:snapToGrid w:val="0"/>
              <w:spacing w:line="240" w:lineRule="auto"/>
              <w:ind w:left="0" w:firstLine="0" w:firstLineChars="0"/>
              <w:jc w:val="center"/>
              <w:rPr>
                <w:rFonts w:hint="default" w:ascii="Times New Roman" w:hAnsi="Times New Roman" w:eastAsia="宋体" w:cs="Times New Roman"/>
                <w:color w:val="auto"/>
                <w:sz w:val="21"/>
                <w:szCs w:val="21"/>
                <w:lang w:bidi="ar"/>
              </w:rPr>
            </w:pPr>
          </w:p>
        </w:tc>
        <w:tc>
          <w:tcPr>
            <w:tcW w:w="971"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旋转式RTO废气处理装置</w:t>
            </w:r>
          </w:p>
        </w:tc>
        <w:tc>
          <w:tcPr>
            <w:tcW w:w="794"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kern w:val="0"/>
                <w:sz w:val="21"/>
                <w:szCs w:val="21"/>
                <w:lang w:val="en-US" w:eastAsia="zh-CN" w:bidi="ar-SA"/>
              </w:rPr>
            </w:pPr>
            <w:r>
              <w:rPr>
                <w:rFonts w:ascii="Times New Roman" w:hAnsi="Times New Roman"/>
                <w:color w:val="auto"/>
                <w:sz w:val="21"/>
                <w:szCs w:val="21"/>
              </w:rPr>
              <w:t>2</w:t>
            </w:r>
          </w:p>
        </w:tc>
        <w:tc>
          <w:tcPr>
            <w:tcW w:w="835"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kern w:val="0"/>
                <w:sz w:val="21"/>
                <w:szCs w:val="21"/>
                <w:lang w:val="en-US" w:eastAsia="zh-CN" w:bidi="ar-SA"/>
              </w:rPr>
            </w:pPr>
            <w:r>
              <w:rPr>
                <w:rFonts w:ascii="Times New Roman" w:hAnsi="Times New Roman"/>
                <w:color w:val="auto"/>
                <w:sz w:val="21"/>
                <w:szCs w:val="21"/>
              </w:rPr>
              <w:t>2</w:t>
            </w:r>
          </w:p>
        </w:tc>
        <w:tc>
          <w:tcPr>
            <w:tcW w:w="95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1</w:t>
            </w:r>
          </w:p>
        </w:tc>
        <w:tc>
          <w:tcPr>
            <w:tcW w:w="1125" w:type="pct"/>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color w:val="auto"/>
                <w:sz w:val="21"/>
                <w:szCs w:val="21"/>
                <w:lang w:val="en-US" w:eastAsia="zh-CN" w:bidi="ar"/>
              </w:rPr>
            </w:pPr>
            <w:r>
              <w:rPr>
                <w:rFonts w:hint="default" w:ascii="Times New Roman" w:hAnsi="Times New Roman" w:eastAsia="宋体" w:cs="Times New Roman"/>
                <w:color w:val="auto"/>
                <w:sz w:val="21"/>
                <w:szCs w:val="21"/>
                <w:lang w:bidi="ar"/>
              </w:rPr>
              <w:t>分阶段建设</w:t>
            </w:r>
            <w:r>
              <w:rPr>
                <w:rFonts w:hint="eastAsia" w:cs="Times New Roman"/>
                <w:color w:val="auto"/>
                <w:sz w:val="21"/>
                <w:szCs w:val="21"/>
                <w:lang w:eastAsia="zh-CN" w:bidi="ar"/>
              </w:rPr>
              <w:t>，</w:t>
            </w:r>
            <w:r>
              <w:rPr>
                <w:rFonts w:hint="eastAsia" w:cs="Times New Roman"/>
                <w:color w:val="auto"/>
                <w:sz w:val="21"/>
                <w:szCs w:val="21"/>
                <w:lang w:val="en-US" w:eastAsia="zh-CN" w:bidi="ar"/>
              </w:rPr>
              <w:t>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7" w:type="pct"/>
            <w:vAlign w:val="center"/>
          </w:tcPr>
          <w:p>
            <w:pPr>
              <w:numPr>
                <w:ilvl w:val="0"/>
                <w:numId w:val="2"/>
              </w:numPr>
              <w:adjustRightInd w:val="0"/>
              <w:snapToGrid w:val="0"/>
              <w:spacing w:line="240" w:lineRule="auto"/>
              <w:ind w:left="0" w:firstLine="0" w:firstLineChars="0"/>
              <w:jc w:val="center"/>
              <w:rPr>
                <w:rFonts w:hint="default" w:ascii="Times New Roman" w:hAnsi="Times New Roman" w:eastAsia="宋体" w:cs="Times New Roman"/>
                <w:color w:val="auto"/>
                <w:sz w:val="21"/>
                <w:szCs w:val="21"/>
                <w:lang w:bidi="ar"/>
              </w:rPr>
            </w:pPr>
          </w:p>
        </w:tc>
        <w:tc>
          <w:tcPr>
            <w:tcW w:w="971" w:type="pct"/>
            <w:vAlign w:val="center"/>
          </w:tcPr>
          <w:p>
            <w:pPr>
              <w:spacing w:line="240" w:lineRule="auto"/>
              <w:ind w:left="0" w:leftChars="0"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空压机</w:t>
            </w:r>
          </w:p>
        </w:tc>
        <w:tc>
          <w:tcPr>
            <w:tcW w:w="794"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1</w:t>
            </w:r>
          </w:p>
        </w:tc>
        <w:tc>
          <w:tcPr>
            <w:tcW w:w="835"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1</w:t>
            </w:r>
          </w:p>
        </w:tc>
        <w:tc>
          <w:tcPr>
            <w:tcW w:w="95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1</w:t>
            </w:r>
          </w:p>
        </w:tc>
        <w:tc>
          <w:tcPr>
            <w:tcW w:w="1125" w:type="pct"/>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color w:val="auto"/>
                <w:sz w:val="21"/>
                <w:szCs w:val="21"/>
                <w:lang w:val="en-US" w:eastAsia="zh-CN" w:bidi="ar"/>
              </w:rPr>
            </w:pPr>
            <w:r>
              <w:rPr>
                <w:rFonts w:hint="default" w:ascii="Times New Roman" w:hAnsi="Times New Roman" w:eastAsia="宋体" w:cs="Times New Roman"/>
                <w:color w:val="auto"/>
                <w:sz w:val="21"/>
                <w:szCs w:val="21"/>
                <w:lang w:bidi="ar"/>
              </w:rPr>
              <w:t>分阶段建设</w:t>
            </w:r>
            <w:r>
              <w:rPr>
                <w:rFonts w:hint="eastAsia" w:cs="Times New Roman"/>
                <w:color w:val="auto"/>
                <w:sz w:val="21"/>
                <w:szCs w:val="21"/>
                <w:lang w:eastAsia="zh-CN" w:bidi="ar"/>
              </w:rPr>
              <w:t>，</w:t>
            </w:r>
            <w:r>
              <w:rPr>
                <w:rFonts w:hint="eastAsia" w:cs="Times New Roman"/>
                <w:color w:val="auto"/>
                <w:sz w:val="21"/>
                <w:szCs w:val="21"/>
                <w:lang w:val="en-US" w:eastAsia="zh-CN" w:bidi="ar"/>
              </w:rPr>
              <w:t>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7" w:type="pct"/>
            <w:vAlign w:val="center"/>
          </w:tcPr>
          <w:p>
            <w:pPr>
              <w:numPr>
                <w:ilvl w:val="0"/>
                <w:numId w:val="2"/>
              </w:numPr>
              <w:adjustRightInd w:val="0"/>
              <w:snapToGrid w:val="0"/>
              <w:spacing w:line="240" w:lineRule="auto"/>
              <w:ind w:left="0" w:firstLine="0" w:firstLineChars="0"/>
              <w:jc w:val="center"/>
              <w:rPr>
                <w:rFonts w:hint="default" w:ascii="Times New Roman" w:hAnsi="Times New Roman" w:eastAsia="宋体" w:cs="Times New Roman"/>
                <w:color w:val="auto"/>
                <w:sz w:val="21"/>
                <w:szCs w:val="21"/>
                <w:lang w:bidi="ar"/>
              </w:rPr>
            </w:pPr>
          </w:p>
        </w:tc>
        <w:tc>
          <w:tcPr>
            <w:tcW w:w="971" w:type="pct"/>
            <w:vAlign w:val="center"/>
          </w:tcPr>
          <w:p>
            <w:pPr>
              <w:spacing w:line="240" w:lineRule="auto"/>
              <w:ind w:left="0" w:leftChars="0"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风机</w:t>
            </w:r>
          </w:p>
        </w:tc>
        <w:tc>
          <w:tcPr>
            <w:tcW w:w="794"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10</w:t>
            </w:r>
          </w:p>
        </w:tc>
        <w:tc>
          <w:tcPr>
            <w:tcW w:w="835" w:type="pct"/>
            <w:vAlign w:val="center"/>
          </w:tcPr>
          <w:p>
            <w:pPr>
              <w:widowControl/>
              <w:adjustRightInd/>
              <w:snapToGrid/>
              <w:spacing w:line="240" w:lineRule="auto"/>
              <w:ind w:firstLine="0" w:firstLineChars="0"/>
              <w:jc w:val="center"/>
              <w:textAlignment w:val="center"/>
              <w:rPr>
                <w:rFonts w:hint="default" w:ascii="Times New Roman" w:hAnsi="Times New Roman" w:eastAsia="宋体" w:cs="Times New Roman"/>
                <w:snapToGrid w:val="0"/>
                <w:color w:val="auto"/>
                <w:sz w:val="21"/>
                <w:szCs w:val="21"/>
                <w:lang w:val="en-US" w:eastAsia="zh-CN" w:bidi="ar-SA"/>
              </w:rPr>
            </w:pPr>
            <w:r>
              <w:rPr>
                <w:rFonts w:ascii="Times New Roman" w:hAnsi="Times New Roman"/>
                <w:color w:val="auto"/>
                <w:sz w:val="21"/>
                <w:szCs w:val="21"/>
              </w:rPr>
              <w:t>10</w:t>
            </w:r>
          </w:p>
        </w:tc>
        <w:tc>
          <w:tcPr>
            <w:tcW w:w="95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2</w:t>
            </w:r>
          </w:p>
        </w:tc>
        <w:tc>
          <w:tcPr>
            <w:tcW w:w="1125" w:type="pct"/>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color w:val="auto"/>
                <w:sz w:val="21"/>
                <w:szCs w:val="21"/>
                <w:lang w:val="en-US" w:eastAsia="zh-CN" w:bidi="ar"/>
              </w:rPr>
            </w:pPr>
            <w:r>
              <w:rPr>
                <w:rFonts w:hint="default" w:ascii="Times New Roman" w:hAnsi="Times New Roman" w:eastAsia="宋体" w:cs="Times New Roman"/>
                <w:color w:val="auto"/>
                <w:sz w:val="21"/>
                <w:szCs w:val="21"/>
                <w:lang w:bidi="ar"/>
              </w:rPr>
              <w:t>分阶段建设</w:t>
            </w:r>
            <w:r>
              <w:rPr>
                <w:rFonts w:hint="eastAsia" w:cs="Times New Roman"/>
                <w:color w:val="auto"/>
                <w:sz w:val="21"/>
                <w:szCs w:val="21"/>
                <w:lang w:eastAsia="zh-CN" w:bidi="ar"/>
              </w:rPr>
              <w:t>，</w:t>
            </w:r>
            <w:r>
              <w:rPr>
                <w:rFonts w:hint="eastAsia" w:cs="Times New Roman"/>
                <w:color w:val="auto"/>
                <w:sz w:val="21"/>
                <w:szCs w:val="21"/>
                <w:lang w:val="en-US" w:eastAsia="zh-CN" w:bidi="ar"/>
              </w:rPr>
              <w:t>在环评设计范围内</w:t>
            </w:r>
          </w:p>
        </w:tc>
      </w:tr>
    </w:tbl>
    <w:p>
      <w:pPr>
        <w:pStyle w:val="29"/>
        <w:spacing w:before="196"/>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表3-</w:t>
      </w:r>
      <w:r>
        <w:rPr>
          <w:rFonts w:hint="eastAsia" w:cs="Times New Roman"/>
          <w:color w:val="auto"/>
          <w:sz w:val="21"/>
          <w:szCs w:val="21"/>
          <w:lang w:val="en-US" w:eastAsia="zh-CN"/>
        </w:rPr>
        <w:t>3</w:t>
      </w:r>
      <w:r>
        <w:rPr>
          <w:rFonts w:hint="default" w:ascii="Times New Roman" w:hAnsi="Times New Roman" w:eastAsia="宋体" w:cs="Times New Roman"/>
          <w:color w:val="auto"/>
          <w:sz w:val="21"/>
          <w:szCs w:val="21"/>
        </w:rPr>
        <w:t xml:space="preserve">  验收项目主要公辅工程一览表</w:t>
      </w:r>
    </w:p>
    <w:tbl>
      <w:tblPr>
        <w:tblStyle w:val="24"/>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1" w:type="dxa"/>
          <w:bottom w:w="0" w:type="dxa"/>
          <w:right w:w="51" w:type="dxa"/>
        </w:tblCellMar>
      </w:tblPr>
      <w:tblGrid>
        <w:gridCol w:w="1010"/>
        <w:gridCol w:w="1201"/>
        <w:gridCol w:w="4420"/>
        <w:gridCol w:w="4685"/>
        <w:gridCol w:w="274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40" w:hRule="atLeast"/>
          <w:jc w:val="center"/>
        </w:trPr>
        <w:tc>
          <w:tcPr>
            <w:tcW w:w="35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工程类别</w:t>
            </w: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单项工程名称</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设计</w:t>
            </w:r>
            <w:r>
              <w:rPr>
                <w:rFonts w:hint="default" w:ascii="Times New Roman" w:hAnsi="Times New Roman" w:eastAsia="宋体" w:cs="Times New Roman"/>
                <w:b/>
                <w:bCs/>
                <w:color w:val="auto"/>
                <w:sz w:val="21"/>
                <w:szCs w:val="21"/>
              </w:rPr>
              <w:t>工程内容</w:t>
            </w:r>
            <w:r>
              <w:rPr>
                <w:rFonts w:hint="default" w:ascii="Times New Roman" w:hAnsi="Times New Roman" w:eastAsia="宋体" w:cs="Times New Roman"/>
                <w:b/>
                <w:bCs/>
                <w:color w:val="auto"/>
                <w:sz w:val="21"/>
                <w:szCs w:val="21"/>
                <w:lang w:val="en-US" w:eastAsia="zh-CN"/>
              </w:rPr>
              <w:t>和规模</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实际工程内容和规模</w:t>
            </w:r>
          </w:p>
        </w:tc>
        <w:tc>
          <w:tcPr>
            <w:tcW w:w="974" w:type="pct"/>
            <w:noWrap w:val="0"/>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批建相符性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849" w:hRule="atLeast"/>
          <w:jc w:val="center"/>
        </w:trPr>
        <w:tc>
          <w:tcPr>
            <w:tcW w:w="35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主体工程</w:t>
            </w: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pacing w:val="-2"/>
                <w:kern w:val="28"/>
                <w:sz w:val="21"/>
                <w:szCs w:val="21"/>
              </w:rPr>
              <w:t>锂电池胶带生产线</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在车间内设置1#~9#锂电池胶带生产线</w:t>
            </w:r>
            <w:r>
              <w:rPr>
                <w:rFonts w:hint="default" w:ascii="Times New Roman" w:hAnsi="Times New Roman" w:eastAsia="宋体" w:cs="Times New Roman"/>
                <w:sz w:val="21"/>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年产21600万m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rPr>
              <w:t>锂电池胶带</w:t>
            </w:r>
            <w:r>
              <w:rPr>
                <w:rFonts w:hint="default" w:ascii="Times New Roman" w:hAnsi="Times New Roman" w:eastAsia="宋体" w:cs="Times New Roman"/>
                <w:sz w:val="21"/>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pacing w:val="-2"/>
                <w:kern w:val="28"/>
                <w:sz w:val="21"/>
                <w:szCs w:val="21"/>
              </w:rPr>
              <w:t>依托江苏缔成特材科技有限公司车间二</w:t>
            </w:r>
            <w:r>
              <w:rPr>
                <w:rFonts w:hint="eastAsia" w:ascii="Times New Roman" w:hAnsi="Times New Roman" w:cs="Times New Roman"/>
                <w:color w:val="000000"/>
                <w:spacing w:val="-2"/>
                <w:kern w:val="28"/>
                <w:sz w:val="21"/>
                <w:szCs w:val="21"/>
                <w:lang w:eastAsia="zh-CN"/>
              </w:rPr>
              <w:t>，</w:t>
            </w:r>
            <w:r>
              <w:rPr>
                <w:rFonts w:hint="default" w:ascii="Times New Roman" w:hAnsi="Times New Roman" w:eastAsia="宋体" w:cs="Times New Roman"/>
                <w:sz w:val="21"/>
                <w:szCs w:val="21"/>
              </w:rPr>
              <w:t>车间二第一层车间建筑面积约7000m</w:t>
            </w:r>
            <w:r>
              <w:rPr>
                <w:rFonts w:hint="default" w:ascii="Times New Roman" w:hAnsi="Times New Roman" w:eastAsia="宋体" w:cs="Times New Roman"/>
                <w:sz w:val="21"/>
                <w:szCs w:val="21"/>
                <w:vertAlign w:val="superscript"/>
              </w:rPr>
              <w:t>2</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在车间内设置1#~</w:t>
            </w:r>
            <w:r>
              <w:rPr>
                <w:rFonts w:hint="eastAsia" w:ascii="Times New Roman" w:hAnsi="Times New Roman" w:cs="Times New Roman"/>
                <w:sz w:val="21"/>
                <w:szCs w:val="21"/>
                <w:lang w:val="en-US" w:eastAsia="zh-CN"/>
              </w:rPr>
              <w:t>2</w:t>
            </w:r>
            <w:r>
              <w:rPr>
                <w:rFonts w:hint="default" w:ascii="Times New Roman" w:hAnsi="Times New Roman" w:eastAsia="宋体" w:cs="Times New Roman"/>
                <w:sz w:val="21"/>
                <w:szCs w:val="21"/>
              </w:rPr>
              <w:t>#锂电池胶带生产线</w:t>
            </w:r>
            <w:r>
              <w:rPr>
                <w:rFonts w:hint="default" w:ascii="Times New Roman" w:hAnsi="Times New Roman" w:eastAsia="宋体" w:cs="Times New Roman"/>
                <w:sz w:val="21"/>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年产</w:t>
            </w:r>
            <w:r>
              <w:rPr>
                <w:rFonts w:hint="eastAsia" w:ascii="Times New Roman" w:hAnsi="Times New Roman" w:cs="Times New Roman"/>
                <w:sz w:val="21"/>
                <w:szCs w:val="21"/>
                <w:lang w:val="en-US" w:eastAsia="zh-CN"/>
              </w:rPr>
              <w:t>4800</w:t>
            </w:r>
            <w:r>
              <w:rPr>
                <w:rFonts w:hint="default" w:ascii="Times New Roman" w:hAnsi="Times New Roman" w:eastAsia="宋体" w:cs="Times New Roman"/>
                <w:sz w:val="21"/>
                <w:szCs w:val="21"/>
              </w:rPr>
              <w:t>万m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rPr>
              <w:t>锂电池胶带</w:t>
            </w:r>
            <w:r>
              <w:rPr>
                <w:rFonts w:hint="default" w:ascii="Times New Roman" w:hAnsi="Times New Roman" w:eastAsia="宋体" w:cs="Times New Roman"/>
                <w:sz w:val="21"/>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rPr>
            </w:pPr>
            <w:r>
              <w:rPr>
                <w:rFonts w:hint="default" w:ascii="Times New Roman" w:hAnsi="Times New Roman" w:eastAsia="宋体" w:cs="Times New Roman"/>
                <w:color w:val="000000"/>
                <w:spacing w:val="-2"/>
                <w:kern w:val="28"/>
                <w:sz w:val="21"/>
                <w:szCs w:val="21"/>
              </w:rPr>
              <w:t>依托江苏缔成特材科技有限公司车间</w:t>
            </w:r>
            <w:r>
              <w:rPr>
                <w:rFonts w:hint="eastAsia" w:ascii="Times New Roman" w:hAnsi="Times New Roman" w:cs="Times New Roman"/>
                <w:color w:val="000000"/>
                <w:spacing w:val="-2"/>
                <w:kern w:val="28"/>
                <w:sz w:val="21"/>
                <w:szCs w:val="21"/>
                <w:lang w:val="en-US" w:eastAsia="zh-CN"/>
              </w:rPr>
              <w:t>一部分区域</w:t>
            </w:r>
            <w:r>
              <w:rPr>
                <w:rFonts w:hint="eastAsia" w:ascii="Times New Roman" w:hAnsi="Times New Roman" w:cs="Times New Roman"/>
                <w:color w:val="000000"/>
                <w:spacing w:val="-2"/>
                <w:kern w:val="28"/>
                <w:sz w:val="21"/>
                <w:szCs w:val="21"/>
                <w:lang w:eastAsia="zh-CN"/>
              </w:rPr>
              <w:t>，</w:t>
            </w:r>
            <w:r>
              <w:rPr>
                <w:rFonts w:hint="default" w:ascii="Times New Roman" w:hAnsi="Times New Roman" w:eastAsia="宋体" w:cs="Times New Roman"/>
                <w:sz w:val="21"/>
                <w:szCs w:val="21"/>
              </w:rPr>
              <w:t>建筑面积约</w:t>
            </w:r>
            <w:r>
              <w:rPr>
                <w:rFonts w:hint="eastAsia" w:ascii="Times New Roman" w:hAnsi="Times New Roman" w:cs="Times New Roman"/>
                <w:sz w:val="21"/>
                <w:szCs w:val="21"/>
                <w:lang w:val="en-US" w:eastAsia="zh-CN"/>
              </w:rPr>
              <w:t>2600</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lang w:eastAsia="zh-CN"/>
              </w:rPr>
              <w:t>；</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eastAsia"/>
                <w:sz w:val="21"/>
                <w:szCs w:val="21"/>
                <w:lang w:val="en-US" w:eastAsia="zh-CN"/>
              </w:rPr>
            </w:pPr>
            <w:r>
              <w:rPr>
                <w:rFonts w:hint="eastAsia"/>
                <w:sz w:val="21"/>
                <w:szCs w:val="21"/>
                <w:lang w:val="en-US" w:eastAsia="zh-CN"/>
              </w:rPr>
              <w:t>项目为阶段验收，目前仅建设2条生产线，在环评设计范围内；</w:t>
            </w:r>
          </w:p>
          <w:p>
            <w:pPr>
              <w:pStyle w:val="11"/>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rPr>
                <w:rFonts w:hint="default"/>
                <w:sz w:val="21"/>
                <w:szCs w:val="21"/>
                <w:lang w:val="en-US" w:eastAsia="zh-CN"/>
              </w:rPr>
            </w:pPr>
            <w:r>
              <w:rPr>
                <w:rFonts w:hint="eastAsia"/>
                <w:sz w:val="21"/>
                <w:szCs w:val="21"/>
                <w:lang w:val="en-US" w:eastAsia="zh-CN"/>
              </w:rPr>
              <w:t>项目主体生产线由车间二挪至车间一，因此发生变动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220" w:hRule="atLeast"/>
          <w:jc w:val="center"/>
        </w:trPr>
        <w:tc>
          <w:tcPr>
            <w:tcW w:w="35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辅助工程</w:t>
            </w: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办公楼</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用于办公、行政</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pacing w:val="-2"/>
                <w:kern w:val="28"/>
                <w:sz w:val="21"/>
                <w:szCs w:val="21"/>
              </w:rPr>
              <w:t>依托江苏缔成特材科技有限公司办公室，其中900 m</w:t>
            </w:r>
            <w:r>
              <w:rPr>
                <w:rFonts w:hint="default" w:ascii="Times New Roman" w:hAnsi="Times New Roman" w:eastAsia="宋体" w:cs="Times New Roman"/>
                <w:color w:val="000000"/>
                <w:spacing w:val="-2"/>
                <w:kern w:val="28"/>
                <w:sz w:val="21"/>
                <w:szCs w:val="21"/>
                <w:vertAlign w:val="superscript"/>
              </w:rPr>
              <w:t>2</w:t>
            </w:r>
            <w:r>
              <w:rPr>
                <w:rFonts w:hint="default" w:ascii="Times New Roman" w:hAnsi="Times New Roman" w:eastAsia="宋体" w:cs="Times New Roman"/>
                <w:color w:val="000000"/>
                <w:spacing w:val="-2"/>
                <w:kern w:val="28"/>
                <w:sz w:val="21"/>
                <w:szCs w:val="21"/>
              </w:rPr>
              <w:t>出租给本项目使用</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rPr>
            </w:pPr>
            <w:r>
              <w:rPr>
                <w:rFonts w:hint="default" w:ascii="Times New Roman" w:hAnsi="Times New Roman" w:eastAsia="宋体" w:cs="Times New Roman"/>
                <w:color w:val="000000"/>
                <w:sz w:val="21"/>
                <w:szCs w:val="21"/>
              </w:rPr>
              <w:t>用于办公、行政</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pacing w:val="-2"/>
                <w:kern w:val="28"/>
                <w:sz w:val="21"/>
                <w:szCs w:val="21"/>
              </w:rPr>
              <w:t>依托江苏缔成特材科技有限公司办公室，其中900 m</w:t>
            </w:r>
            <w:r>
              <w:rPr>
                <w:rFonts w:hint="default" w:ascii="Times New Roman" w:hAnsi="Times New Roman" w:eastAsia="宋体" w:cs="Times New Roman"/>
                <w:color w:val="000000"/>
                <w:spacing w:val="-2"/>
                <w:kern w:val="28"/>
                <w:sz w:val="21"/>
                <w:szCs w:val="21"/>
                <w:vertAlign w:val="superscript"/>
              </w:rPr>
              <w:t>2</w:t>
            </w:r>
            <w:r>
              <w:rPr>
                <w:rFonts w:hint="default" w:ascii="Times New Roman" w:hAnsi="Times New Roman" w:eastAsia="宋体" w:cs="Times New Roman"/>
                <w:color w:val="000000"/>
                <w:spacing w:val="-2"/>
                <w:kern w:val="28"/>
                <w:sz w:val="21"/>
                <w:szCs w:val="21"/>
              </w:rPr>
              <w:t>出租给本项目使用</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baseline"/>
              <w:rPr>
                <w:rFonts w:hint="default" w:ascii="Times New Roman" w:hAnsi="Times New Roman" w:eastAsia="宋体" w:cs="Times New Roman"/>
                <w:color w:val="000000"/>
                <w:spacing w:val="-2"/>
                <w:kern w:val="28"/>
                <w:sz w:val="21"/>
                <w:szCs w:val="21"/>
                <w:lang w:val="en-US" w:eastAsia="zh-CN"/>
              </w:rPr>
            </w:pPr>
            <w:r>
              <w:rPr>
                <w:rFonts w:hint="eastAsia" w:cs="Times New Roman"/>
                <w:color w:val="000000"/>
                <w:spacing w:val="-2"/>
                <w:kern w:val="28"/>
                <w:sz w:val="21"/>
                <w:szCs w:val="21"/>
                <w:lang w:val="en-US" w:eastAsia="zh-CN"/>
              </w:rPr>
              <w:t>与环评一致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726" w:hRule="atLeast"/>
          <w:jc w:val="center"/>
        </w:trPr>
        <w:tc>
          <w:tcPr>
            <w:tcW w:w="359" w:type="pct"/>
            <w:vMerge w:val="restar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储运工程</w:t>
            </w: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成品区</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成品存储</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位于车间二第一层车间内，成品区使用面积约200m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lang w:eastAsia="zh-CN"/>
              </w:rPr>
              <w:t>；</w:t>
            </w:r>
          </w:p>
          <w:p>
            <w:pPr>
              <w:pStyle w:val="11"/>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pacing w:val="-2"/>
                <w:kern w:val="28"/>
                <w:sz w:val="21"/>
                <w:szCs w:val="21"/>
              </w:rPr>
              <w:t>依托江苏缔成特材科技有限公司现有车间二</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成品存储</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位于车间</w:t>
            </w:r>
            <w:r>
              <w:rPr>
                <w:rFonts w:hint="eastAsia" w:ascii="Times New Roman" w:hAnsi="Times New Roman" w:cs="Times New Roman"/>
                <w:sz w:val="21"/>
                <w:szCs w:val="21"/>
                <w:lang w:val="en-US" w:eastAsia="zh-CN"/>
              </w:rPr>
              <w:t>一内部</w:t>
            </w:r>
            <w:r>
              <w:rPr>
                <w:rFonts w:hint="default" w:ascii="Times New Roman" w:hAnsi="Times New Roman" w:eastAsia="宋体" w:cs="Times New Roman"/>
                <w:sz w:val="21"/>
                <w:szCs w:val="21"/>
              </w:rPr>
              <w:t>，成品区使用面积约</w:t>
            </w:r>
            <w:r>
              <w:rPr>
                <w:rFonts w:hint="eastAsia" w:ascii="Times New Roman" w:hAnsi="Times New Roman" w:cs="Times New Roman"/>
                <w:sz w:val="21"/>
                <w:szCs w:val="21"/>
                <w:lang w:val="en-US" w:eastAsia="zh-CN"/>
              </w:rPr>
              <w:t>5</w:t>
            </w:r>
            <w:r>
              <w:rPr>
                <w:rFonts w:hint="default" w:ascii="Times New Roman" w:hAnsi="Times New Roman" w:eastAsia="宋体" w:cs="Times New Roman"/>
                <w:sz w:val="21"/>
                <w:szCs w:val="21"/>
              </w:rPr>
              <w:t>0m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eastAsia" w:ascii="Times New Roman" w:hAnsi="Times New Roman" w:eastAsia="宋体" w:cs="Times New Roman"/>
                <w:color w:val="000000"/>
                <w:spacing w:val="-2"/>
                <w:kern w:val="28"/>
                <w:sz w:val="21"/>
                <w:szCs w:val="21"/>
                <w:lang w:eastAsia="zh-CN"/>
              </w:rPr>
            </w:pPr>
            <w:r>
              <w:rPr>
                <w:rFonts w:hint="default" w:ascii="Times New Roman" w:hAnsi="Times New Roman" w:eastAsia="宋体" w:cs="Times New Roman"/>
                <w:color w:val="000000"/>
                <w:spacing w:val="-2"/>
                <w:kern w:val="28"/>
                <w:sz w:val="21"/>
                <w:szCs w:val="21"/>
              </w:rPr>
              <w:t>依托江苏缔成特材科技有限公司现有车间</w:t>
            </w:r>
            <w:r>
              <w:rPr>
                <w:rFonts w:hint="eastAsia" w:ascii="Times New Roman" w:hAnsi="Times New Roman" w:cs="Times New Roman"/>
                <w:color w:val="000000"/>
                <w:spacing w:val="-2"/>
                <w:kern w:val="28"/>
                <w:sz w:val="21"/>
                <w:szCs w:val="21"/>
                <w:lang w:val="en-US" w:eastAsia="zh-CN"/>
              </w:rPr>
              <w:t>一</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lang w:val="en-US" w:eastAsia="zh-CN"/>
              </w:rPr>
            </w:pPr>
            <w:r>
              <w:rPr>
                <w:rFonts w:hint="eastAsia" w:ascii="Times New Roman" w:hAnsi="Times New Roman" w:eastAsia="宋体" w:cs="Times New Roman"/>
                <w:color w:val="000000"/>
                <w:spacing w:val="-2"/>
                <w:kern w:val="28"/>
                <w:sz w:val="21"/>
                <w:szCs w:val="21"/>
                <w:lang w:val="en-US" w:eastAsia="zh-CN"/>
              </w:rPr>
              <w:t>成品库由车间二内挪至车间一内部</w:t>
            </w:r>
            <w:r>
              <w:rPr>
                <w:rFonts w:hint="eastAsia" w:cs="Times New Roman"/>
                <w:color w:val="000000"/>
                <w:spacing w:val="-2"/>
                <w:kern w:val="28"/>
                <w:sz w:val="21"/>
                <w:szCs w:val="21"/>
                <w:lang w:val="en-US" w:eastAsia="zh-CN"/>
              </w:rPr>
              <w:t>，发生变动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30"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原料区</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原料存储</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位于车间二第一层车间内，原料区使用面积约300m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lang w:eastAsia="zh-CN"/>
              </w:rPr>
              <w:t>；</w:t>
            </w:r>
          </w:p>
          <w:p>
            <w:pPr>
              <w:pStyle w:val="11"/>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pacing w:val="-2"/>
                <w:kern w:val="28"/>
                <w:sz w:val="21"/>
                <w:szCs w:val="21"/>
              </w:rPr>
              <w:t>依托江苏缔成特材科技有限公司现有车间二</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原料存储</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位于车间</w:t>
            </w:r>
            <w:r>
              <w:rPr>
                <w:rFonts w:hint="eastAsia" w:ascii="Times New Roman" w:hAnsi="Times New Roman" w:cs="Times New Roman"/>
                <w:sz w:val="21"/>
                <w:szCs w:val="21"/>
                <w:lang w:val="en-US" w:eastAsia="zh-CN"/>
              </w:rPr>
              <w:t>一内部</w:t>
            </w:r>
            <w:r>
              <w:rPr>
                <w:rFonts w:hint="default" w:ascii="Times New Roman" w:hAnsi="Times New Roman" w:eastAsia="宋体" w:cs="Times New Roman"/>
                <w:sz w:val="21"/>
                <w:szCs w:val="21"/>
              </w:rPr>
              <w:t>，原料区使用面积约</w:t>
            </w:r>
            <w:r>
              <w:rPr>
                <w:rFonts w:hint="eastAsia" w:ascii="Times New Roman" w:hAnsi="Times New Roman" w:cs="Times New Roman"/>
                <w:sz w:val="21"/>
                <w:szCs w:val="21"/>
                <w:lang w:val="en-US" w:eastAsia="zh-CN"/>
              </w:rPr>
              <w:t>200</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eastAsia" w:ascii="Times New Roman" w:hAnsi="Times New Roman" w:eastAsia="宋体" w:cs="Times New Roman"/>
                <w:color w:val="000000"/>
                <w:spacing w:val="-2"/>
                <w:kern w:val="28"/>
                <w:sz w:val="21"/>
                <w:szCs w:val="21"/>
                <w:lang w:eastAsia="zh-CN"/>
              </w:rPr>
            </w:pPr>
            <w:r>
              <w:rPr>
                <w:rFonts w:hint="default" w:ascii="Times New Roman" w:hAnsi="Times New Roman" w:eastAsia="宋体" w:cs="Times New Roman"/>
                <w:color w:val="000000"/>
                <w:spacing w:val="-2"/>
                <w:kern w:val="28"/>
                <w:sz w:val="21"/>
                <w:szCs w:val="21"/>
              </w:rPr>
              <w:t>依托江苏缔成特材科技有限公司现有车间</w:t>
            </w:r>
            <w:r>
              <w:rPr>
                <w:rFonts w:hint="eastAsia" w:ascii="Times New Roman" w:hAnsi="Times New Roman" w:cs="Times New Roman"/>
                <w:color w:val="000000"/>
                <w:spacing w:val="-2"/>
                <w:kern w:val="28"/>
                <w:sz w:val="21"/>
                <w:szCs w:val="21"/>
                <w:lang w:val="en-US" w:eastAsia="zh-CN"/>
              </w:rPr>
              <w:t>一</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lang w:val="en-US"/>
              </w:rPr>
            </w:pPr>
            <w:r>
              <w:rPr>
                <w:rFonts w:hint="eastAsia" w:ascii="Times New Roman" w:hAnsi="Times New Roman" w:cs="Times New Roman"/>
                <w:color w:val="000000"/>
                <w:spacing w:val="-2"/>
                <w:kern w:val="28"/>
                <w:sz w:val="21"/>
                <w:szCs w:val="21"/>
                <w:lang w:val="en-US" w:eastAsia="zh-CN"/>
              </w:rPr>
              <w:t>原料</w:t>
            </w:r>
            <w:r>
              <w:rPr>
                <w:rFonts w:hint="eastAsia" w:ascii="Times New Roman" w:hAnsi="Times New Roman" w:eastAsia="宋体" w:cs="Times New Roman"/>
                <w:color w:val="000000"/>
                <w:spacing w:val="-2"/>
                <w:kern w:val="28"/>
                <w:sz w:val="21"/>
                <w:szCs w:val="21"/>
                <w:lang w:val="en-US" w:eastAsia="zh-CN"/>
              </w:rPr>
              <w:t>库由车间二内挪至车间一内部</w:t>
            </w:r>
            <w:r>
              <w:rPr>
                <w:rFonts w:hint="eastAsia" w:cs="Times New Roman"/>
                <w:color w:val="000000"/>
                <w:spacing w:val="-2"/>
                <w:kern w:val="28"/>
                <w:sz w:val="21"/>
                <w:szCs w:val="21"/>
                <w:lang w:val="en-US" w:eastAsia="zh-CN"/>
              </w:rPr>
              <w:t>，发生变动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40" w:hRule="atLeast"/>
          <w:jc w:val="center"/>
        </w:trPr>
        <w:tc>
          <w:tcPr>
            <w:tcW w:w="359" w:type="pct"/>
            <w:vMerge w:val="restar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公用工程</w:t>
            </w: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供水系统</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开发区供水管网供水</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供水量1800m</w:t>
            </w:r>
            <w:r>
              <w:rPr>
                <w:rFonts w:hint="default" w:ascii="Times New Roman" w:hAnsi="Times New Roman" w:eastAsia="宋体" w:cs="Times New Roman"/>
                <w:sz w:val="21"/>
                <w:szCs w:val="21"/>
                <w:highlight w:val="none"/>
                <w:vertAlign w:val="superscript"/>
              </w:rPr>
              <w:t>3</w:t>
            </w:r>
            <w:r>
              <w:rPr>
                <w:rFonts w:hint="default" w:ascii="Times New Roman" w:hAnsi="Times New Roman" w:eastAsia="宋体" w:cs="Times New Roman"/>
                <w:sz w:val="21"/>
                <w:szCs w:val="21"/>
                <w:highlight w:val="none"/>
              </w:rPr>
              <w:t>/a</w:t>
            </w:r>
            <w:r>
              <w:rPr>
                <w:rFonts w:hint="default" w:ascii="Times New Roman" w:hAnsi="Times New Roman" w:eastAsia="宋体" w:cs="Times New Roman"/>
                <w:sz w:val="21"/>
                <w:szCs w:val="21"/>
                <w:highlight w:val="none"/>
                <w:lang w:eastAsia="zh-CN"/>
              </w:rPr>
              <w:t>；</w:t>
            </w:r>
          </w:p>
          <w:p>
            <w:pPr>
              <w:pStyle w:val="11"/>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left"/>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color w:val="000000"/>
                <w:spacing w:val="-2"/>
                <w:kern w:val="28"/>
                <w:sz w:val="21"/>
                <w:szCs w:val="21"/>
                <w:highlight w:val="none"/>
              </w:rPr>
              <w:t>依托江苏缔成特材科技有限公司厂区内现有供水管网</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开发区供水管网供水</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供水量</w:t>
            </w:r>
            <w:r>
              <w:rPr>
                <w:rFonts w:hint="eastAsia" w:ascii="Times New Roman" w:hAnsi="Times New Roman" w:cs="Times New Roman"/>
                <w:sz w:val="21"/>
                <w:szCs w:val="21"/>
                <w:highlight w:val="none"/>
                <w:lang w:val="en-US" w:eastAsia="zh-CN"/>
              </w:rPr>
              <w:t>375</w:t>
            </w:r>
            <w:r>
              <w:rPr>
                <w:rFonts w:hint="default" w:ascii="Times New Roman" w:hAnsi="Times New Roman" w:eastAsia="宋体" w:cs="Times New Roman"/>
                <w:sz w:val="21"/>
                <w:szCs w:val="21"/>
                <w:highlight w:val="none"/>
              </w:rPr>
              <w:t>m</w:t>
            </w:r>
            <w:r>
              <w:rPr>
                <w:rFonts w:hint="default" w:ascii="Times New Roman" w:hAnsi="Times New Roman" w:eastAsia="宋体" w:cs="Times New Roman"/>
                <w:sz w:val="21"/>
                <w:szCs w:val="21"/>
                <w:highlight w:val="none"/>
                <w:vertAlign w:val="superscript"/>
              </w:rPr>
              <w:t>3</w:t>
            </w:r>
            <w:r>
              <w:rPr>
                <w:rFonts w:hint="default" w:ascii="Times New Roman" w:hAnsi="Times New Roman" w:eastAsia="宋体" w:cs="Times New Roman"/>
                <w:sz w:val="21"/>
                <w:szCs w:val="21"/>
                <w:highlight w:val="none"/>
              </w:rPr>
              <w:t>/a</w:t>
            </w:r>
            <w:r>
              <w:rPr>
                <w:rFonts w:hint="default" w:ascii="Times New Roman" w:hAnsi="Times New Roman" w:eastAsia="宋体" w:cs="Times New Roman"/>
                <w:sz w:val="21"/>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highlight w:val="none"/>
              </w:rPr>
            </w:pPr>
            <w:r>
              <w:rPr>
                <w:rFonts w:hint="default" w:ascii="Times New Roman" w:hAnsi="Times New Roman" w:eastAsia="宋体" w:cs="Times New Roman"/>
                <w:color w:val="000000"/>
                <w:spacing w:val="-2"/>
                <w:kern w:val="28"/>
                <w:sz w:val="21"/>
                <w:szCs w:val="21"/>
                <w:highlight w:val="none"/>
              </w:rPr>
              <w:t>依托江苏缔成特材科技有限公司厂区内现有供水管网</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baseline"/>
              <w:rPr>
                <w:rFonts w:hint="default" w:ascii="Times New Roman" w:hAnsi="Times New Roman" w:eastAsia="宋体" w:cs="Times New Roman"/>
                <w:color w:val="000000"/>
                <w:spacing w:val="-2"/>
                <w:kern w:val="28"/>
                <w:sz w:val="21"/>
                <w:szCs w:val="21"/>
                <w:lang w:val="en-US" w:eastAsia="zh-CN"/>
              </w:rPr>
            </w:pPr>
            <w:r>
              <w:rPr>
                <w:rFonts w:hint="eastAsia" w:cs="Times New Roman"/>
                <w:color w:val="000000"/>
                <w:spacing w:val="-2"/>
                <w:kern w:val="28"/>
                <w:sz w:val="21"/>
                <w:szCs w:val="21"/>
                <w:lang w:val="en-US" w:eastAsia="zh-CN"/>
              </w:rPr>
              <w:t>阶段验收，在环评设计范围内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40"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排水系统</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雨污分流，雨水通过雨水管网排入尧塘河；</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生活污水经化粪池处理后通过市政污水管网进入金坛区第二污水处理厂</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生活污水排水量1440m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pacing w:val="-2"/>
                <w:kern w:val="28"/>
                <w:sz w:val="21"/>
                <w:szCs w:val="21"/>
              </w:rPr>
              <w:t>依托江苏缔成特材科技有限公司厂区内雨污管网和化粪池</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rPr>
              <w:t>雨污分流，雨水通过雨水管网排入尧塘河；</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生活污水经化粪池处理后通过市政污水管网进入金坛区第二污水处理厂</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生活污水排水量</w:t>
            </w:r>
            <w:r>
              <w:rPr>
                <w:rFonts w:hint="eastAsia" w:ascii="Times New Roman" w:hAnsi="Times New Roman" w:cs="Times New Roman"/>
                <w:sz w:val="21"/>
                <w:szCs w:val="21"/>
                <w:highlight w:val="none"/>
                <w:lang w:val="en-US" w:eastAsia="zh-CN"/>
              </w:rPr>
              <w:t>300</w:t>
            </w:r>
            <w:r>
              <w:rPr>
                <w:rFonts w:hint="default" w:ascii="Times New Roman" w:hAnsi="Times New Roman" w:eastAsia="宋体" w:cs="Times New Roman"/>
                <w:sz w:val="21"/>
                <w:szCs w:val="21"/>
                <w:highlight w:val="none"/>
              </w:rPr>
              <w:t>m</w:t>
            </w:r>
            <w:r>
              <w:rPr>
                <w:rFonts w:hint="default" w:ascii="Times New Roman" w:hAnsi="Times New Roman" w:eastAsia="宋体" w:cs="Times New Roman"/>
                <w:sz w:val="21"/>
                <w:szCs w:val="21"/>
                <w:highlight w:val="none"/>
                <w:vertAlign w:val="superscript"/>
              </w:rPr>
              <w:t>3</w:t>
            </w:r>
            <w:r>
              <w:rPr>
                <w:rFonts w:hint="default" w:ascii="Times New Roman" w:hAnsi="Times New Roman" w:eastAsia="宋体" w:cs="Times New Roman"/>
                <w:sz w:val="21"/>
                <w:szCs w:val="21"/>
                <w:highlight w:val="none"/>
              </w:rPr>
              <w:t>/a</w:t>
            </w:r>
            <w:r>
              <w:rPr>
                <w:rFonts w:hint="default" w:ascii="Times New Roman" w:hAnsi="Times New Roman" w:eastAsia="宋体" w:cs="Times New Roman"/>
                <w:sz w:val="21"/>
                <w:szCs w:val="21"/>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rPr>
            </w:pPr>
            <w:r>
              <w:rPr>
                <w:rFonts w:hint="default" w:ascii="Times New Roman" w:hAnsi="Times New Roman" w:eastAsia="宋体" w:cs="Times New Roman"/>
                <w:color w:val="000000"/>
                <w:spacing w:val="-2"/>
                <w:kern w:val="28"/>
                <w:sz w:val="21"/>
                <w:szCs w:val="21"/>
                <w:highlight w:val="none"/>
              </w:rPr>
              <w:t>依托江苏缔成特材科技有限公司厂区内雨污管网和化粪池</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baseline"/>
              <w:rPr>
                <w:rFonts w:hint="eastAsia" w:ascii="Times New Roman" w:hAnsi="Times New Roman" w:eastAsia="宋体" w:cs="Times New Roman"/>
                <w:color w:val="000000"/>
                <w:spacing w:val="-2"/>
                <w:kern w:val="28"/>
                <w:sz w:val="21"/>
                <w:szCs w:val="21"/>
                <w:lang w:val="en-US" w:eastAsia="zh-CN"/>
              </w:rPr>
            </w:pPr>
            <w:r>
              <w:rPr>
                <w:rFonts w:hint="eastAsia" w:cs="Times New Roman"/>
                <w:color w:val="000000"/>
                <w:spacing w:val="-2"/>
                <w:kern w:val="28"/>
                <w:sz w:val="21"/>
                <w:szCs w:val="21"/>
                <w:lang w:val="en-US" w:eastAsia="zh-CN"/>
              </w:rPr>
              <w:t>阶段验收，在环评设计范围内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40"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供电系统</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bCs/>
                <w:color w:val="000000"/>
                <w:sz w:val="21"/>
                <w:szCs w:val="21"/>
                <w:lang w:eastAsia="zh-CN"/>
              </w:rPr>
            </w:pPr>
            <w:r>
              <w:rPr>
                <w:rFonts w:hint="default" w:ascii="Times New Roman" w:hAnsi="Times New Roman" w:eastAsia="宋体" w:cs="Times New Roman"/>
                <w:color w:val="000000"/>
                <w:sz w:val="21"/>
                <w:szCs w:val="21"/>
              </w:rPr>
              <w:t>依靠开发区供电系统和</w:t>
            </w:r>
            <w:r>
              <w:rPr>
                <w:rFonts w:hint="default" w:ascii="Times New Roman" w:hAnsi="Times New Roman" w:eastAsia="宋体" w:cs="Times New Roman"/>
                <w:color w:val="000000"/>
                <w:spacing w:val="-2"/>
                <w:kern w:val="28"/>
                <w:sz w:val="21"/>
                <w:szCs w:val="21"/>
              </w:rPr>
              <w:t>江苏缔成特材科技有限公司厂区内电网</w:t>
            </w:r>
            <w:r>
              <w:rPr>
                <w:rFonts w:hint="default" w:ascii="Times New Roman" w:hAnsi="Times New Roman" w:eastAsia="宋体" w:cs="Times New Roman"/>
                <w:color w:val="000000"/>
                <w:spacing w:val="-2"/>
                <w:kern w:val="28"/>
                <w:sz w:val="21"/>
                <w:szCs w:val="21"/>
                <w:lang w:eastAsia="zh-CN"/>
              </w:rPr>
              <w:t>，</w:t>
            </w:r>
            <w:r>
              <w:rPr>
                <w:rFonts w:hint="default" w:ascii="Times New Roman" w:hAnsi="Times New Roman" w:eastAsia="宋体" w:cs="Times New Roman"/>
                <w:color w:val="000000"/>
                <w:sz w:val="21"/>
                <w:szCs w:val="21"/>
              </w:rPr>
              <w:t>供电量100万kWh/a</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依靠开发区供电系统和</w:t>
            </w:r>
            <w:r>
              <w:rPr>
                <w:rFonts w:hint="default" w:ascii="Times New Roman" w:hAnsi="Times New Roman" w:eastAsia="宋体" w:cs="Times New Roman"/>
                <w:color w:val="000000"/>
                <w:spacing w:val="-2"/>
                <w:kern w:val="28"/>
                <w:sz w:val="21"/>
                <w:szCs w:val="21"/>
              </w:rPr>
              <w:t>江苏缔成特材科技有限</w:t>
            </w:r>
            <w:r>
              <w:rPr>
                <w:rFonts w:hint="default" w:ascii="Times New Roman" w:hAnsi="Times New Roman" w:eastAsia="宋体" w:cs="Times New Roman"/>
                <w:color w:val="000000"/>
                <w:spacing w:val="-2"/>
                <w:kern w:val="28"/>
                <w:sz w:val="21"/>
                <w:szCs w:val="21"/>
                <w:highlight w:val="none"/>
              </w:rPr>
              <w:t>公司厂区内电网</w:t>
            </w:r>
            <w:r>
              <w:rPr>
                <w:rFonts w:hint="default" w:ascii="Times New Roman" w:hAnsi="Times New Roman" w:eastAsia="宋体" w:cs="Times New Roman"/>
                <w:color w:val="000000"/>
                <w:spacing w:val="-2"/>
                <w:kern w:val="28"/>
                <w:sz w:val="21"/>
                <w:szCs w:val="21"/>
                <w:highlight w:val="none"/>
                <w:lang w:eastAsia="zh-CN"/>
              </w:rPr>
              <w:t>，</w:t>
            </w:r>
            <w:r>
              <w:rPr>
                <w:rFonts w:hint="default" w:ascii="Times New Roman" w:hAnsi="Times New Roman" w:eastAsia="宋体" w:cs="Times New Roman"/>
                <w:color w:val="000000"/>
                <w:sz w:val="21"/>
                <w:szCs w:val="21"/>
                <w:highlight w:val="none"/>
              </w:rPr>
              <w:t>供电量</w:t>
            </w:r>
            <w:r>
              <w:rPr>
                <w:rFonts w:hint="eastAsia" w:ascii="Times New Roman" w:hAnsi="Times New Roman" w:cs="Times New Roman"/>
                <w:color w:val="000000"/>
                <w:sz w:val="21"/>
                <w:szCs w:val="21"/>
                <w:highlight w:val="none"/>
                <w:lang w:val="en-US" w:eastAsia="zh-CN"/>
              </w:rPr>
              <w:t>20</w:t>
            </w:r>
            <w:r>
              <w:rPr>
                <w:rFonts w:hint="default" w:ascii="Times New Roman" w:hAnsi="Times New Roman" w:eastAsia="宋体" w:cs="Times New Roman"/>
                <w:color w:val="000000"/>
                <w:sz w:val="21"/>
                <w:szCs w:val="21"/>
                <w:highlight w:val="none"/>
              </w:rPr>
              <w:t>万kWh/a</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baseline"/>
              <w:rPr>
                <w:rFonts w:hint="eastAsia" w:ascii="Times New Roman" w:hAnsi="Times New Roman" w:eastAsia="宋体" w:cs="Times New Roman"/>
                <w:color w:val="000000"/>
                <w:sz w:val="21"/>
                <w:szCs w:val="21"/>
                <w:lang w:val="en-US" w:eastAsia="zh-CN"/>
              </w:rPr>
            </w:pPr>
            <w:r>
              <w:rPr>
                <w:rFonts w:hint="eastAsia" w:cs="Times New Roman"/>
                <w:color w:val="000000"/>
                <w:spacing w:val="-2"/>
                <w:kern w:val="28"/>
                <w:sz w:val="21"/>
                <w:szCs w:val="21"/>
                <w:lang w:val="en-US" w:eastAsia="zh-CN"/>
              </w:rPr>
              <w:t>阶段验收，在环评设计范围内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40"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供气系统</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依靠开发区供气系统</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供气量15万立方</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依靠开发区供气系统</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供气量</w:t>
            </w:r>
            <w:r>
              <w:rPr>
                <w:rFonts w:hint="eastAsia" w:ascii="Times New Roman" w:hAnsi="Times New Roman" w:cs="Times New Roman"/>
                <w:color w:val="000000"/>
                <w:sz w:val="21"/>
                <w:szCs w:val="21"/>
                <w:lang w:val="en-US" w:eastAsia="zh-CN"/>
              </w:rPr>
              <w:t>3.6</w:t>
            </w:r>
            <w:r>
              <w:rPr>
                <w:rFonts w:hint="default" w:ascii="Times New Roman" w:hAnsi="Times New Roman" w:eastAsia="宋体" w:cs="Times New Roman"/>
                <w:color w:val="000000"/>
                <w:sz w:val="21"/>
                <w:szCs w:val="21"/>
              </w:rPr>
              <w:t>万立方</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baseline"/>
              <w:rPr>
                <w:rFonts w:hint="default" w:ascii="Times New Roman" w:hAnsi="Times New Roman" w:eastAsia="宋体" w:cs="Times New Roman"/>
                <w:color w:val="000000"/>
                <w:sz w:val="21"/>
                <w:szCs w:val="21"/>
                <w:lang w:val="en-US" w:eastAsia="zh-CN"/>
              </w:rPr>
            </w:pPr>
            <w:r>
              <w:rPr>
                <w:rFonts w:hint="eastAsia" w:cs="Times New Roman"/>
                <w:color w:val="000000"/>
                <w:spacing w:val="-2"/>
                <w:kern w:val="28"/>
                <w:sz w:val="21"/>
                <w:szCs w:val="21"/>
                <w:lang w:val="en-US" w:eastAsia="zh-CN"/>
              </w:rPr>
              <w:t>阶段验收，在环评设计范围内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40" w:hRule="atLeast"/>
          <w:jc w:val="center"/>
        </w:trPr>
        <w:tc>
          <w:tcPr>
            <w:tcW w:w="359" w:type="pct"/>
            <w:vMerge w:val="restar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环保工程</w:t>
            </w:r>
          </w:p>
        </w:tc>
        <w:tc>
          <w:tcPr>
            <w:tcW w:w="427" w:type="pct"/>
            <w:vMerge w:val="restar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废气处理</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混胶、涂胶废气采用密闭收集；烘烤废气管道密闭收集。</w:t>
            </w:r>
            <w:r>
              <w:rPr>
                <w:color w:val="000000"/>
                <w:sz w:val="21"/>
                <w:szCs w:val="21"/>
              </w:rPr>
              <w:t>有机废气收集后经旋转式RTO热力燃烧装置处理后通过</w:t>
            </w:r>
            <w:r>
              <w:rPr>
                <w:rFonts w:hint="eastAsia"/>
                <w:color w:val="000000"/>
                <w:sz w:val="21"/>
                <w:szCs w:val="21"/>
                <w:lang w:val="en-US" w:eastAsia="zh-CN"/>
              </w:rPr>
              <w:t>2根</w:t>
            </w:r>
            <w:r>
              <w:rPr>
                <w:color w:val="000000"/>
                <w:sz w:val="21"/>
                <w:szCs w:val="21"/>
              </w:rPr>
              <w:t>25米高排气筒</w:t>
            </w:r>
            <w:r>
              <w:rPr>
                <w:rFonts w:hint="eastAsia"/>
                <w:color w:val="000000"/>
                <w:sz w:val="21"/>
                <w:szCs w:val="21"/>
                <w:lang w:eastAsia="zh-CN"/>
              </w:rPr>
              <w:t>（</w:t>
            </w:r>
            <w:r>
              <w:rPr>
                <w:rFonts w:hint="default" w:ascii="Times New Roman" w:hAnsi="Times New Roman" w:eastAsia="宋体" w:cs="Times New Roman"/>
                <w:color w:val="000000"/>
                <w:sz w:val="21"/>
                <w:szCs w:val="21"/>
              </w:rPr>
              <w:t>DA00</w:t>
            </w:r>
            <w:r>
              <w:rPr>
                <w:rFonts w:hint="eastAsia" w:ascii="Times New Roman" w:hAnsi="Times New Roman" w:cs="Times New Roman"/>
                <w:color w:val="000000"/>
                <w:sz w:val="21"/>
                <w:szCs w:val="21"/>
                <w:lang w:val="en-US" w:eastAsia="zh-CN"/>
              </w:rPr>
              <w:t>1</w:t>
            </w:r>
            <w:r>
              <w:rPr>
                <w:rFonts w:hint="default" w:ascii="Times New Roman" w:hAnsi="Times New Roman" w:eastAsia="宋体" w:cs="Times New Roman"/>
                <w:color w:val="000000"/>
                <w:sz w:val="21"/>
                <w:szCs w:val="21"/>
              </w:rPr>
              <w:t>、DA00</w:t>
            </w:r>
            <w:r>
              <w:rPr>
                <w:rFonts w:hint="eastAsia" w:ascii="Times New Roman" w:hAnsi="Times New Roman" w:eastAsia="宋体" w:cs="Times New Roman"/>
                <w:color w:val="000000"/>
                <w:sz w:val="21"/>
                <w:szCs w:val="21"/>
                <w:lang w:val="en-US" w:eastAsia="zh-CN"/>
              </w:rPr>
              <w:t>2</w:t>
            </w:r>
            <w:r>
              <w:rPr>
                <w:rFonts w:hint="eastAsia"/>
                <w:color w:val="000000"/>
                <w:sz w:val="21"/>
                <w:szCs w:val="21"/>
                <w:lang w:eastAsia="zh-CN"/>
              </w:rPr>
              <w:t>）</w:t>
            </w:r>
            <w:r>
              <w:rPr>
                <w:color w:val="000000"/>
                <w:sz w:val="21"/>
                <w:szCs w:val="21"/>
              </w:rPr>
              <w:t>排放</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rPr>
                <w:rFonts w:hint="default" w:ascii="Times New Roman" w:hAnsi="Times New Roman" w:eastAsia="宋体" w:cs="Times New Roman"/>
                <w:color w:val="000000"/>
                <w:spacing w:val="-2"/>
                <w:kern w:val="28"/>
                <w:sz w:val="21"/>
                <w:szCs w:val="21"/>
              </w:rPr>
            </w:pPr>
            <w:r>
              <w:rPr>
                <w:rFonts w:hint="default" w:ascii="Times New Roman" w:hAnsi="Times New Roman" w:eastAsia="宋体" w:cs="Times New Roman"/>
                <w:color w:val="000000"/>
                <w:sz w:val="21"/>
                <w:szCs w:val="21"/>
              </w:rPr>
              <w:t>混胶、涂胶废气采用密闭收集；烘烤废气管道密闭收集。</w:t>
            </w:r>
            <w:r>
              <w:rPr>
                <w:color w:val="000000"/>
                <w:sz w:val="21"/>
                <w:szCs w:val="21"/>
              </w:rPr>
              <w:t>有机废气收集后经旋转式RTO热力燃烧装置处理后通过</w:t>
            </w:r>
            <w:r>
              <w:rPr>
                <w:rFonts w:hint="eastAsia"/>
                <w:color w:val="000000"/>
                <w:sz w:val="21"/>
                <w:szCs w:val="21"/>
                <w:lang w:val="en-US" w:eastAsia="zh-CN"/>
              </w:rPr>
              <w:t>1根</w:t>
            </w:r>
            <w:r>
              <w:rPr>
                <w:color w:val="000000"/>
                <w:sz w:val="21"/>
                <w:szCs w:val="21"/>
              </w:rPr>
              <w:t>25米高排气筒</w:t>
            </w:r>
            <w:r>
              <w:rPr>
                <w:rFonts w:hint="eastAsia"/>
                <w:color w:val="000000"/>
                <w:sz w:val="21"/>
                <w:szCs w:val="21"/>
                <w:lang w:eastAsia="zh-CN"/>
              </w:rPr>
              <w:t>（</w:t>
            </w:r>
            <w:r>
              <w:rPr>
                <w:rFonts w:hint="default" w:ascii="Times New Roman" w:hAnsi="Times New Roman" w:eastAsia="宋体" w:cs="Times New Roman"/>
                <w:color w:val="000000"/>
                <w:sz w:val="21"/>
                <w:szCs w:val="21"/>
              </w:rPr>
              <w:t>DA00</w:t>
            </w:r>
            <w:r>
              <w:rPr>
                <w:rFonts w:hint="eastAsia" w:ascii="Times New Roman" w:hAnsi="Times New Roman" w:cs="Times New Roman"/>
                <w:color w:val="000000"/>
                <w:sz w:val="21"/>
                <w:szCs w:val="21"/>
                <w:lang w:val="en-US" w:eastAsia="zh-CN"/>
              </w:rPr>
              <w:t>1</w:t>
            </w:r>
            <w:r>
              <w:rPr>
                <w:rFonts w:hint="eastAsia"/>
                <w:color w:val="000000"/>
                <w:sz w:val="21"/>
                <w:szCs w:val="21"/>
                <w:lang w:eastAsia="zh-CN"/>
              </w:rPr>
              <w:t>）</w:t>
            </w:r>
            <w:r>
              <w:rPr>
                <w:color w:val="000000"/>
                <w:sz w:val="21"/>
                <w:szCs w:val="21"/>
              </w:rPr>
              <w:t>排放</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lang w:val="en-US" w:eastAsia="zh-CN"/>
              </w:rPr>
            </w:pPr>
            <w:r>
              <w:rPr>
                <w:rFonts w:hint="eastAsia" w:ascii="Times New Roman" w:hAnsi="Times New Roman" w:eastAsia="宋体" w:cs="Times New Roman"/>
                <w:color w:val="000000"/>
                <w:spacing w:val="-2"/>
                <w:kern w:val="28"/>
                <w:sz w:val="21"/>
                <w:szCs w:val="21"/>
                <w:lang w:val="en-US" w:eastAsia="zh-CN"/>
              </w:rPr>
              <w:t>阶段验收，仅设置1套</w:t>
            </w:r>
            <w:r>
              <w:rPr>
                <w:color w:val="000000"/>
                <w:sz w:val="21"/>
                <w:szCs w:val="21"/>
              </w:rPr>
              <w:t>旋转式RTO热力燃烧装置</w:t>
            </w:r>
            <w:r>
              <w:rPr>
                <w:rFonts w:hint="eastAsia"/>
                <w:color w:val="000000"/>
                <w:sz w:val="21"/>
                <w:szCs w:val="21"/>
                <w:lang w:val="en-US" w:eastAsia="zh-CN"/>
              </w:rPr>
              <w:t>+25米排气筒，在环评设计范围内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40"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导热油炉</w:t>
            </w:r>
            <w:r>
              <w:rPr>
                <w:rFonts w:hint="default" w:ascii="Times New Roman" w:hAnsi="Times New Roman" w:eastAsia="宋体" w:cs="Times New Roman"/>
                <w:color w:val="000000"/>
                <w:sz w:val="21"/>
                <w:szCs w:val="21"/>
              </w:rPr>
              <w:t>燃烧废气</w:t>
            </w:r>
            <w:r>
              <w:rPr>
                <w:rFonts w:hint="default" w:ascii="Times New Roman" w:hAnsi="Times New Roman" w:eastAsia="宋体" w:cs="Times New Roman"/>
                <w:color w:val="000000"/>
                <w:sz w:val="21"/>
                <w:szCs w:val="21"/>
                <w:lang w:val="en-US" w:eastAsia="zh-CN"/>
              </w:rPr>
              <w:t>经</w:t>
            </w:r>
            <w:r>
              <w:rPr>
                <w:rFonts w:hint="default" w:ascii="Times New Roman" w:hAnsi="Times New Roman" w:eastAsia="宋体" w:cs="Times New Roman"/>
                <w:color w:val="000000"/>
                <w:sz w:val="21"/>
                <w:szCs w:val="21"/>
              </w:rPr>
              <w:t>管道密闭收集</w:t>
            </w:r>
            <w:r>
              <w:rPr>
                <w:rFonts w:hint="default" w:ascii="Times New Roman" w:hAnsi="Times New Roman" w:eastAsia="宋体" w:cs="Times New Roman"/>
                <w:color w:val="000000"/>
                <w:sz w:val="21"/>
                <w:szCs w:val="21"/>
                <w:lang w:val="en-US" w:eastAsia="zh-CN"/>
              </w:rPr>
              <w:t>后通过2根25米排气筒</w:t>
            </w:r>
            <w:r>
              <w:rPr>
                <w:rFonts w:hint="eastAsia" w:ascii="Times New Roman" w:hAnsi="Times New Roman" w:eastAsia="宋体" w:cs="Times New Roman"/>
                <w:color w:val="000000"/>
                <w:sz w:val="21"/>
                <w:szCs w:val="21"/>
                <w:lang w:val="en-US" w:eastAsia="zh-CN"/>
              </w:rPr>
              <w:t>（</w:t>
            </w:r>
            <w:r>
              <w:rPr>
                <w:rFonts w:hint="default" w:ascii="Times New Roman" w:hAnsi="Times New Roman" w:eastAsia="宋体" w:cs="Times New Roman"/>
                <w:color w:val="000000"/>
                <w:sz w:val="21"/>
                <w:szCs w:val="21"/>
              </w:rPr>
              <w:t>DA003、DA004）</w:t>
            </w:r>
            <w:r>
              <w:rPr>
                <w:rFonts w:hint="default" w:ascii="Times New Roman" w:hAnsi="Times New Roman" w:eastAsia="宋体" w:cs="Times New Roman"/>
                <w:color w:val="000000"/>
                <w:sz w:val="21"/>
                <w:szCs w:val="21"/>
                <w:lang w:val="en-US" w:eastAsia="zh-CN"/>
              </w:rPr>
              <w:t>排放</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rPr>
                <w:rFonts w:hint="default" w:ascii="Times New Roman" w:hAnsi="Times New Roman" w:eastAsia="宋体" w:cs="Times New Roman"/>
                <w:color w:val="000000"/>
                <w:sz w:val="21"/>
                <w:szCs w:val="21"/>
              </w:rPr>
            </w:pPr>
            <w:r>
              <w:rPr>
                <w:rFonts w:hint="eastAsia" w:ascii="Times New Roman" w:hAnsi="Times New Roman" w:cs="Times New Roman"/>
                <w:color w:val="000000"/>
                <w:sz w:val="21"/>
                <w:szCs w:val="21"/>
                <w:lang w:val="en-US" w:eastAsia="zh-CN"/>
              </w:rPr>
              <w:t>导热油炉</w:t>
            </w:r>
            <w:r>
              <w:rPr>
                <w:rFonts w:hint="default" w:ascii="Times New Roman" w:hAnsi="Times New Roman" w:eastAsia="宋体" w:cs="Times New Roman"/>
                <w:color w:val="000000"/>
                <w:sz w:val="21"/>
                <w:szCs w:val="21"/>
              </w:rPr>
              <w:t>天然气燃烧废气</w:t>
            </w:r>
            <w:r>
              <w:rPr>
                <w:rFonts w:hint="default" w:ascii="Times New Roman" w:hAnsi="Times New Roman" w:eastAsia="宋体" w:cs="Times New Roman"/>
                <w:color w:val="000000"/>
                <w:sz w:val="21"/>
                <w:szCs w:val="21"/>
                <w:lang w:val="en-US" w:eastAsia="zh-CN"/>
              </w:rPr>
              <w:t>经</w:t>
            </w:r>
            <w:r>
              <w:rPr>
                <w:rFonts w:hint="default" w:ascii="Times New Roman" w:hAnsi="Times New Roman" w:eastAsia="宋体" w:cs="Times New Roman"/>
                <w:color w:val="000000"/>
                <w:sz w:val="21"/>
                <w:szCs w:val="21"/>
              </w:rPr>
              <w:t>管道密闭收集</w:t>
            </w:r>
            <w:r>
              <w:rPr>
                <w:rFonts w:hint="default" w:ascii="Times New Roman" w:hAnsi="Times New Roman" w:eastAsia="宋体" w:cs="Times New Roman"/>
                <w:color w:val="000000"/>
                <w:sz w:val="21"/>
                <w:szCs w:val="21"/>
                <w:lang w:val="en-US" w:eastAsia="zh-CN"/>
              </w:rPr>
              <w:t>后通过</w:t>
            </w:r>
            <w:r>
              <w:rPr>
                <w:rFonts w:hint="eastAsia" w:ascii="Times New Roman" w:hAnsi="Times New Roman" w:cs="Times New Roman"/>
                <w:color w:val="000000"/>
                <w:sz w:val="21"/>
                <w:szCs w:val="21"/>
                <w:lang w:val="en-US" w:eastAsia="zh-CN"/>
              </w:rPr>
              <w:t>1</w:t>
            </w:r>
            <w:r>
              <w:rPr>
                <w:rFonts w:hint="default" w:ascii="Times New Roman" w:hAnsi="Times New Roman" w:eastAsia="宋体" w:cs="Times New Roman"/>
                <w:color w:val="000000"/>
                <w:sz w:val="21"/>
                <w:szCs w:val="21"/>
                <w:lang w:val="en-US" w:eastAsia="zh-CN"/>
              </w:rPr>
              <w:t>根</w:t>
            </w:r>
            <w:r>
              <w:rPr>
                <w:rFonts w:hint="eastAsia" w:ascii="Times New Roman" w:hAnsi="Times New Roman" w:cs="Times New Roman"/>
                <w:color w:val="000000"/>
                <w:sz w:val="21"/>
                <w:szCs w:val="21"/>
                <w:lang w:val="en-US" w:eastAsia="zh-CN"/>
              </w:rPr>
              <w:t>15</w:t>
            </w:r>
            <w:r>
              <w:rPr>
                <w:rFonts w:hint="default" w:ascii="Times New Roman" w:hAnsi="Times New Roman" w:eastAsia="宋体" w:cs="Times New Roman"/>
                <w:color w:val="000000"/>
                <w:sz w:val="21"/>
                <w:szCs w:val="21"/>
                <w:lang w:val="en-US" w:eastAsia="zh-CN"/>
              </w:rPr>
              <w:t>米排气筒</w:t>
            </w:r>
            <w:r>
              <w:rPr>
                <w:rFonts w:hint="eastAsia" w:ascii="Times New Roman" w:hAnsi="Times New Roman" w:eastAsia="宋体" w:cs="Times New Roman"/>
                <w:color w:val="000000"/>
                <w:sz w:val="21"/>
                <w:szCs w:val="21"/>
                <w:lang w:val="en-US" w:eastAsia="zh-CN"/>
              </w:rPr>
              <w:t>（</w:t>
            </w:r>
            <w:r>
              <w:rPr>
                <w:rFonts w:hint="default" w:ascii="Times New Roman" w:hAnsi="Times New Roman" w:eastAsia="宋体" w:cs="Times New Roman"/>
                <w:color w:val="000000"/>
                <w:sz w:val="21"/>
                <w:szCs w:val="21"/>
              </w:rPr>
              <w:t>DA00</w:t>
            </w:r>
            <w:r>
              <w:rPr>
                <w:rFonts w:hint="eastAsia" w:ascii="Times New Roman" w:hAnsi="Times New Roman" w:cs="Times New Roman"/>
                <w:color w:val="000000"/>
                <w:sz w:val="21"/>
                <w:szCs w:val="21"/>
                <w:lang w:val="en-US" w:eastAsia="zh-CN"/>
              </w:rPr>
              <w:t>2</w:t>
            </w:r>
            <w:r>
              <w:rPr>
                <w:rFonts w:hint="default" w:ascii="Times New Roman" w:hAnsi="Times New Roman" w:eastAsia="宋体" w:cs="Times New Roman"/>
                <w:color w:val="000000"/>
                <w:sz w:val="21"/>
                <w:szCs w:val="21"/>
              </w:rPr>
              <w:t>）</w:t>
            </w:r>
            <w:r>
              <w:rPr>
                <w:rFonts w:hint="default" w:ascii="Times New Roman" w:hAnsi="Times New Roman" w:eastAsia="宋体" w:cs="Times New Roman"/>
                <w:color w:val="000000"/>
                <w:sz w:val="21"/>
                <w:szCs w:val="21"/>
                <w:lang w:val="en-US" w:eastAsia="zh-CN"/>
              </w:rPr>
              <w:t>排放</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lang w:val="en-US"/>
              </w:rPr>
            </w:pPr>
            <w:r>
              <w:rPr>
                <w:rFonts w:hint="eastAsia" w:ascii="Times New Roman" w:hAnsi="Times New Roman" w:eastAsia="宋体" w:cs="Times New Roman"/>
                <w:color w:val="000000"/>
                <w:spacing w:val="-2"/>
                <w:kern w:val="28"/>
                <w:sz w:val="21"/>
                <w:szCs w:val="21"/>
                <w:lang w:val="en-US" w:eastAsia="zh-CN"/>
              </w:rPr>
              <w:t>阶段验收，仅设置1</w:t>
            </w:r>
            <w:r>
              <w:rPr>
                <w:rFonts w:hint="eastAsia" w:ascii="Times New Roman" w:hAnsi="Times New Roman" w:cs="Times New Roman"/>
                <w:color w:val="000000"/>
                <w:spacing w:val="-2"/>
                <w:kern w:val="28"/>
                <w:sz w:val="21"/>
                <w:szCs w:val="21"/>
                <w:lang w:val="en-US" w:eastAsia="zh-CN"/>
              </w:rPr>
              <w:t>个</w:t>
            </w:r>
            <w:r>
              <w:rPr>
                <w:rFonts w:hint="eastAsia" w:cs="Times New Roman"/>
                <w:color w:val="000000"/>
                <w:spacing w:val="-2"/>
                <w:kern w:val="28"/>
                <w:sz w:val="21"/>
                <w:szCs w:val="21"/>
                <w:lang w:val="en-US" w:eastAsia="zh-CN"/>
              </w:rPr>
              <w:t>导热油炉房</w:t>
            </w:r>
            <w:r>
              <w:rPr>
                <w:rFonts w:hint="eastAsia" w:ascii="Times New Roman" w:hAnsi="Times New Roman" w:cs="Times New Roman"/>
                <w:color w:val="000000"/>
                <w:spacing w:val="-2"/>
                <w:kern w:val="28"/>
                <w:sz w:val="21"/>
                <w:szCs w:val="21"/>
                <w:lang w:val="en-US" w:eastAsia="zh-CN"/>
              </w:rPr>
              <w:t>+1根15米排气筒</w:t>
            </w:r>
            <w:r>
              <w:rPr>
                <w:rFonts w:hint="eastAsia"/>
                <w:color w:val="000000"/>
                <w:sz w:val="21"/>
                <w:szCs w:val="21"/>
                <w:lang w:val="en-US" w:eastAsia="zh-CN"/>
              </w:rPr>
              <w:t>，在环评设计范围内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90"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噪声控制</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减震、隔声等降噪措施</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rPr>
            </w:pPr>
            <w:r>
              <w:rPr>
                <w:rFonts w:hint="default" w:ascii="Times New Roman" w:hAnsi="Times New Roman" w:eastAsia="宋体" w:cs="Times New Roman"/>
                <w:color w:val="000000"/>
                <w:sz w:val="21"/>
                <w:szCs w:val="21"/>
              </w:rPr>
              <w:t>减震、隔声等降噪措施</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Times New Roman" w:hAnsi="Times New Roman" w:eastAsia="宋体" w:cs="Times New Roman"/>
                <w:color w:val="000000"/>
                <w:spacing w:val="-2"/>
                <w:kern w:val="28"/>
                <w:sz w:val="21"/>
                <w:szCs w:val="21"/>
                <w:lang w:val="en-US" w:eastAsia="zh-CN"/>
              </w:rPr>
            </w:pPr>
            <w:r>
              <w:rPr>
                <w:rFonts w:hint="eastAsia" w:cs="Times New Roman"/>
                <w:color w:val="000000"/>
                <w:spacing w:val="-2"/>
                <w:kern w:val="28"/>
                <w:sz w:val="21"/>
                <w:szCs w:val="21"/>
                <w:lang w:val="en-US" w:eastAsia="zh-CN"/>
              </w:rPr>
              <w:t>与环评一致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248"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废水处理</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依托现有雨污分流管网、生活污水</w:t>
            </w:r>
            <w:r>
              <w:rPr>
                <w:rFonts w:hint="default" w:ascii="Times New Roman" w:hAnsi="Times New Roman" w:eastAsia="宋体" w:cs="Times New Roman"/>
                <w:color w:val="000000"/>
                <w:sz w:val="21"/>
                <w:szCs w:val="21"/>
                <w:lang w:val="en-US" w:eastAsia="zh-CN"/>
              </w:rPr>
              <w:t>依托现有</w:t>
            </w:r>
            <w:r>
              <w:rPr>
                <w:rFonts w:hint="default" w:ascii="Times New Roman" w:hAnsi="Times New Roman" w:eastAsia="宋体" w:cs="Times New Roman"/>
                <w:color w:val="000000"/>
                <w:sz w:val="21"/>
                <w:szCs w:val="21"/>
              </w:rPr>
              <w:t>化粪池预处理接管至金坛区第二污水处理厂</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baseline"/>
              <w:rPr>
                <w:rFonts w:hint="default" w:ascii="Times New Roman" w:hAnsi="Times New Roman" w:eastAsia="宋体" w:cs="Times New Roman"/>
                <w:color w:val="000000"/>
                <w:spacing w:val="-2"/>
                <w:kern w:val="28"/>
                <w:sz w:val="21"/>
                <w:szCs w:val="21"/>
              </w:rPr>
            </w:pPr>
            <w:r>
              <w:rPr>
                <w:rFonts w:hint="default" w:ascii="Times New Roman" w:hAnsi="Times New Roman" w:eastAsia="宋体" w:cs="Times New Roman"/>
                <w:color w:val="000000"/>
                <w:sz w:val="21"/>
                <w:szCs w:val="21"/>
              </w:rPr>
              <w:t>依托现有雨污分流管网、生活污水</w:t>
            </w:r>
            <w:r>
              <w:rPr>
                <w:rFonts w:hint="default" w:ascii="Times New Roman" w:hAnsi="Times New Roman" w:eastAsia="宋体" w:cs="Times New Roman"/>
                <w:color w:val="000000"/>
                <w:sz w:val="21"/>
                <w:szCs w:val="21"/>
                <w:lang w:val="en-US" w:eastAsia="zh-CN"/>
              </w:rPr>
              <w:t>依托现有</w:t>
            </w:r>
            <w:r>
              <w:rPr>
                <w:rFonts w:hint="default" w:ascii="Times New Roman" w:hAnsi="Times New Roman" w:eastAsia="宋体" w:cs="Times New Roman"/>
                <w:color w:val="000000"/>
                <w:sz w:val="21"/>
                <w:szCs w:val="21"/>
              </w:rPr>
              <w:t>化粪池预处理接管至金坛区第二污水处理厂</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Times New Roman" w:hAnsi="Times New Roman" w:eastAsia="宋体" w:cs="Times New Roman"/>
                <w:color w:val="000000"/>
                <w:spacing w:val="-2"/>
                <w:kern w:val="28"/>
                <w:sz w:val="21"/>
                <w:szCs w:val="21"/>
                <w:lang w:val="en-US" w:eastAsia="zh-CN"/>
              </w:rPr>
            </w:pPr>
            <w:r>
              <w:rPr>
                <w:rFonts w:hint="eastAsia" w:cs="Times New Roman"/>
                <w:color w:val="000000"/>
                <w:spacing w:val="-2"/>
                <w:kern w:val="28"/>
                <w:sz w:val="21"/>
                <w:szCs w:val="21"/>
                <w:lang w:val="en-US" w:eastAsia="zh-CN"/>
              </w:rPr>
              <w:t>与环评一致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90"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vMerge w:val="restar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固废处理</w:t>
            </w: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新建一般固废暂存场所30m</w:t>
            </w:r>
            <w:r>
              <w:rPr>
                <w:rFonts w:hint="default" w:ascii="Times New Roman" w:hAnsi="Times New Roman" w:eastAsia="宋体" w:cs="Times New Roman"/>
                <w:color w:val="000000"/>
                <w:sz w:val="21"/>
                <w:szCs w:val="21"/>
                <w:vertAlign w:val="superscript"/>
              </w:rPr>
              <w:t>2</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rPr>
                <w:rFonts w:hint="default" w:ascii="Times New Roman" w:hAnsi="Times New Roman" w:eastAsia="宋体" w:cs="Times New Roman"/>
                <w:color w:val="000000"/>
                <w:sz w:val="21"/>
                <w:szCs w:val="21"/>
                <w:lang w:val="zh-CN" w:eastAsia="zh-CN" w:bidi="zh-CN"/>
              </w:rPr>
            </w:pPr>
            <w:r>
              <w:rPr>
                <w:rFonts w:hint="default" w:ascii="Times New Roman" w:hAnsi="Times New Roman" w:eastAsia="宋体" w:cs="Times New Roman"/>
                <w:color w:val="000000"/>
                <w:sz w:val="21"/>
                <w:szCs w:val="21"/>
              </w:rPr>
              <w:t>新建一般固废暂存场所30m</w:t>
            </w:r>
            <w:r>
              <w:rPr>
                <w:rFonts w:hint="default" w:ascii="Times New Roman" w:hAnsi="Times New Roman" w:eastAsia="宋体" w:cs="Times New Roman"/>
                <w:color w:val="000000"/>
                <w:sz w:val="21"/>
                <w:szCs w:val="21"/>
                <w:vertAlign w:val="superscript"/>
              </w:rPr>
              <w:t>2</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Times New Roman" w:hAnsi="Times New Roman" w:eastAsia="宋体" w:cs="Times New Roman"/>
                <w:color w:val="000000"/>
                <w:spacing w:val="-2"/>
                <w:kern w:val="28"/>
                <w:sz w:val="21"/>
                <w:szCs w:val="21"/>
                <w:lang w:val="en-US" w:eastAsia="zh-CN"/>
              </w:rPr>
            </w:pPr>
            <w:r>
              <w:rPr>
                <w:rFonts w:hint="eastAsia" w:cs="Times New Roman"/>
                <w:color w:val="000000"/>
                <w:spacing w:val="-2"/>
                <w:kern w:val="28"/>
                <w:sz w:val="21"/>
                <w:szCs w:val="21"/>
                <w:lang w:val="en-US" w:eastAsia="zh-CN"/>
              </w:rPr>
              <w:t>与环评一致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90" w:hRule="atLeast"/>
          <w:jc w:val="center"/>
        </w:trPr>
        <w:tc>
          <w:tcPr>
            <w:tcW w:w="359"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427"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rPr>
                <w:rFonts w:hint="default" w:ascii="Times New Roman" w:hAnsi="Times New Roman" w:eastAsia="宋体" w:cs="Times New Roman"/>
                <w:color w:val="000000"/>
                <w:sz w:val="21"/>
                <w:szCs w:val="21"/>
              </w:rPr>
            </w:pPr>
          </w:p>
        </w:tc>
        <w:tc>
          <w:tcPr>
            <w:tcW w:w="1571"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新建危险固废仓库50m</w:t>
            </w:r>
            <w:r>
              <w:rPr>
                <w:rFonts w:hint="default" w:ascii="Times New Roman" w:hAnsi="Times New Roman" w:eastAsia="宋体" w:cs="Times New Roman"/>
                <w:color w:val="000000"/>
                <w:sz w:val="21"/>
                <w:szCs w:val="21"/>
                <w:vertAlign w:val="superscript"/>
              </w:rPr>
              <w:t>2</w:t>
            </w:r>
          </w:p>
        </w:tc>
        <w:tc>
          <w:tcPr>
            <w:tcW w:w="166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rPr>
                <w:rFonts w:hint="default" w:ascii="Times New Roman" w:hAnsi="Times New Roman" w:eastAsia="宋体" w:cs="Times New Roman"/>
                <w:color w:val="000000"/>
                <w:sz w:val="21"/>
                <w:szCs w:val="21"/>
                <w:lang w:val="zh-CN" w:eastAsia="zh-CN" w:bidi="zh-CN"/>
              </w:rPr>
            </w:pPr>
            <w:r>
              <w:rPr>
                <w:rFonts w:hint="default" w:ascii="Times New Roman" w:hAnsi="Times New Roman" w:eastAsia="宋体" w:cs="Times New Roman"/>
                <w:color w:val="000000"/>
                <w:sz w:val="21"/>
                <w:szCs w:val="21"/>
              </w:rPr>
              <w:t>新建危险固废仓库50m</w:t>
            </w:r>
            <w:r>
              <w:rPr>
                <w:rFonts w:hint="default" w:ascii="Times New Roman" w:hAnsi="Times New Roman" w:eastAsia="宋体" w:cs="Times New Roman"/>
                <w:color w:val="000000"/>
                <w:sz w:val="21"/>
                <w:szCs w:val="21"/>
                <w:vertAlign w:val="superscript"/>
              </w:rPr>
              <w:t>2</w:t>
            </w:r>
          </w:p>
        </w:tc>
        <w:tc>
          <w:tcPr>
            <w:tcW w:w="97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Times New Roman" w:hAnsi="Times New Roman" w:eastAsia="宋体" w:cs="Times New Roman"/>
                <w:color w:val="000000"/>
                <w:spacing w:val="-2"/>
                <w:kern w:val="28"/>
                <w:sz w:val="21"/>
                <w:szCs w:val="21"/>
                <w:lang w:val="en-US" w:eastAsia="zh-CN"/>
              </w:rPr>
            </w:pPr>
            <w:r>
              <w:rPr>
                <w:rFonts w:hint="eastAsia" w:cs="Times New Roman"/>
                <w:color w:val="000000"/>
                <w:spacing w:val="-2"/>
                <w:kern w:val="28"/>
                <w:sz w:val="21"/>
                <w:szCs w:val="21"/>
                <w:lang w:val="en-US" w:eastAsia="zh-CN"/>
              </w:rPr>
              <w:t>与环评一致</w:t>
            </w:r>
          </w:p>
        </w:tc>
      </w:tr>
    </w:tbl>
    <w:p>
      <w:pPr>
        <w:rPr>
          <w:rFonts w:hint="default" w:ascii="Times New Roman" w:hAnsi="Times New Roman" w:eastAsia="宋体" w:cs="Times New Roman"/>
          <w:color w:val="FF0000"/>
        </w:rPr>
        <w:sectPr>
          <w:pgSz w:w="16838" w:h="11906" w:orient="landscape"/>
          <w:pgMar w:top="1440" w:right="1440" w:bottom="1440" w:left="1440" w:header="851" w:footer="992" w:gutter="0"/>
          <w:pgBorders>
            <w:top w:val="none" w:sz="0" w:space="0"/>
            <w:left w:val="none" w:sz="0" w:space="0"/>
            <w:bottom w:val="none" w:sz="0" w:space="0"/>
            <w:right w:val="none" w:sz="0" w:space="0"/>
          </w:pgBorders>
          <w:cols w:space="0" w:num="1"/>
          <w:docGrid w:type="lines" w:linePitch="392" w:charSpace="0"/>
        </w:sectPr>
      </w:pPr>
    </w:p>
    <w:p>
      <w:pPr>
        <w:pStyle w:val="4"/>
        <w:pageBreakBefore w:val="0"/>
        <w:widowControl w:val="0"/>
        <w:kinsoku/>
        <w:wordWrap/>
        <w:overflowPunct/>
        <w:topLinePunct w:val="0"/>
        <w:autoSpaceDE w:val="0"/>
        <w:autoSpaceDN w:val="0"/>
        <w:bidi w:val="0"/>
        <w:adjustRightInd/>
        <w:snapToGrid/>
        <w:spacing w:beforeLines="0" w:afterLines="0"/>
        <w:textAlignment w:val="auto"/>
        <w:rPr>
          <w:rFonts w:hint="default" w:ascii="Times New Roman" w:hAnsi="Times New Roman" w:eastAsia="宋体" w:cs="Times New Roman"/>
          <w:color w:val="auto"/>
        </w:rPr>
      </w:pPr>
      <w:bookmarkStart w:id="16" w:name="_Toc6068"/>
      <w:r>
        <w:rPr>
          <w:rFonts w:hint="default" w:ascii="Times New Roman" w:hAnsi="Times New Roman" w:eastAsia="宋体" w:cs="Times New Roman"/>
          <w:color w:val="auto"/>
        </w:rPr>
        <w:t>3.3 主要原辅材料消耗及产品产量</w:t>
      </w:r>
      <w:bookmarkEnd w:id="16"/>
    </w:p>
    <w:p>
      <w:pPr>
        <w:pStyle w:val="29"/>
        <w:keepNext w:val="0"/>
        <w:keepLines w:val="0"/>
        <w:pageBreakBefore w:val="0"/>
        <w:widowControl/>
        <w:kinsoku/>
        <w:wordWrap/>
        <w:overflowPunct/>
        <w:topLinePunct w:val="0"/>
        <w:autoSpaceDE/>
        <w:autoSpaceDN/>
        <w:bidi w:val="0"/>
        <w:adjustRightInd w:val="0"/>
        <w:snapToGrid w:val="0"/>
        <w:spacing w:beforeLines="0" w:line="360" w:lineRule="auto"/>
        <w:ind w:firstLine="420" w:firstLineChars="200"/>
        <w:jc w:val="both"/>
        <w:textAlignment w:val="auto"/>
        <w:rPr>
          <w:rFonts w:hint="default" w:ascii="Times New Roman" w:hAnsi="Times New Roman" w:eastAsia="宋体" w:cs="Times New Roman"/>
          <w:color w:val="auto"/>
          <w:sz w:val="21"/>
          <w:szCs w:val="21"/>
        </w:rPr>
      </w:pPr>
      <w:r>
        <w:rPr>
          <w:rFonts w:hint="eastAsia" w:cs="Times New Roman"/>
          <w:b w:val="0"/>
          <w:bCs/>
          <w:color w:val="auto"/>
          <w:sz w:val="21"/>
          <w:szCs w:val="21"/>
          <w:lang w:val="en-US" w:eastAsia="zh-CN"/>
        </w:rPr>
        <w:t>本项目为阶段验收，</w:t>
      </w:r>
      <w:r>
        <w:rPr>
          <w:rFonts w:hint="default" w:ascii="Times New Roman" w:hAnsi="Times New Roman" w:eastAsia="宋体" w:cs="Times New Roman"/>
          <w:b w:val="0"/>
          <w:bCs/>
          <w:color w:val="auto"/>
          <w:sz w:val="21"/>
          <w:szCs w:val="21"/>
        </w:rPr>
        <w:t>验收项目主要原辅材料种类及消耗量、产品生产能力</w:t>
      </w:r>
      <w:r>
        <w:rPr>
          <w:rFonts w:hint="eastAsia" w:cs="Times New Roman"/>
          <w:b w:val="0"/>
          <w:bCs/>
          <w:color w:val="auto"/>
          <w:sz w:val="21"/>
          <w:szCs w:val="21"/>
          <w:lang w:val="en-US" w:eastAsia="zh-CN"/>
        </w:rPr>
        <w:t>均在环评设计范围内</w:t>
      </w:r>
      <w:r>
        <w:rPr>
          <w:rFonts w:hint="default" w:ascii="Times New Roman" w:hAnsi="Times New Roman" w:eastAsia="宋体" w:cs="Times New Roman"/>
          <w:b w:val="0"/>
          <w:bCs/>
          <w:color w:val="auto"/>
          <w:sz w:val="21"/>
          <w:szCs w:val="21"/>
        </w:rPr>
        <w:t>，主要原辅材料消耗情况见表3-</w:t>
      </w:r>
      <w:r>
        <w:rPr>
          <w:rFonts w:hint="eastAsia" w:cs="Times New Roman"/>
          <w:b w:val="0"/>
          <w:bCs/>
          <w:color w:val="auto"/>
          <w:sz w:val="21"/>
          <w:szCs w:val="21"/>
          <w:lang w:val="en-US" w:eastAsia="zh-CN"/>
        </w:rPr>
        <w:t>4</w:t>
      </w:r>
      <w:r>
        <w:rPr>
          <w:rFonts w:hint="default" w:ascii="Times New Roman" w:hAnsi="Times New Roman" w:eastAsia="宋体" w:cs="Times New Roman"/>
          <w:b w:val="0"/>
          <w:bCs/>
          <w:color w:val="auto"/>
          <w:sz w:val="21"/>
          <w:szCs w:val="21"/>
        </w:rPr>
        <w:t>。验收监测期间，各工段</w:t>
      </w:r>
      <w:r>
        <w:rPr>
          <w:rFonts w:hint="eastAsia" w:cs="Times New Roman"/>
          <w:b w:val="0"/>
          <w:bCs/>
          <w:color w:val="auto"/>
          <w:sz w:val="21"/>
          <w:szCs w:val="21"/>
          <w:lang w:val="en-US" w:eastAsia="zh-CN"/>
        </w:rPr>
        <w:t>正常运行</w:t>
      </w:r>
      <w:r>
        <w:rPr>
          <w:rFonts w:hint="default" w:ascii="Times New Roman" w:hAnsi="Times New Roman" w:eastAsia="宋体" w:cs="Times New Roman"/>
          <w:b w:val="0"/>
          <w:bCs/>
          <w:color w:val="auto"/>
          <w:sz w:val="21"/>
          <w:szCs w:val="21"/>
        </w:rPr>
        <w:t>。</w:t>
      </w:r>
    </w:p>
    <w:p>
      <w:pPr>
        <w:pStyle w:val="29"/>
        <w:keepNext w:val="0"/>
        <w:keepLines w:val="0"/>
        <w:pageBreakBefore w:val="0"/>
        <w:widowControl/>
        <w:kinsoku/>
        <w:wordWrap/>
        <w:overflowPunct/>
        <w:topLinePunct w:val="0"/>
        <w:autoSpaceDE/>
        <w:autoSpaceDN/>
        <w:bidi w:val="0"/>
        <w:adjustRightInd w:val="0"/>
        <w:snapToGrid w:val="0"/>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表3-</w:t>
      </w:r>
      <w:r>
        <w:rPr>
          <w:rFonts w:hint="eastAsia" w:cs="Times New Roman"/>
          <w:color w:val="auto"/>
          <w:sz w:val="21"/>
          <w:szCs w:val="21"/>
          <w:lang w:val="en-US" w:eastAsia="zh-CN"/>
        </w:rPr>
        <w:t>4</w:t>
      </w:r>
      <w:r>
        <w:rPr>
          <w:rFonts w:hint="default" w:ascii="Times New Roman" w:hAnsi="Times New Roman" w:eastAsia="宋体" w:cs="Times New Roman"/>
          <w:color w:val="auto"/>
          <w:sz w:val="21"/>
          <w:szCs w:val="21"/>
        </w:rPr>
        <w:t xml:space="preserve">  验收项目主要原辅材料</w:t>
      </w:r>
    </w:p>
    <w:tbl>
      <w:tblPr>
        <w:tblStyle w:val="24"/>
        <w:tblW w:w="9071"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590"/>
        <w:gridCol w:w="577"/>
        <w:gridCol w:w="1080"/>
        <w:gridCol w:w="1655"/>
        <w:gridCol w:w="639"/>
        <w:gridCol w:w="764"/>
        <w:gridCol w:w="1029"/>
        <w:gridCol w:w="1001"/>
        <w:gridCol w:w="173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PrEx>
        <w:trPr>
          <w:trHeight w:val="144" w:hRule="atLeast"/>
          <w:jc w:val="center"/>
        </w:trPr>
        <w:tc>
          <w:tcPr>
            <w:tcW w:w="325" w:type="pct"/>
            <w:vMerge w:val="restar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分类</w:t>
            </w:r>
          </w:p>
        </w:tc>
        <w:tc>
          <w:tcPr>
            <w:tcW w:w="318" w:type="pct"/>
            <w:vMerge w:val="restart"/>
            <w:tcBorders>
              <w:tl2br w:val="nil"/>
              <w:tr2bl w:val="nil"/>
            </w:tcBorders>
            <w:vAlign w:val="center"/>
          </w:tcPr>
          <w:p>
            <w:pPr>
              <w:autoSpaceDE w:val="0"/>
              <w:autoSpaceDN w:val="0"/>
              <w:spacing w:line="240" w:lineRule="auto"/>
              <w:ind w:firstLine="0" w:firstLineChars="0"/>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序号</w:t>
            </w:r>
          </w:p>
        </w:tc>
        <w:tc>
          <w:tcPr>
            <w:tcW w:w="595" w:type="pct"/>
            <w:vMerge w:val="restar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名称</w:t>
            </w:r>
          </w:p>
        </w:tc>
        <w:tc>
          <w:tcPr>
            <w:tcW w:w="912" w:type="pct"/>
            <w:vMerge w:val="restart"/>
            <w:tcBorders>
              <w:lef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eastAsia" w:cs="Times New Roman"/>
                <w:b/>
                <w:bCs/>
                <w:color w:val="auto"/>
                <w:sz w:val="21"/>
                <w:szCs w:val="21"/>
                <w:lang w:val="en-US" w:eastAsia="zh-CN"/>
              </w:rPr>
              <w:t>主要成分</w:t>
            </w:r>
          </w:p>
        </w:tc>
        <w:tc>
          <w:tcPr>
            <w:tcW w:w="352" w:type="pct"/>
            <w:vMerge w:val="restar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val="en-US" w:eastAsia="zh-CN"/>
              </w:rPr>
              <w:t>来源</w:t>
            </w:r>
          </w:p>
        </w:tc>
        <w:tc>
          <w:tcPr>
            <w:tcW w:w="421" w:type="pct"/>
            <w:vMerge w:val="restar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项目设计消耗量</w:t>
            </w:r>
          </w:p>
        </w:tc>
        <w:tc>
          <w:tcPr>
            <w:tcW w:w="1118" w:type="pct"/>
            <w:gridSpan w:val="2"/>
            <w:tcBorders>
              <w:bottom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项目调试期间消耗量</w:t>
            </w:r>
          </w:p>
        </w:tc>
        <w:tc>
          <w:tcPr>
            <w:tcW w:w="956" w:type="pct"/>
            <w:vMerge w:val="restar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bCs/>
                <w:color w:val="auto"/>
                <w:sz w:val="21"/>
                <w:szCs w:val="21"/>
              </w:rPr>
              <w:t>备注</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08" w:hRule="atLeast"/>
          <w:jc w:val="center"/>
        </w:trPr>
        <w:tc>
          <w:tcPr>
            <w:tcW w:w="325" w:type="pct"/>
            <w:vMerge w:val="continue"/>
            <w:tcBorders>
              <w:tl2br w:val="nil"/>
              <w:tr2bl w:val="nil"/>
            </w:tcBorders>
            <w:vAlign w:val="center"/>
          </w:tcPr>
          <w:p>
            <w:pPr>
              <w:autoSpaceDE w:val="0"/>
              <w:autoSpaceDN w:val="0"/>
              <w:spacing w:line="240" w:lineRule="auto"/>
              <w:ind w:firstLine="0" w:firstLineChars="0"/>
              <w:jc w:val="center"/>
              <w:rPr>
                <w:rFonts w:hint="eastAsia" w:ascii="Times New Roman" w:hAnsi="Times New Roman" w:eastAsia="宋体" w:cs="Times New Roman"/>
                <w:b/>
                <w:bCs/>
                <w:color w:val="auto"/>
                <w:sz w:val="21"/>
                <w:szCs w:val="21"/>
                <w:lang w:val="en-US" w:eastAsia="zh-CN"/>
              </w:rPr>
            </w:pPr>
          </w:p>
        </w:tc>
        <w:tc>
          <w:tcPr>
            <w:tcW w:w="318" w:type="pct"/>
            <w:vMerge w:val="continue"/>
            <w:tcBorders>
              <w:tl2br w:val="nil"/>
              <w:tr2bl w:val="nil"/>
            </w:tcBorders>
            <w:vAlign w:val="center"/>
          </w:tcPr>
          <w:p>
            <w:pPr>
              <w:autoSpaceDE w:val="0"/>
              <w:autoSpaceDN w:val="0"/>
              <w:spacing w:line="240" w:lineRule="auto"/>
              <w:ind w:firstLine="0" w:firstLineChars="0"/>
              <w:jc w:val="center"/>
              <w:rPr>
                <w:rFonts w:hint="eastAsia" w:ascii="Times New Roman" w:hAnsi="Times New Roman" w:eastAsia="宋体" w:cs="Times New Roman"/>
                <w:b/>
                <w:bCs/>
                <w:color w:val="auto"/>
                <w:sz w:val="21"/>
                <w:szCs w:val="21"/>
                <w:lang w:val="en-US" w:eastAsia="zh-CN"/>
              </w:rPr>
            </w:pPr>
          </w:p>
        </w:tc>
        <w:tc>
          <w:tcPr>
            <w:tcW w:w="595" w:type="pct"/>
            <w:vMerge w:val="continue"/>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rPr>
            </w:pPr>
          </w:p>
        </w:tc>
        <w:tc>
          <w:tcPr>
            <w:tcW w:w="912" w:type="pct"/>
            <w:vMerge w:val="continue"/>
            <w:tcBorders>
              <w:lef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rPr>
            </w:pPr>
          </w:p>
        </w:tc>
        <w:tc>
          <w:tcPr>
            <w:tcW w:w="352" w:type="pct"/>
            <w:vMerge w:val="continue"/>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p>
        </w:tc>
        <w:tc>
          <w:tcPr>
            <w:tcW w:w="421" w:type="pct"/>
            <w:vMerge w:val="continue"/>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rPr>
            </w:pPr>
          </w:p>
        </w:tc>
        <w:tc>
          <w:tcPr>
            <w:tcW w:w="567" w:type="pct"/>
            <w:tcBorders>
              <w:top w:val="single" w:color="auto" w:sz="4" w:space="0"/>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调试月消耗量/月</w:t>
            </w:r>
          </w:p>
        </w:tc>
        <w:tc>
          <w:tcPr>
            <w:tcW w:w="551" w:type="pct"/>
            <w:tcBorders>
              <w:top w:val="single" w:color="auto" w:sz="4" w:space="0"/>
              <w:lef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折算年耗量/a</w:t>
            </w:r>
          </w:p>
        </w:tc>
        <w:tc>
          <w:tcPr>
            <w:tcW w:w="956" w:type="pct"/>
            <w:vMerge w:val="continue"/>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b w:val="0"/>
                <w:bCs w:val="0"/>
                <w:color w:val="auto"/>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325" w:type="pct"/>
            <w:tcBorders>
              <w:tl2br w:val="nil"/>
              <w:tr2bl w:val="nil"/>
            </w:tcBorders>
            <w:vAlign w:val="center"/>
          </w:tcPr>
          <w:p>
            <w:pPr>
              <w:autoSpaceDE w:val="0"/>
              <w:autoSpaceDN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原料</w:t>
            </w:r>
          </w:p>
        </w:tc>
        <w:tc>
          <w:tcPr>
            <w:tcW w:w="318"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95"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原膜</w:t>
            </w:r>
          </w:p>
        </w:tc>
        <w:tc>
          <w:tcPr>
            <w:tcW w:w="912" w:type="pct"/>
            <w:tcBorders>
              <w:left w:val="single" w:color="auto" w:sz="4" w:space="0"/>
              <w:tl2br w:val="nil"/>
              <w:tr2bl w:val="nil"/>
            </w:tcBorders>
            <w:vAlign w:val="center"/>
          </w:tcPr>
          <w:p>
            <w:pPr>
              <w:adjustRightInd/>
              <w:snapToGrid/>
              <w:spacing w:line="240" w:lineRule="auto"/>
              <w:ind w:firstLine="0" w:firstLineChars="0"/>
              <w:jc w:val="center"/>
              <w:rPr>
                <w:rFonts w:hint="default" w:ascii="Times New Roman" w:hAnsi="Times New Roman" w:eastAsia="宋体" w:cs="Times New Roman"/>
                <w:color w:val="auto"/>
                <w:sz w:val="21"/>
                <w:szCs w:val="21"/>
              </w:rPr>
            </w:pPr>
            <w:r>
              <w:rPr>
                <w:rFonts w:ascii="Times New Roman" w:hAnsi="Times New Roman"/>
                <w:color w:val="000000"/>
                <w:sz w:val="21"/>
                <w:szCs w:val="21"/>
              </w:rPr>
              <w:t>主要分2类，PET聚酯薄膜29160万m</w:t>
            </w:r>
            <w:r>
              <w:rPr>
                <w:rFonts w:ascii="Times New Roman" w:hAnsi="Times New Roman"/>
                <w:color w:val="000000"/>
                <w:sz w:val="21"/>
                <w:szCs w:val="21"/>
                <w:vertAlign w:val="superscript"/>
              </w:rPr>
              <w:t>2</w:t>
            </w:r>
            <w:r>
              <w:rPr>
                <w:rFonts w:ascii="Times New Roman" w:hAnsi="Times New Roman"/>
                <w:color w:val="000000"/>
                <w:sz w:val="21"/>
                <w:szCs w:val="21"/>
              </w:rPr>
              <w:t>、聚酰亚胺薄膜3240万m</w:t>
            </w:r>
            <w:r>
              <w:rPr>
                <w:rFonts w:ascii="Times New Roman" w:hAnsi="Times New Roman"/>
                <w:color w:val="000000"/>
                <w:sz w:val="21"/>
                <w:szCs w:val="21"/>
                <w:vertAlign w:val="superscript"/>
              </w:rPr>
              <w:t>2</w:t>
            </w:r>
          </w:p>
        </w:tc>
        <w:tc>
          <w:tcPr>
            <w:tcW w:w="352" w:type="pct"/>
            <w:tcBorders>
              <w:tl2br w:val="nil"/>
              <w:tr2bl w:val="nil"/>
            </w:tcBorders>
            <w:vAlign w:val="center"/>
          </w:tcPr>
          <w:p>
            <w:pPr>
              <w:autoSpaceDE w:val="0"/>
              <w:autoSpaceDN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外购</w:t>
            </w:r>
          </w:p>
        </w:tc>
        <w:tc>
          <w:tcPr>
            <w:tcW w:w="421"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2000t</w:t>
            </w:r>
          </w:p>
        </w:tc>
        <w:tc>
          <w:tcPr>
            <w:tcW w:w="567"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40t/a</w:t>
            </w:r>
          </w:p>
        </w:tc>
        <w:tc>
          <w:tcPr>
            <w:tcW w:w="551" w:type="pct"/>
            <w:tcBorders>
              <w:lef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480t/a</w:t>
            </w:r>
          </w:p>
        </w:tc>
        <w:tc>
          <w:tcPr>
            <w:tcW w:w="956"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项目为阶段验收，在环评设计范围内</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325" w:type="pct"/>
            <w:vMerge w:val="restart"/>
            <w:tcBorders>
              <w:tl2br w:val="nil"/>
              <w:tr2bl w:val="nil"/>
            </w:tcBorders>
            <w:vAlign w:val="center"/>
          </w:tcPr>
          <w:p>
            <w:pPr>
              <w:autoSpaceDE w:val="0"/>
              <w:autoSpaceDN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辅料</w:t>
            </w:r>
          </w:p>
        </w:tc>
        <w:tc>
          <w:tcPr>
            <w:tcW w:w="318"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95"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溶剂型丙烯酸树脂压敏胶</w:t>
            </w:r>
          </w:p>
        </w:tc>
        <w:tc>
          <w:tcPr>
            <w:tcW w:w="912" w:type="pct"/>
            <w:tcBorders>
              <w:left w:val="single" w:color="auto" w:sz="4" w:space="0"/>
              <w:tl2br w:val="nil"/>
              <w:tr2bl w:val="nil"/>
            </w:tcBorders>
            <w:vAlign w:val="center"/>
          </w:tcPr>
          <w:p>
            <w:pPr>
              <w:adjustRightInd/>
              <w:snapToGrid/>
              <w:spacing w:line="240" w:lineRule="auto"/>
              <w:ind w:firstLine="0" w:firstLineChars="0"/>
              <w:jc w:val="center"/>
              <w:rPr>
                <w:rFonts w:hint="default" w:ascii="Times New Roman" w:hAnsi="Times New Roman" w:eastAsia="宋体" w:cs="Times New Roman"/>
                <w:color w:val="auto"/>
                <w:sz w:val="21"/>
                <w:szCs w:val="21"/>
              </w:rPr>
            </w:pPr>
            <w:r>
              <w:rPr>
                <w:rFonts w:ascii="Times New Roman" w:hAnsi="Times New Roman"/>
                <w:color w:val="000000"/>
                <w:sz w:val="21"/>
                <w:szCs w:val="21"/>
              </w:rPr>
              <w:t>丙烯酸酯聚合物51%、乙酸乙酯20%、甲苯25%、甲醇4%</w:t>
            </w:r>
          </w:p>
        </w:tc>
        <w:tc>
          <w:tcPr>
            <w:tcW w:w="352"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外购</w:t>
            </w:r>
          </w:p>
        </w:tc>
        <w:tc>
          <w:tcPr>
            <w:tcW w:w="421"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146t/a</w:t>
            </w:r>
          </w:p>
        </w:tc>
        <w:tc>
          <w:tcPr>
            <w:tcW w:w="567"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2.7t/a</w:t>
            </w:r>
          </w:p>
        </w:tc>
        <w:tc>
          <w:tcPr>
            <w:tcW w:w="551" w:type="pct"/>
            <w:tcBorders>
              <w:lef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32.4t/a</w:t>
            </w:r>
          </w:p>
        </w:tc>
        <w:tc>
          <w:tcPr>
            <w:tcW w:w="956" w:type="pct"/>
            <w:tcBorders>
              <w:tl2br w:val="nil"/>
              <w:tr2bl w:val="nil"/>
            </w:tcBorders>
            <w:vAlign w:val="center"/>
          </w:tcPr>
          <w:p>
            <w:pPr>
              <w:autoSpaceDE w:val="0"/>
              <w:autoSpaceDN w:val="0"/>
              <w:spacing w:line="240" w:lineRule="auto"/>
              <w:ind w:left="0" w:leftChars="0"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项目为阶段验收，在环评设计范围内，辅料成分与环评保持一致</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42" w:hRule="atLeast"/>
          <w:jc w:val="center"/>
        </w:trPr>
        <w:tc>
          <w:tcPr>
            <w:tcW w:w="325" w:type="pct"/>
            <w:vMerge w:val="continue"/>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p>
        </w:tc>
        <w:tc>
          <w:tcPr>
            <w:tcW w:w="318"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595"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稀释剂</w:t>
            </w:r>
          </w:p>
        </w:tc>
        <w:tc>
          <w:tcPr>
            <w:tcW w:w="912" w:type="pct"/>
            <w:tcBorders>
              <w:left w:val="single" w:color="auto" w:sz="4" w:space="0"/>
              <w:tl2br w:val="nil"/>
              <w:tr2bl w:val="nil"/>
            </w:tcBorders>
            <w:vAlign w:val="center"/>
          </w:tcPr>
          <w:p>
            <w:pPr>
              <w:adjustRightInd/>
              <w:snapToGrid/>
              <w:spacing w:line="240" w:lineRule="auto"/>
              <w:ind w:firstLine="0" w:firstLineChars="0"/>
              <w:jc w:val="center"/>
              <w:rPr>
                <w:rFonts w:hint="eastAsia" w:ascii="Times New Roman" w:hAnsi="Times New Roman" w:eastAsia="宋体" w:cs="Times New Roman"/>
                <w:color w:val="auto"/>
                <w:sz w:val="21"/>
                <w:szCs w:val="21"/>
                <w:lang w:eastAsia="zh-CN"/>
              </w:rPr>
            </w:pPr>
            <w:r>
              <w:rPr>
                <w:rFonts w:ascii="Times New Roman" w:hAnsi="Times New Roman"/>
                <w:color w:val="000000"/>
                <w:sz w:val="21"/>
                <w:szCs w:val="21"/>
              </w:rPr>
              <w:t>甲苯99.99%</w:t>
            </w:r>
            <w:r>
              <w:rPr>
                <w:rFonts w:hint="eastAsia"/>
                <w:color w:val="000000"/>
                <w:sz w:val="21"/>
                <w:szCs w:val="21"/>
                <w:lang w:eastAsia="zh-CN"/>
              </w:rPr>
              <w:t>、</w:t>
            </w:r>
            <w:r>
              <w:rPr>
                <w:rFonts w:ascii="Times New Roman" w:hAnsi="Times New Roman"/>
                <w:color w:val="000000"/>
                <w:sz w:val="21"/>
                <w:szCs w:val="21"/>
              </w:rPr>
              <w:t>乙酸乙酯99.99%</w:t>
            </w:r>
          </w:p>
        </w:tc>
        <w:tc>
          <w:tcPr>
            <w:tcW w:w="352"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外购</w:t>
            </w:r>
          </w:p>
        </w:tc>
        <w:tc>
          <w:tcPr>
            <w:tcW w:w="421"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14.6</w:t>
            </w:r>
            <w:r>
              <w:rPr>
                <w:rFonts w:hint="default" w:ascii="Times New Roman" w:hAnsi="Times New Roman" w:eastAsia="宋体" w:cs="Times New Roman"/>
                <w:color w:val="auto"/>
                <w:sz w:val="21"/>
                <w:szCs w:val="21"/>
              </w:rPr>
              <w:t>t/a</w:t>
            </w:r>
          </w:p>
        </w:tc>
        <w:tc>
          <w:tcPr>
            <w:tcW w:w="567"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270kg</w:t>
            </w:r>
            <w:r>
              <w:rPr>
                <w:rFonts w:hint="default" w:ascii="Times New Roman" w:hAnsi="Times New Roman" w:eastAsia="宋体" w:cs="Times New Roman"/>
                <w:color w:val="auto"/>
                <w:sz w:val="21"/>
                <w:szCs w:val="21"/>
              </w:rPr>
              <w:t>/a</w:t>
            </w:r>
          </w:p>
        </w:tc>
        <w:tc>
          <w:tcPr>
            <w:tcW w:w="551" w:type="pct"/>
            <w:tcBorders>
              <w:lef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3.24</w:t>
            </w:r>
            <w:r>
              <w:rPr>
                <w:rFonts w:hint="default" w:ascii="Times New Roman" w:hAnsi="Times New Roman" w:eastAsia="宋体" w:cs="Times New Roman"/>
                <w:color w:val="auto"/>
                <w:sz w:val="21"/>
                <w:szCs w:val="21"/>
              </w:rPr>
              <w:t>t/a</w:t>
            </w:r>
          </w:p>
        </w:tc>
        <w:tc>
          <w:tcPr>
            <w:tcW w:w="956" w:type="pct"/>
            <w:tcBorders>
              <w:tl2br w:val="nil"/>
              <w:tr2bl w:val="nil"/>
            </w:tcBorders>
            <w:vAlign w:val="center"/>
          </w:tcPr>
          <w:p>
            <w:pPr>
              <w:autoSpaceDE w:val="0"/>
              <w:autoSpaceDN w:val="0"/>
              <w:spacing w:line="240" w:lineRule="auto"/>
              <w:ind w:left="0" w:leftChars="0" w:firstLine="0" w:firstLineChars="0"/>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项目为阶段验收，在环评设计范围内，辅料成分与环评保持一致</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68" w:hRule="atLeast"/>
          <w:jc w:val="center"/>
        </w:trPr>
        <w:tc>
          <w:tcPr>
            <w:tcW w:w="325" w:type="pct"/>
            <w:vMerge w:val="continue"/>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p>
        </w:tc>
        <w:tc>
          <w:tcPr>
            <w:tcW w:w="318"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w:t>
            </w:r>
          </w:p>
        </w:tc>
        <w:tc>
          <w:tcPr>
            <w:tcW w:w="595"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L-75固化剂</w:t>
            </w:r>
          </w:p>
        </w:tc>
        <w:tc>
          <w:tcPr>
            <w:tcW w:w="912" w:type="pct"/>
            <w:tcBorders>
              <w:left w:val="single" w:color="auto" w:sz="4" w:space="0"/>
              <w:tl2br w:val="nil"/>
              <w:tr2bl w:val="nil"/>
            </w:tcBorders>
            <w:vAlign w:val="center"/>
          </w:tcPr>
          <w:p>
            <w:pPr>
              <w:adjustRightInd/>
              <w:snapToGrid/>
              <w:spacing w:line="240" w:lineRule="auto"/>
              <w:ind w:firstLine="0" w:firstLineChars="0"/>
              <w:jc w:val="center"/>
              <w:rPr>
                <w:rFonts w:hint="default" w:ascii="Times New Roman" w:hAnsi="Times New Roman" w:eastAsia="宋体" w:cs="Times New Roman"/>
                <w:color w:val="auto"/>
                <w:sz w:val="21"/>
                <w:szCs w:val="21"/>
              </w:rPr>
            </w:pPr>
            <w:r>
              <w:rPr>
                <w:rFonts w:ascii="Times New Roman" w:hAnsi="Times New Roman"/>
                <w:color w:val="000000"/>
                <w:sz w:val="21"/>
                <w:szCs w:val="21"/>
              </w:rPr>
              <w:t>改性多异氰酸酯75%、乙酸乙酯25%</w:t>
            </w:r>
          </w:p>
        </w:tc>
        <w:tc>
          <w:tcPr>
            <w:tcW w:w="352"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外购</w:t>
            </w:r>
          </w:p>
        </w:tc>
        <w:tc>
          <w:tcPr>
            <w:tcW w:w="421"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1.4t/a</w:t>
            </w:r>
          </w:p>
        </w:tc>
        <w:tc>
          <w:tcPr>
            <w:tcW w:w="567"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25kg</w:t>
            </w:r>
            <w:r>
              <w:rPr>
                <w:rFonts w:hint="default" w:ascii="Times New Roman" w:hAnsi="Times New Roman" w:eastAsia="宋体" w:cs="Times New Roman"/>
                <w:color w:val="auto"/>
                <w:sz w:val="21"/>
                <w:szCs w:val="21"/>
              </w:rPr>
              <w:t>/a</w:t>
            </w:r>
          </w:p>
        </w:tc>
        <w:tc>
          <w:tcPr>
            <w:tcW w:w="551" w:type="pct"/>
            <w:tcBorders>
              <w:lef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300kg</w:t>
            </w:r>
            <w:r>
              <w:rPr>
                <w:rFonts w:hint="default" w:ascii="Times New Roman" w:hAnsi="Times New Roman" w:eastAsia="宋体" w:cs="Times New Roman"/>
                <w:color w:val="auto"/>
                <w:sz w:val="21"/>
                <w:szCs w:val="21"/>
              </w:rPr>
              <w:t>/a</w:t>
            </w:r>
          </w:p>
        </w:tc>
        <w:tc>
          <w:tcPr>
            <w:tcW w:w="956" w:type="pct"/>
            <w:tcBorders>
              <w:tl2br w:val="nil"/>
              <w:tr2bl w:val="nil"/>
            </w:tcBorders>
            <w:vAlign w:val="center"/>
          </w:tcPr>
          <w:p>
            <w:pPr>
              <w:autoSpaceDE w:val="0"/>
              <w:autoSpaceDN w:val="0"/>
              <w:spacing w:line="240" w:lineRule="auto"/>
              <w:ind w:left="0" w:leftChars="0" w:firstLine="0" w:firstLineChars="0"/>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项目为阶段验收，在环评设计范围内，辅料成分与环评保持一致</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19" w:hRule="atLeast"/>
          <w:jc w:val="center"/>
        </w:trPr>
        <w:tc>
          <w:tcPr>
            <w:tcW w:w="325"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燃料</w:t>
            </w:r>
          </w:p>
        </w:tc>
        <w:tc>
          <w:tcPr>
            <w:tcW w:w="318"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p>
        </w:tc>
        <w:tc>
          <w:tcPr>
            <w:tcW w:w="595" w:type="pct"/>
            <w:tcBorders>
              <w:right w:val="single" w:color="auto" w:sz="4" w:space="0"/>
              <w:tl2br w:val="nil"/>
              <w:tr2bl w:val="nil"/>
            </w:tcBorders>
            <w:vAlign w:val="center"/>
          </w:tcPr>
          <w:p>
            <w:pPr>
              <w:autoSpaceDE w:val="0"/>
              <w:autoSpaceDN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天然气</w:t>
            </w:r>
          </w:p>
        </w:tc>
        <w:tc>
          <w:tcPr>
            <w:tcW w:w="912" w:type="pct"/>
            <w:tcBorders>
              <w:left w:val="single" w:color="auto" w:sz="4" w:space="0"/>
              <w:tl2br w:val="nil"/>
              <w:tr2bl w:val="nil"/>
            </w:tcBorders>
            <w:vAlign w:val="center"/>
          </w:tcPr>
          <w:p>
            <w:pPr>
              <w:adjustRightInd/>
              <w:snapToGrid/>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w:t>
            </w:r>
          </w:p>
        </w:tc>
        <w:tc>
          <w:tcPr>
            <w:tcW w:w="352"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外购</w:t>
            </w:r>
          </w:p>
        </w:tc>
        <w:tc>
          <w:tcPr>
            <w:tcW w:w="421"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15万立方/a</w:t>
            </w:r>
          </w:p>
        </w:tc>
        <w:tc>
          <w:tcPr>
            <w:tcW w:w="567" w:type="pct"/>
            <w:tcBorders>
              <w:righ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0.3</w:t>
            </w:r>
            <w:r>
              <w:rPr>
                <w:rFonts w:hint="default" w:ascii="Times New Roman" w:hAnsi="Times New Roman" w:eastAsia="宋体" w:cs="Times New Roman"/>
                <w:color w:val="auto"/>
                <w:sz w:val="21"/>
                <w:szCs w:val="21"/>
              </w:rPr>
              <w:t>万立方/a</w:t>
            </w:r>
          </w:p>
        </w:tc>
        <w:tc>
          <w:tcPr>
            <w:tcW w:w="551" w:type="pct"/>
            <w:tcBorders>
              <w:left w:val="single" w:color="auto" w:sz="4" w:space="0"/>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3.6</w:t>
            </w:r>
            <w:r>
              <w:rPr>
                <w:rFonts w:hint="default" w:ascii="Times New Roman" w:hAnsi="Times New Roman" w:eastAsia="宋体" w:cs="Times New Roman"/>
                <w:color w:val="auto"/>
                <w:sz w:val="21"/>
                <w:szCs w:val="21"/>
              </w:rPr>
              <w:t>万立方/a</w:t>
            </w:r>
          </w:p>
        </w:tc>
        <w:tc>
          <w:tcPr>
            <w:tcW w:w="956" w:type="pct"/>
            <w:tcBorders>
              <w:tl2br w:val="nil"/>
              <w:tr2bl w:val="nil"/>
            </w:tcBorders>
            <w:vAlign w:val="center"/>
          </w:tcPr>
          <w:p>
            <w:pPr>
              <w:autoSpaceDE w:val="0"/>
              <w:autoSpaceDN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项目为阶段验收，在环评设计范围内</w:t>
            </w:r>
          </w:p>
        </w:tc>
      </w:tr>
    </w:tbl>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b w:val="0"/>
          <w:bCs w:val="0"/>
          <w:color w:val="auto"/>
          <w:sz w:val="21"/>
          <w:szCs w:val="21"/>
        </w:rPr>
        <w:t>注*：原辅料实际用量均根据调试月消耗量折算，与环评设计消耗量略有不同，但均在</w:t>
      </w:r>
      <w:r>
        <w:rPr>
          <w:rFonts w:hint="default" w:ascii="Times New Roman" w:hAnsi="Times New Roman" w:eastAsia="宋体" w:cs="Times New Roman"/>
          <w:b w:val="0"/>
          <w:bCs w:val="0"/>
          <w:color w:val="auto"/>
          <w:sz w:val="21"/>
          <w:szCs w:val="21"/>
        </w:rPr>
        <w:t>环评设计范围内。</w:t>
      </w:r>
    </w:p>
    <w:p>
      <w:pPr>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FF0000"/>
          <w:sz w:val="21"/>
          <w:szCs w:val="21"/>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4"/>
        <w:pageBreakBefore w:val="0"/>
        <w:widowControl w:val="0"/>
        <w:kinsoku/>
        <w:wordWrap/>
        <w:overflowPunct/>
        <w:topLinePunct w:val="0"/>
        <w:autoSpaceDE w:val="0"/>
        <w:autoSpaceDN w:val="0"/>
        <w:bidi w:val="0"/>
        <w:adjustRightInd/>
        <w:snapToGrid/>
        <w:spacing w:beforeLines="0" w:afterLines="0"/>
        <w:textAlignment w:val="auto"/>
        <w:rPr>
          <w:rFonts w:hint="default" w:ascii="Times New Roman" w:hAnsi="Times New Roman" w:eastAsia="宋体" w:cs="Times New Roman"/>
          <w:color w:val="auto"/>
        </w:rPr>
      </w:pPr>
      <w:bookmarkStart w:id="17" w:name="_Toc16003"/>
      <w:r>
        <w:rPr>
          <w:rFonts w:hint="default" w:ascii="Times New Roman" w:hAnsi="Times New Roman" w:eastAsia="宋体" w:cs="Times New Roman"/>
          <w:color w:val="auto"/>
        </w:rPr>
        <w:t>3.4 水源及水平衡</w:t>
      </w:r>
      <w:bookmarkEnd w:id="17"/>
    </w:p>
    <w:p>
      <w:pPr>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本项目用水仅为生活用水。企业环评中拟员工定员为120人，用水量为1800m</w:t>
      </w:r>
      <w:r>
        <w:rPr>
          <w:rFonts w:hint="default"/>
          <w:sz w:val="21"/>
          <w:szCs w:val="21"/>
          <w:vertAlign w:val="superscript"/>
        </w:rPr>
        <w:t>3</w:t>
      </w:r>
      <w:r>
        <w:rPr>
          <w:rFonts w:hint="default"/>
          <w:sz w:val="21"/>
          <w:szCs w:val="21"/>
        </w:rPr>
        <w:t>/a，项目实际员工人数为25人，折算可得项目实际用水量约为375m</w:t>
      </w:r>
      <w:r>
        <w:rPr>
          <w:rFonts w:hint="default"/>
          <w:sz w:val="21"/>
          <w:szCs w:val="21"/>
          <w:vertAlign w:val="superscript"/>
        </w:rPr>
        <w:t>3</w:t>
      </w:r>
      <w:r>
        <w:rPr>
          <w:rFonts w:hint="default"/>
          <w:sz w:val="21"/>
          <w:szCs w:val="21"/>
        </w:rPr>
        <w:t>/a。生活用水排放系数以0.8计，则生活污水排放量为300m</w:t>
      </w:r>
      <w:r>
        <w:rPr>
          <w:rFonts w:hint="default"/>
          <w:sz w:val="21"/>
          <w:szCs w:val="21"/>
          <w:vertAlign w:val="superscript"/>
        </w:rPr>
        <w:t>3</w:t>
      </w:r>
      <w:r>
        <w:rPr>
          <w:rFonts w:hint="default"/>
          <w:sz w:val="21"/>
          <w:szCs w:val="21"/>
        </w:rPr>
        <w:t>/a，经化粪池处理后，排入常州金坛区第二污水处理有限公司。</w:t>
      </w:r>
    </w:p>
    <w:p>
      <w:pPr>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建设项目水平衡图见图3-1。</w:t>
      </w:r>
    </w:p>
    <w:p>
      <w:pPr>
        <w:rPr>
          <w:rFonts w:hint="default" w:ascii="Times New Roman" w:hAnsi="Times New Roman" w:eastAsia="宋体" w:cs="Times New Roman"/>
          <w:b/>
          <w:color w:val="FF0000"/>
          <w:sz w:val="21"/>
          <w:szCs w:val="21"/>
        </w:rPr>
      </w:pPr>
      <w:r>
        <w:rPr>
          <w:rFonts w:hint="default" w:ascii="Times New Roman" w:hAnsi="Times New Roman" w:eastAsia="宋体" w:cs="Times New Roman"/>
          <w:b/>
          <w:color w:val="FF0000"/>
          <w:sz w:val="21"/>
          <w:szCs w:val="21"/>
        </w:rPr>
        <w:pict>
          <v:shape id="_x0000_s2050" o:spid="_x0000_s2050" o:spt="75" type="#_x0000_t75" style="position:absolute;left:0pt;margin-left:55.65pt;margin-top:8.15pt;height:63.65pt;width:345.05pt;z-index:251661312;mso-width-relative:page;mso-height-relative:page;" o:ole="t" filled="f" o:preferrelative="t" stroked="f" coordsize="21600,21600">
            <v:path/>
            <v:fill on="f" focussize="0,0"/>
            <v:stroke on="f"/>
            <v:imagedata r:id="rId17" o:title=""/>
            <o:lock v:ext="edit" aspectratio="f"/>
          </v:shape>
          <o:OLEObject Type="Embed" ProgID="Visio.Drawing.11" ShapeID="_x0000_s2050" DrawAspect="Content" ObjectID="_1468075725" r:id="rId16">
            <o:LockedField>false</o:LockedField>
          </o:OLEObject>
        </w:pict>
      </w:r>
    </w:p>
    <w:p>
      <w:pPr>
        <w:rPr>
          <w:rFonts w:hint="default" w:ascii="Times New Roman" w:hAnsi="Times New Roman" w:eastAsia="宋体" w:cs="Times New Roman"/>
          <w:b/>
          <w:color w:val="FF0000"/>
          <w:sz w:val="25"/>
        </w:rPr>
      </w:pPr>
    </w:p>
    <w:p>
      <w:pPr>
        <w:ind w:left="0" w:leftChars="0" w:firstLine="0" w:firstLineChars="0"/>
        <w:rPr>
          <w:rFonts w:hint="default" w:ascii="Times New Roman" w:hAnsi="Times New Roman" w:eastAsia="宋体" w:cs="Times New Roman"/>
          <w:b/>
          <w:color w:val="FF0000"/>
          <w:sz w:val="25"/>
        </w:rPr>
      </w:pPr>
    </w:p>
    <w:p>
      <w:pPr>
        <w:ind w:left="0" w:leftChars="0" w:firstLine="0" w:firstLineChars="0"/>
        <w:jc w:val="center"/>
        <w:rPr>
          <w:rFonts w:hint="default"/>
          <w:b/>
          <w:bCs/>
          <w:sz w:val="21"/>
          <w:szCs w:val="21"/>
        </w:rPr>
      </w:pPr>
      <w:r>
        <w:rPr>
          <w:rFonts w:hint="default"/>
          <w:b/>
          <w:bCs/>
          <w:sz w:val="21"/>
          <w:szCs w:val="21"/>
        </w:rPr>
        <w:t>图 3-</w:t>
      </w:r>
      <w:r>
        <w:rPr>
          <w:rFonts w:hint="eastAsia"/>
          <w:b/>
          <w:bCs/>
          <w:sz w:val="21"/>
          <w:szCs w:val="21"/>
          <w:lang w:val="en-US" w:eastAsia="zh-CN"/>
        </w:rPr>
        <w:t xml:space="preserve">1  </w:t>
      </w:r>
      <w:r>
        <w:rPr>
          <w:rFonts w:hint="default"/>
          <w:b/>
          <w:bCs/>
          <w:sz w:val="21"/>
          <w:szCs w:val="21"/>
        </w:rPr>
        <w:t>项目水量平衡图（单位：m</w:t>
      </w:r>
      <w:r>
        <w:rPr>
          <w:rFonts w:hint="default"/>
          <w:b/>
          <w:bCs/>
          <w:sz w:val="21"/>
          <w:szCs w:val="21"/>
          <w:vertAlign w:val="superscript"/>
        </w:rPr>
        <w:t>3</w:t>
      </w:r>
      <w:r>
        <w:rPr>
          <w:rFonts w:hint="default"/>
          <w:b/>
          <w:bCs/>
          <w:sz w:val="21"/>
          <w:szCs w:val="21"/>
        </w:rPr>
        <w:t>/a）</w:t>
      </w:r>
    </w:p>
    <w:p>
      <w:pPr>
        <w:pStyle w:val="4"/>
        <w:pageBreakBefore w:val="0"/>
        <w:kinsoku/>
        <w:wordWrap/>
        <w:overflowPunct/>
        <w:topLinePunct w:val="0"/>
        <w:bidi w:val="0"/>
        <w:adjustRightInd/>
        <w:snapToGrid/>
        <w:spacing w:beforeLines="0" w:afterLines="0"/>
        <w:rPr>
          <w:rFonts w:hint="default" w:ascii="Times New Roman" w:hAnsi="Times New Roman" w:eastAsia="宋体" w:cs="Times New Roman"/>
          <w:color w:val="auto"/>
        </w:rPr>
      </w:pPr>
      <w:bookmarkStart w:id="18" w:name="_Toc14352"/>
      <w:r>
        <w:rPr>
          <w:rFonts w:hint="default" w:ascii="Times New Roman" w:hAnsi="Times New Roman" w:eastAsia="宋体" w:cs="Times New Roman"/>
          <w:color w:val="auto"/>
        </w:rPr>
        <w:t>3.5 生产工艺</w:t>
      </w:r>
      <w:bookmarkEnd w:id="18"/>
    </w:p>
    <w:p>
      <w:pPr>
        <w:pStyle w:val="6"/>
        <w:keepNext w:val="0"/>
        <w:keepLines w:val="0"/>
        <w:pageBreakBefore w:val="0"/>
        <w:widowControl/>
        <w:kinsoku/>
        <w:wordWrap/>
        <w:overflowPunct/>
        <w:topLinePunct w:val="0"/>
        <w:autoSpaceDE/>
        <w:autoSpaceDN/>
        <w:bidi w:val="0"/>
        <w:adjustRightInd/>
        <w:snapToGrid/>
        <w:spacing w:line="360" w:lineRule="auto"/>
        <w:ind w:firstLine="420"/>
        <w:textAlignment w:val="baseline"/>
        <w:rPr>
          <w:rFonts w:hint="eastAsia" w:ascii="Times New Roman" w:hAnsi="Times New Roman" w:eastAsia="宋体"/>
          <w:color w:val="auto"/>
          <w:sz w:val="21"/>
          <w:szCs w:val="21"/>
        </w:rPr>
      </w:pPr>
      <w:r>
        <w:rPr>
          <w:rFonts w:hint="eastAsia" w:ascii="Times New Roman" w:hAnsi="Times New Roman" w:eastAsia="宋体"/>
          <w:color w:val="auto"/>
          <w:sz w:val="21"/>
          <w:szCs w:val="21"/>
          <w:lang w:val="en-US" w:eastAsia="zh-CN"/>
        </w:rPr>
        <w:t>本次验收</w:t>
      </w:r>
      <w:r>
        <w:rPr>
          <w:rFonts w:hint="eastAsia" w:ascii="Times New Roman" w:hAnsi="Times New Roman" w:eastAsia="宋体"/>
          <w:color w:val="auto"/>
          <w:sz w:val="21"/>
          <w:szCs w:val="21"/>
        </w:rPr>
        <w:t>项目生产工艺流程及产污环节如下图所示。</w:t>
      </w:r>
    </w:p>
    <w:p>
      <w:pPr>
        <w:pStyle w:val="12"/>
        <w:widowControl w:val="0"/>
        <w:numPr>
          <w:ilvl w:val="0"/>
          <w:numId w:val="0"/>
        </w:numPr>
        <w:autoSpaceDE w:val="0"/>
        <w:autoSpaceDN w:val="0"/>
        <w:spacing w:line="500" w:lineRule="exact"/>
        <w:rPr>
          <w:color w:val="000000"/>
        </w:rPr>
      </w:pPr>
      <w:r>
        <w:rPr>
          <w:color w:val="000000"/>
        </w:rPr>
        <w:drawing>
          <wp:anchor distT="0" distB="0" distL="114300" distR="114300" simplePos="0" relativeHeight="251661312" behindDoc="1" locked="0" layoutInCell="1" allowOverlap="1">
            <wp:simplePos x="0" y="0"/>
            <wp:positionH relativeFrom="column">
              <wp:posOffset>1181100</wp:posOffset>
            </wp:positionH>
            <wp:positionV relativeFrom="paragraph">
              <wp:posOffset>172720</wp:posOffset>
            </wp:positionV>
            <wp:extent cx="3334385" cy="3128645"/>
            <wp:effectExtent l="0" t="0" r="18415" b="14605"/>
            <wp:wrapNone/>
            <wp:docPr id="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
                    <pic:cNvPicPr>
                      <a:picLocks noChangeAspect="1"/>
                    </pic:cNvPicPr>
                  </pic:nvPicPr>
                  <pic:blipFill>
                    <a:blip r:embed="rId18"/>
                    <a:stretch>
                      <a:fillRect/>
                    </a:stretch>
                  </pic:blipFill>
                  <pic:spPr>
                    <a:xfrm>
                      <a:off x="0" y="0"/>
                      <a:ext cx="3334385" cy="3128645"/>
                    </a:xfrm>
                    <a:prstGeom prst="rect">
                      <a:avLst/>
                    </a:prstGeom>
                    <a:noFill/>
                    <a:ln>
                      <a:noFill/>
                    </a:ln>
                  </pic:spPr>
                </pic:pic>
              </a:graphicData>
            </a:graphic>
          </wp:anchor>
        </w:drawing>
      </w:r>
    </w:p>
    <w:p>
      <w:pPr>
        <w:pStyle w:val="12"/>
        <w:widowControl w:val="0"/>
        <w:numPr>
          <w:ilvl w:val="0"/>
          <w:numId w:val="0"/>
        </w:numPr>
        <w:autoSpaceDE w:val="0"/>
        <w:autoSpaceDN w:val="0"/>
        <w:spacing w:line="500" w:lineRule="exact"/>
        <w:rPr>
          <w:color w:val="000000"/>
        </w:rPr>
      </w:pPr>
    </w:p>
    <w:p>
      <w:pPr>
        <w:pStyle w:val="12"/>
        <w:widowControl w:val="0"/>
        <w:numPr>
          <w:ilvl w:val="0"/>
          <w:numId w:val="0"/>
        </w:numPr>
        <w:autoSpaceDE w:val="0"/>
        <w:autoSpaceDN w:val="0"/>
        <w:spacing w:line="500" w:lineRule="exact"/>
        <w:rPr>
          <w:color w:val="000000"/>
        </w:rPr>
      </w:pPr>
    </w:p>
    <w:p>
      <w:pPr>
        <w:pStyle w:val="12"/>
        <w:widowControl w:val="0"/>
        <w:numPr>
          <w:ilvl w:val="0"/>
          <w:numId w:val="0"/>
        </w:numPr>
        <w:autoSpaceDE w:val="0"/>
        <w:autoSpaceDN w:val="0"/>
        <w:spacing w:line="500" w:lineRule="exact"/>
        <w:rPr>
          <w:color w:val="000000"/>
        </w:rPr>
      </w:pPr>
    </w:p>
    <w:p>
      <w:pPr>
        <w:pStyle w:val="12"/>
        <w:widowControl w:val="0"/>
        <w:numPr>
          <w:ilvl w:val="0"/>
          <w:numId w:val="0"/>
        </w:numPr>
        <w:autoSpaceDE w:val="0"/>
        <w:autoSpaceDN w:val="0"/>
        <w:spacing w:line="500" w:lineRule="exact"/>
        <w:rPr>
          <w:rFonts w:hint="default"/>
          <w:color w:val="000000"/>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pStyle w:val="12"/>
        <w:widowControl w:val="0"/>
        <w:numPr>
          <w:ilvl w:val="0"/>
          <w:numId w:val="0"/>
        </w:numPr>
        <w:autoSpaceDE w:val="0"/>
        <w:autoSpaceDN w:val="0"/>
        <w:spacing w:line="500" w:lineRule="exact"/>
        <w:rPr>
          <w:rFonts w:hint="default"/>
        </w:rPr>
      </w:pPr>
    </w:p>
    <w:p>
      <w:pPr>
        <w:spacing w:line="360" w:lineRule="auto"/>
        <w:ind w:left="0" w:leftChars="0" w:firstLine="0" w:firstLineChars="0"/>
        <w:jc w:val="center"/>
        <w:rPr>
          <w:rFonts w:hint="default"/>
          <w:b/>
          <w:bCs/>
          <w:sz w:val="21"/>
          <w:szCs w:val="21"/>
        </w:rPr>
      </w:pPr>
    </w:p>
    <w:p>
      <w:pPr>
        <w:spacing w:line="360" w:lineRule="auto"/>
        <w:ind w:left="0" w:leftChars="0" w:firstLine="0" w:firstLineChars="0"/>
        <w:jc w:val="center"/>
        <w:rPr>
          <w:rFonts w:hint="default"/>
          <w:b/>
          <w:bCs/>
          <w:sz w:val="21"/>
          <w:szCs w:val="21"/>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center"/>
        <w:textAlignment w:val="auto"/>
        <w:rPr>
          <w:rFonts w:hint="default"/>
          <w:b/>
          <w:bCs/>
          <w:sz w:val="21"/>
          <w:szCs w:val="21"/>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center"/>
        <w:textAlignment w:val="auto"/>
        <w:rPr>
          <w:rFonts w:hint="default"/>
          <w:b/>
          <w:bCs/>
          <w:sz w:val="21"/>
          <w:szCs w:val="21"/>
        </w:rPr>
      </w:pPr>
      <w:r>
        <w:rPr>
          <w:rFonts w:hint="default"/>
          <w:b/>
          <w:bCs/>
          <w:sz w:val="21"/>
          <w:szCs w:val="21"/>
        </w:rPr>
        <w:t>图</w:t>
      </w:r>
      <w:r>
        <w:rPr>
          <w:rFonts w:hint="eastAsia"/>
          <w:b/>
          <w:bCs/>
          <w:sz w:val="21"/>
          <w:szCs w:val="21"/>
          <w:lang w:val="en-US" w:eastAsia="zh-CN"/>
        </w:rPr>
        <w:t xml:space="preserve"> </w:t>
      </w:r>
      <w:r>
        <w:rPr>
          <w:rFonts w:hint="default"/>
          <w:b/>
          <w:bCs/>
          <w:sz w:val="21"/>
          <w:szCs w:val="21"/>
        </w:rPr>
        <w:t>3-</w:t>
      </w:r>
      <w:r>
        <w:rPr>
          <w:rFonts w:hint="eastAsia"/>
          <w:b/>
          <w:bCs/>
          <w:sz w:val="21"/>
          <w:szCs w:val="21"/>
          <w:lang w:val="en-US" w:eastAsia="zh-CN"/>
        </w:rPr>
        <w:t xml:space="preserve">2 </w:t>
      </w:r>
      <w:r>
        <w:rPr>
          <w:rFonts w:hint="default"/>
          <w:b/>
          <w:bCs/>
          <w:sz w:val="21"/>
          <w:szCs w:val="21"/>
        </w:rPr>
        <w:t>项目生产工艺流程及产污环节图</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cs="Times New Roman"/>
          <w:b/>
          <w:bCs/>
          <w:color w:val="000000"/>
          <w:sz w:val="21"/>
          <w:szCs w:val="21"/>
        </w:rPr>
      </w:pPr>
      <w:r>
        <w:rPr>
          <w:b/>
          <w:bCs/>
          <w:sz w:val="21"/>
          <w:szCs w:val="21"/>
        </w:rPr>
        <w:t>工艺流</w:t>
      </w:r>
      <w:r>
        <w:rPr>
          <w:rFonts w:hint="default"/>
          <w:b/>
          <w:bCs/>
          <w:sz w:val="21"/>
          <w:szCs w:val="21"/>
        </w:rPr>
        <w:t>程及产污环节分析：</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混胶：混胶工序和涂胶生产线设置在同一密闭空间内，将采购的溶剂型丙烯酸树脂压敏胶、稀释剂、L-75固化剂按比例抽吸进入不锈钢混胶罐中进行密闭搅拌，调配成胶水。原料溶剂型丙烯酸树脂压敏胶、稀释剂、L-75固化剂均具有挥发性，在吸入不锈钢罐过程中会产生少量挥发性气体G1。</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涂胶：成卷原膜通过涂胶机拉伸装置的牵引作用，在展开向前推进的同时，被均匀涂上胶水，然后继续推前进入下一步烘烤工序。涂胶过程中会产生挥发性有机废气，此工序产生G2涂胶废气。</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烘烤：涂好胶的薄膜在牵引机的作用下进入烘烤工段进行烘烤处理，烘烤段配套设置导热油炉，采用天然气燃烧产生的热量给介质导热油加热，将导热油加热到120℃，导热油产生的热量形成的热风对薄膜上胶水进行烘烤，烘烤时间约2~3min，烘烤过的薄膜在牵引机作用下缓慢牵引出烘烤室，随着牵引过程，薄膜温度逐渐降低，牵引至烘烤室外时，薄膜温度已降至常温。烘烤过程会产生挥发性有机废气，天然气燃烧时产生燃烧废气。此工序产生烘烤废气G3、燃烧废气G4。</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复合：复合机的作用主要是将经涂胶、烘烤后具有粘性的薄膜和原膜粘合在一起。此工序无污染物产生及排放。</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收卷：经复合后的薄膜利用设备末端自动收卷装置进行收卷。</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分切：按照客户所需的尺寸进行分切，分切过程会产生边角料S1。</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sz w:val="21"/>
          <w:szCs w:val="21"/>
        </w:rPr>
      </w:pPr>
      <w:r>
        <w:rPr>
          <w:rFonts w:hint="default"/>
          <w:sz w:val="21"/>
          <w:szCs w:val="21"/>
        </w:rPr>
        <w:t>包装：</w:t>
      </w:r>
      <w:r>
        <w:rPr>
          <w:rFonts w:hint="default"/>
          <w:sz w:val="21"/>
          <w:szCs w:val="21"/>
          <w:lang w:val="zh-CN"/>
        </w:rPr>
        <w:t>分切后的胶带卷即为成品，包装入库待售</w:t>
      </w:r>
      <w:r>
        <w:rPr>
          <w:rFonts w:hint="default"/>
          <w:sz w:val="21"/>
          <w:szCs w:val="21"/>
        </w:rPr>
        <w:t>。</w:t>
      </w:r>
    </w:p>
    <w:p>
      <w:pPr>
        <w:pStyle w:val="4"/>
        <w:pageBreakBefore w:val="0"/>
        <w:widowControl w:val="0"/>
        <w:kinsoku/>
        <w:wordWrap/>
        <w:overflowPunct/>
        <w:topLinePunct w:val="0"/>
        <w:autoSpaceDE w:val="0"/>
        <w:autoSpaceDN w:val="0"/>
        <w:bidi w:val="0"/>
        <w:adjustRightInd/>
        <w:snapToGrid/>
        <w:spacing w:beforeLines="0" w:afterLines="0"/>
        <w:textAlignment w:val="auto"/>
        <w:rPr>
          <w:rFonts w:hint="default"/>
          <w:color w:val="auto"/>
        </w:rPr>
      </w:pPr>
      <w:bookmarkStart w:id="19" w:name="_Toc45803101"/>
      <w:bookmarkStart w:id="20" w:name="_Toc5610"/>
      <w:r>
        <w:rPr>
          <w:rFonts w:hint="default" w:ascii="Times New Roman" w:hAnsi="Times New Roman" w:eastAsia="宋体" w:cs="Times New Roman"/>
          <w:color w:val="auto"/>
        </w:rPr>
        <w:t>3.6 项目变动情况</w:t>
      </w:r>
      <w:bookmarkEnd w:id="19"/>
      <w:bookmarkEnd w:id="20"/>
    </w:p>
    <w:p>
      <w:pPr>
        <w:pStyle w:val="11"/>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color w:val="auto"/>
          <w:sz w:val="21"/>
          <w:szCs w:val="21"/>
        </w:rPr>
        <w:sectPr>
          <w:headerReference r:id="rId13" w:type="default"/>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color w:val="auto"/>
          <w:sz w:val="21"/>
          <w:szCs w:val="21"/>
        </w:rPr>
        <w:t>经现场勘查，对照《关于印发&lt;污染影响类建设项目重大变动清单（试行）&gt;的通知》（环办环评函〔2020〕688号）、《省生态环境厅关于加强涉变动项目环评与排污许可管理衔接的通知》（苏环办〔2021〕122号）有关规定，根据《缔壹电工科技（江苏）有限公司缔壹电工科技锂电池胶带项目</w:t>
      </w:r>
      <w:r>
        <w:rPr>
          <w:rFonts w:hint="eastAsia"/>
          <w:color w:val="auto"/>
          <w:sz w:val="21"/>
          <w:szCs w:val="21"/>
          <w:lang w:eastAsia="zh-CN"/>
        </w:rPr>
        <w:t>环境影响报告书</w:t>
      </w:r>
      <w:r>
        <w:rPr>
          <w:rFonts w:hint="default"/>
          <w:color w:val="auto"/>
          <w:sz w:val="21"/>
          <w:szCs w:val="21"/>
        </w:rPr>
        <w:t>》，项目主要变动内容详见表3-</w:t>
      </w:r>
      <w:r>
        <w:rPr>
          <w:rFonts w:hint="eastAsia"/>
          <w:color w:val="auto"/>
          <w:sz w:val="21"/>
          <w:szCs w:val="21"/>
          <w:lang w:val="en-US" w:eastAsia="zh-CN"/>
        </w:rPr>
        <w:t>5</w:t>
      </w:r>
      <w:r>
        <w:rPr>
          <w:rFonts w:hint="default"/>
          <w:color w:val="auto"/>
          <w:sz w:val="21"/>
          <w:szCs w:val="21"/>
        </w:rPr>
        <w:t>。</w:t>
      </w:r>
    </w:p>
    <w:p>
      <w:pPr>
        <w:pStyle w:val="29"/>
        <w:spacing w:before="196"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表3-</w:t>
      </w:r>
      <w:r>
        <w:rPr>
          <w:rFonts w:hint="eastAsia" w:cs="Times New Roman"/>
          <w:color w:val="auto"/>
          <w:sz w:val="21"/>
          <w:szCs w:val="21"/>
          <w:lang w:val="en-US" w:eastAsia="zh-CN"/>
        </w:rPr>
        <w:t>5</w:t>
      </w:r>
      <w:r>
        <w:rPr>
          <w:rFonts w:hint="default" w:ascii="Times New Roman" w:hAnsi="Times New Roman" w:eastAsia="宋体" w:cs="Times New Roman"/>
          <w:color w:val="auto"/>
          <w:sz w:val="21"/>
          <w:szCs w:val="21"/>
        </w:rPr>
        <w:t xml:space="preserve"> </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验收项目变动内容统计、对比分析</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709"/>
        <w:gridCol w:w="2839"/>
        <w:gridCol w:w="2898"/>
        <w:gridCol w:w="4838"/>
        <w:gridCol w:w="165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Merge w:val="restar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变动内容</w:t>
            </w:r>
          </w:p>
        </w:tc>
        <w:tc>
          <w:tcPr>
            <w:tcW w:w="1251" w:type="pct"/>
            <w:gridSpan w:val="2"/>
            <w:vMerge w:val="restar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原环评及批复情况</w:t>
            </w:r>
          </w:p>
        </w:tc>
        <w:tc>
          <w:tcPr>
            <w:tcW w:w="1022" w:type="pct"/>
            <w:vMerge w:val="restar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实际建设情况</w:t>
            </w:r>
          </w:p>
        </w:tc>
        <w:tc>
          <w:tcPr>
            <w:tcW w:w="2289" w:type="pct"/>
            <w:gridSpan w:val="2"/>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与环办环评函[2020]688号对比分析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36"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p>
        </w:tc>
        <w:tc>
          <w:tcPr>
            <w:tcW w:w="1251" w:type="pct"/>
            <w:gridSpan w:val="2"/>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p>
        </w:tc>
        <w:tc>
          <w:tcPr>
            <w:tcW w:w="1022"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p>
        </w:tc>
        <w:tc>
          <w:tcPr>
            <w:tcW w:w="1706"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文件内容</w:t>
            </w:r>
          </w:p>
        </w:tc>
        <w:tc>
          <w:tcPr>
            <w:tcW w:w="583"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是否属于重大变动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建设性质</w:t>
            </w:r>
          </w:p>
        </w:tc>
        <w:tc>
          <w:tcPr>
            <w:tcW w:w="1251" w:type="pct"/>
            <w:gridSpan w:val="2"/>
            <w:shd w:val="clear" w:color="auto" w:fill="auto"/>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宋体" w:hAnsi="宋体" w:eastAsia="宋体" w:cs="宋体"/>
                <w:color w:val="auto"/>
                <w:sz w:val="21"/>
                <w:szCs w:val="21"/>
                <w:lang w:eastAsia="zh-CN"/>
              </w:rPr>
              <w:t>锂电池胶带项目</w:t>
            </w:r>
          </w:p>
        </w:tc>
        <w:tc>
          <w:tcPr>
            <w:tcW w:w="1022"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ascii="宋体" w:hAnsi="宋体" w:eastAsia="宋体" w:cs="宋体"/>
                <w:color w:val="auto"/>
                <w:sz w:val="21"/>
                <w:szCs w:val="21"/>
                <w:lang w:eastAsia="zh-CN"/>
              </w:rPr>
              <w:t>锂电池胶带项目</w:t>
            </w:r>
          </w:p>
        </w:tc>
        <w:tc>
          <w:tcPr>
            <w:tcW w:w="1706"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建设项目开发使用功能发生变化的</w:t>
            </w:r>
          </w:p>
        </w:tc>
        <w:tc>
          <w:tcPr>
            <w:tcW w:w="583"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规模</w:t>
            </w:r>
          </w:p>
        </w:tc>
        <w:tc>
          <w:tcPr>
            <w:tcW w:w="1251" w:type="pct"/>
            <w:gridSpan w:val="2"/>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拟建9条锂电池胶带生产线</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eastAsia="zh-CN"/>
              </w:rPr>
              <w:t>项目投产后可形成年产锂电池胶带21600万m</w:t>
            </w:r>
            <w:r>
              <w:rPr>
                <w:rFonts w:hint="default" w:ascii="Times New Roman" w:hAnsi="Times New Roman" w:eastAsia="宋体" w:cs="Times New Roman"/>
                <w:color w:val="auto"/>
                <w:sz w:val="21"/>
                <w:szCs w:val="21"/>
                <w:vertAlign w:val="superscript"/>
                <w:lang w:eastAsia="zh-CN"/>
              </w:rPr>
              <w:t>2</w:t>
            </w:r>
            <w:r>
              <w:rPr>
                <w:rFonts w:hint="default" w:ascii="Times New Roman" w:hAnsi="Times New Roman" w:eastAsia="宋体" w:cs="Times New Roman"/>
                <w:color w:val="auto"/>
                <w:sz w:val="21"/>
                <w:szCs w:val="21"/>
                <w:lang w:eastAsia="zh-CN"/>
              </w:rPr>
              <w:t>的产能</w:t>
            </w:r>
          </w:p>
        </w:tc>
        <w:tc>
          <w:tcPr>
            <w:tcW w:w="1022"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rPr>
            </w:pPr>
            <w:r>
              <w:rPr>
                <w:rFonts w:hint="eastAsia" w:ascii="Times New Roman" w:hAnsi="Times New Roman" w:eastAsia="宋体" w:cs="Times New Roman"/>
                <w:color w:val="auto"/>
                <w:sz w:val="21"/>
                <w:szCs w:val="21"/>
                <w:lang w:val="en-US" w:eastAsia="zh-CN"/>
              </w:rPr>
              <w:t>实际建设2</w:t>
            </w:r>
            <w:r>
              <w:rPr>
                <w:rFonts w:hint="default" w:ascii="Times New Roman" w:hAnsi="Times New Roman" w:eastAsia="宋体" w:cs="Times New Roman"/>
                <w:color w:val="auto"/>
                <w:sz w:val="21"/>
                <w:szCs w:val="21"/>
                <w:lang w:eastAsia="zh-CN"/>
              </w:rPr>
              <w:t>条锂电池胶带生产线项目投产后</w:t>
            </w:r>
            <w:r>
              <w:rPr>
                <w:rFonts w:hint="eastAsia" w:ascii="Times New Roman" w:hAnsi="Times New Roman" w:eastAsia="宋体" w:cs="Times New Roman"/>
                <w:color w:val="auto"/>
                <w:sz w:val="21"/>
                <w:szCs w:val="21"/>
                <w:lang w:val="en-US" w:eastAsia="zh-CN"/>
              </w:rPr>
              <w:t>实际</w:t>
            </w:r>
            <w:r>
              <w:rPr>
                <w:rFonts w:hint="default" w:ascii="Times New Roman" w:hAnsi="Times New Roman" w:eastAsia="宋体" w:cs="Times New Roman"/>
                <w:color w:val="auto"/>
                <w:sz w:val="21"/>
                <w:szCs w:val="21"/>
                <w:lang w:eastAsia="zh-CN"/>
              </w:rPr>
              <w:t>年产锂电池胶带</w:t>
            </w:r>
            <w:r>
              <w:rPr>
                <w:rFonts w:hint="eastAsia" w:ascii="Times New Roman" w:hAnsi="Times New Roman" w:eastAsia="宋体" w:cs="Times New Roman"/>
                <w:color w:val="auto"/>
                <w:sz w:val="21"/>
                <w:szCs w:val="21"/>
                <w:lang w:val="en-US" w:eastAsia="zh-CN"/>
              </w:rPr>
              <w:t>4800</w:t>
            </w:r>
            <w:r>
              <w:rPr>
                <w:rFonts w:hint="default" w:ascii="Times New Roman" w:hAnsi="Times New Roman" w:eastAsia="宋体" w:cs="Times New Roman"/>
                <w:color w:val="auto"/>
                <w:sz w:val="21"/>
                <w:szCs w:val="21"/>
                <w:lang w:eastAsia="zh-CN"/>
              </w:rPr>
              <w:t>万m</w:t>
            </w:r>
            <w:r>
              <w:rPr>
                <w:rFonts w:hint="default" w:ascii="Times New Roman" w:hAnsi="Times New Roman" w:eastAsia="宋体" w:cs="Times New Roman"/>
                <w:color w:val="auto"/>
                <w:sz w:val="21"/>
                <w:szCs w:val="21"/>
                <w:vertAlign w:val="superscript"/>
                <w:lang w:eastAsia="zh-CN"/>
              </w:rPr>
              <w:t>2</w:t>
            </w:r>
            <w:r>
              <w:rPr>
                <w:rFonts w:hint="default" w:ascii="Times New Roman" w:hAnsi="Times New Roman" w:eastAsia="宋体" w:cs="Times New Roman"/>
                <w:color w:val="auto"/>
                <w:sz w:val="21"/>
                <w:szCs w:val="21"/>
                <w:lang w:eastAsia="zh-CN"/>
              </w:rPr>
              <w:t>的产能</w:t>
            </w:r>
          </w:p>
        </w:tc>
        <w:tc>
          <w:tcPr>
            <w:tcW w:w="1706" w:type="pct"/>
            <w:shd w:val="clear" w:color="auto" w:fill="auto"/>
            <w:vAlign w:val="center"/>
          </w:tcPr>
          <w:p>
            <w:pPr>
              <w:adjustRightInd w:val="0"/>
              <w:snapToGrid w:val="0"/>
              <w:spacing w:line="240" w:lineRule="auto"/>
              <w:ind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①、生产、处置或储存能力增大30%及以上的；</w:t>
            </w:r>
          </w:p>
          <w:p>
            <w:pPr>
              <w:adjustRightInd w:val="0"/>
              <w:snapToGrid w:val="0"/>
              <w:spacing w:line="240" w:lineRule="auto"/>
              <w:ind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②、生产、处置或储存能力增大，导致废水第一类污染物排放量增加的；</w:t>
            </w:r>
          </w:p>
          <w:p>
            <w:pPr>
              <w:adjustRightInd w:val="0"/>
              <w:snapToGrid w:val="0"/>
              <w:spacing w:line="240" w:lineRule="auto"/>
              <w:ind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③、位于环境质量不达标区的建设项目生产、处置或储存能力增大，导致响应污染物排放量增加的（细颗粒物不达标区，相应污染物为二氧化硫、氮氧化物、可吸入颗粒物、挥发性有机物；臭氧不达标区，相应污染物为氮氧化物、挥发性有机物；其他大气、水污染物因子不达标区，相应污染物为超标污染因子）；位于达标区的建设项目生产、处置或储存能力增大，导致污染物排放量增加10%及以上的</w:t>
            </w:r>
          </w:p>
        </w:tc>
        <w:tc>
          <w:tcPr>
            <w:tcW w:w="583" w:type="pct"/>
            <w:shd w:val="clear" w:color="auto" w:fill="auto"/>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不属于</w:t>
            </w:r>
            <w:r>
              <w:rPr>
                <w:rFonts w:hint="eastAsia" w:cs="Times New Roman"/>
                <w:color w:val="auto"/>
                <w:sz w:val="21"/>
                <w:szCs w:val="21"/>
                <w:lang w:eastAsia="zh-CN"/>
              </w:rPr>
              <w:t>（</w:t>
            </w:r>
            <w:r>
              <w:rPr>
                <w:rFonts w:hint="eastAsia" w:ascii="Times New Roman" w:hAnsi="Times New Roman" w:eastAsia="宋体" w:cs="Times New Roman"/>
                <w:color w:val="auto"/>
                <w:sz w:val="21"/>
                <w:szCs w:val="21"/>
                <w:lang w:val="en-US" w:eastAsia="zh-CN"/>
              </w:rPr>
              <w:t>阶段验收</w:t>
            </w:r>
            <w:r>
              <w:rPr>
                <w:rFonts w:hint="eastAsia" w:cs="Times New Roman"/>
                <w:color w:val="auto"/>
                <w:sz w:val="21"/>
                <w:szCs w:val="21"/>
                <w:lang w:val="en-US" w:eastAsia="zh-CN"/>
              </w:rPr>
              <w:t>，在环评设计范围内</w:t>
            </w:r>
            <w:r>
              <w:rPr>
                <w:rFonts w:hint="eastAsia" w:cs="Times New Roman"/>
                <w:color w:val="auto"/>
                <w:sz w:val="21"/>
                <w:szCs w:val="21"/>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地点</w:t>
            </w:r>
          </w:p>
        </w:tc>
        <w:tc>
          <w:tcPr>
            <w:tcW w:w="1251" w:type="pct"/>
            <w:gridSpan w:val="2"/>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选址位于</w:t>
            </w:r>
            <w:r>
              <w:rPr>
                <w:rFonts w:hint="default" w:ascii="Times New Roman" w:hAnsi="Times New Roman" w:eastAsia="宋体" w:cs="Times New Roman"/>
                <w:color w:val="auto"/>
                <w:sz w:val="21"/>
                <w:szCs w:val="21"/>
                <w:lang w:eastAsia="zh-CN"/>
              </w:rPr>
              <w:t>江苏缔成特材科技有限公司的闲置厂房</w:t>
            </w:r>
            <w:r>
              <w:rPr>
                <w:rFonts w:hint="eastAsia" w:ascii="Times New Roman" w:hAnsi="Times New Roman" w:eastAsia="宋体" w:cs="Times New Roman"/>
                <w:color w:val="auto"/>
                <w:sz w:val="21"/>
                <w:szCs w:val="21"/>
                <w:lang w:eastAsia="zh-CN"/>
              </w:rPr>
              <w:t>，</w:t>
            </w:r>
            <w:r>
              <w:rPr>
                <w:rFonts w:hint="eastAsia" w:ascii="Times New Roman" w:hAnsi="Times New Roman"/>
                <w:color w:val="auto"/>
                <w:sz w:val="21"/>
                <w:szCs w:val="21"/>
                <w:highlight w:val="none"/>
                <w:lang w:val="en-US" w:eastAsia="zh-CN"/>
              </w:rPr>
              <w:t>主体</w:t>
            </w:r>
            <w:r>
              <w:rPr>
                <w:rFonts w:hint="default" w:ascii="Times New Roman" w:hAnsi="Times New Roman" w:eastAsia="宋体" w:cs="Times New Roman"/>
                <w:color w:val="auto"/>
                <w:spacing w:val="-2"/>
                <w:kern w:val="28"/>
                <w:sz w:val="21"/>
                <w:szCs w:val="21"/>
              </w:rPr>
              <w:t>锂电池胶带生产线</w:t>
            </w:r>
            <w:r>
              <w:rPr>
                <w:rFonts w:hint="eastAsia" w:ascii="Times New Roman" w:hAnsi="Times New Roman"/>
                <w:color w:val="auto"/>
                <w:sz w:val="21"/>
                <w:szCs w:val="21"/>
                <w:highlight w:val="none"/>
                <w:lang w:val="en-US" w:eastAsia="zh-CN"/>
              </w:rPr>
              <w:t>、成品区、原料区、危废仓库等均位于生产车间二内部</w:t>
            </w:r>
          </w:p>
        </w:tc>
        <w:tc>
          <w:tcPr>
            <w:tcW w:w="1022"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选址位于</w:t>
            </w:r>
            <w:r>
              <w:rPr>
                <w:rFonts w:hint="default" w:ascii="Times New Roman" w:hAnsi="Times New Roman" w:eastAsia="宋体" w:cs="Times New Roman"/>
                <w:color w:val="auto"/>
                <w:sz w:val="21"/>
                <w:szCs w:val="21"/>
                <w:lang w:eastAsia="zh-CN"/>
              </w:rPr>
              <w:t>江苏缔成特材科技有限公司的闲置厂房</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其中平面布置图发生调整。</w:t>
            </w:r>
            <w:r>
              <w:rPr>
                <w:rFonts w:hint="eastAsia" w:ascii="Times New Roman" w:hAnsi="Times New Roman"/>
                <w:color w:val="auto"/>
                <w:sz w:val="21"/>
                <w:szCs w:val="21"/>
                <w:highlight w:val="none"/>
                <w:lang w:val="en-US" w:eastAsia="zh-CN"/>
              </w:rPr>
              <w:t>主体</w:t>
            </w:r>
            <w:r>
              <w:rPr>
                <w:rFonts w:hint="default" w:ascii="Times New Roman" w:hAnsi="Times New Roman" w:eastAsia="宋体" w:cs="Times New Roman"/>
                <w:color w:val="auto"/>
                <w:spacing w:val="-2"/>
                <w:kern w:val="28"/>
                <w:sz w:val="21"/>
                <w:szCs w:val="21"/>
              </w:rPr>
              <w:t>锂电池胶带生产线</w:t>
            </w:r>
            <w:r>
              <w:rPr>
                <w:rFonts w:hint="eastAsia" w:ascii="Times New Roman" w:hAnsi="Times New Roman"/>
                <w:color w:val="auto"/>
                <w:sz w:val="21"/>
                <w:szCs w:val="21"/>
                <w:highlight w:val="none"/>
                <w:lang w:val="en-US" w:eastAsia="zh-CN"/>
              </w:rPr>
              <w:t>、成品区、原料区、危废仓库等均位于生产车间一内部</w:t>
            </w:r>
          </w:p>
        </w:tc>
        <w:tc>
          <w:tcPr>
            <w:tcW w:w="1706"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在原厂址附近调整（包括总平面布置变化）导致环境防护距离范围变化且新增敏感点的</w:t>
            </w:r>
          </w:p>
        </w:tc>
        <w:tc>
          <w:tcPr>
            <w:tcW w:w="583" w:type="pct"/>
            <w:shd w:val="clear" w:color="auto" w:fill="auto"/>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不属于</w:t>
            </w:r>
            <w:r>
              <w:rPr>
                <w:rFonts w:hint="eastAsia" w:cs="Times New Roman"/>
                <w:color w:val="auto"/>
                <w:sz w:val="21"/>
                <w:szCs w:val="21"/>
                <w:lang w:eastAsia="zh-CN"/>
              </w:rPr>
              <w:t>（</w:t>
            </w:r>
            <w:r>
              <w:rPr>
                <w:rFonts w:hint="eastAsia" w:ascii="Times New Roman" w:hAnsi="Times New Roman"/>
                <w:color w:val="auto"/>
                <w:sz w:val="21"/>
                <w:szCs w:val="21"/>
                <w:highlight w:val="none"/>
                <w:lang w:val="en-US" w:eastAsia="zh-CN"/>
              </w:rPr>
              <w:t>仅平面布置在</w:t>
            </w:r>
            <w:r>
              <w:rPr>
                <w:rFonts w:hint="default" w:ascii="Times New Roman" w:hAnsi="Times New Roman" w:eastAsia="宋体" w:cs="Times New Roman"/>
                <w:color w:val="auto"/>
                <w:sz w:val="21"/>
                <w:szCs w:val="21"/>
              </w:rPr>
              <w:t>原厂址附近调整</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导致环境防护距离范围变化，但是不新增敏感点</w:t>
            </w:r>
            <w:r>
              <w:rPr>
                <w:rFonts w:hint="eastAsia" w:cs="Times New Roman"/>
                <w:color w:val="auto"/>
                <w:sz w:val="21"/>
                <w:szCs w:val="21"/>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436" w:type="pct"/>
            <w:vMerge w:val="restar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生产工艺</w:t>
            </w:r>
          </w:p>
        </w:tc>
        <w:tc>
          <w:tcPr>
            <w:tcW w:w="250"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工艺</w:t>
            </w:r>
          </w:p>
        </w:tc>
        <w:tc>
          <w:tcPr>
            <w:tcW w:w="1001"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混胶-涂胶-烘烤-复合-收卷-分切-包装</w:t>
            </w:r>
          </w:p>
        </w:tc>
        <w:tc>
          <w:tcPr>
            <w:tcW w:w="1022"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混胶-涂胶-烘烤-复合-收卷-分切-包装</w:t>
            </w:r>
          </w:p>
        </w:tc>
        <w:tc>
          <w:tcPr>
            <w:tcW w:w="1706" w:type="pct"/>
            <w:vMerge w:val="restar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新增产品品种或生产工艺（含主要生产装置、设备及配套设施）、主要原辅材料、燃料变化，导致以下情形之一：新增排放污染物种类的（毒性、挥发性降低的除外）；位于环境质量不达标区的建设项目相应污染物排放量增加的；废水第一类污染物排放量增加的；其他污染物排放量增加10%及以上的；物料运输、装卸、贮存方式变化，导致大气污染物无组织排放量增加10%及以上的；物料运输、装卸、贮存方式变化，导致大气污染物无组织排放量增加10%及以上的</w:t>
            </w:r>
          </w:p>
        </w:tc>
        <w:tc>
          <w:tcPr>
            <w:tcW w:w="583" w:type="pct"/>
            <w:vMerge w:val="restart"/>
            <w:shd w:val="clear" w:color="auto" w:fill="auto"/>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不属于</w:t>
            </w:r>
            <w:r>
              <w:rPr>
                <w:rFonts w:hint="eastAsia" w:cs="Times New Roman"/>
                <w:color w:val="auto"/>
                <w:sz w:val="21"/>
                <w:szCs w:val="21"/>
                <w:lang w:eastAsia="zh-CN"/>
              </w:rPr>
              <w:t>（</w:t>
            </w:r>
            <w:r>
              <w:rPr>
                <w:rFonts w:hint="eastAsia" w:cs="Times New Roman"/>
                <w:color w:val="auto"/>
                <w:sz w:val="21"/>
                <w:szCs w:val="21"/>
                <w:lang w:val="en-US" w:eastAsia="zh-CN"/>
              </w:rPr>
              <w:t>本次为阶段验收，生产工艺未变动，设备在环评设计范围内</w:t>
            </w:r>
            <w:r>
              <w:rPr>
                <w:rFonts w:hint="eastAsia" w:cs="Times New Roman"/>
                <w:color w:val="auto"/>
                <w:sz w:val="21"/>
                <w:szCs w:val="21"/>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436"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c>
          <w:tcPr>
            <w:tcW w:w="250"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设备</w:t>
            </w:r>
          </w:p>
        </w:tc>
        <w:tc>
          <w:tcPr>
            <w:tcW w:w="1001"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混胶罐</w:t>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rPr>
              <w:t>9</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涂胶机</w:t>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rPr>
              <w:t>9</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烘烤机</w:t>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rPr>
              <w:t>9</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导热油炉</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3</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精密分切机</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15</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旋转式RTO废气处理装置</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2</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空压机</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1</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风机</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10</w:t>
            </w:r>
          </w:p>
        </w:tc>
        <w:tc>
          <w:tcPr>
            <w:tcW w:w="1022" w:type="pct"/>
            <w:shd w:val="clear" w:color="auto" w:fill="auto"/>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混胶罐</w:t>
            </w:r>
            <w:r>
              <w:rPr>
                <w:rFonts w:hint="default" w:ascii="Times New Roman" w:hAnsi="Times New Roman" w:eastAsia="宋体" w:cs="Times New Roman"/>
                <w:color w:val="auto"/>
                <w:sz w:val="21"/>
                <w:szCs w:val="21"/>
              </w:rPr>
              <w:tab/>
            </w:r>
            <w:r>
              <w:rPr>
                <w:rFonts w:hint="eastAsia" w:ascii="Times New Roman" w:hAnsi="Times New Roman" w:eastAsia="宋体" w:cs="Times New Roman"/>
                <w:color w:val="auto"/>
                <w:sz w:val="21"/>
                <w:szCs w:val="21"/>
                <w:lang w:val="en-US" w:eastAsia="zh-CN"/>
              </w:rPr>
              <w:t>2</w:t>
            </w:r>
          </w:p>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涂胶机</w:t>
            </w:r>
            <w:r>
              <w:rPr>
                <w:rFonts w:hint="default" w:ascii="Times New Roman" w:hAnsi="Times New Roman" w:eastAsia="宋体" w:cs="Times New Roman"/>
                <w:color w:val="auto"/>
                <w:sz w:val="21"/>
                <w:szCs w:val="21"/>
              </w:rPr>
              <w:tab/>
            </w:r>
            <w:r>
              <w:rPr>
                <w:rFonts w:hint="eastAsia" w:ascii="Times New Roman" w:hAnsi="Times New Roman" w:eastAsia="宋体" w:cs="Times New Roman"/>
                <w:color w:val="auto"/>
                <w:sz w:val="21"/>
                <w:szCs w:val="21"/>
                <w:lang w:val="en-US" w:eastAsia="zh-CN"/>
              </w:rPr>
              <w:t>2</w:t>
            </w:r>
          </w:p>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烘烤机</w:t>
            </w:r>
            <w:r>
              <w:rPr>
                <w:rFonts w:hint="default" w:ascii="Times New Roman" w:hAnsi="Times New Roman" w:eastAsia="宋体" w:cs="Times New Roman"/>
                <w:color w:val="auto"/>
                <w:sz w:val="21"/>
                <w:szCs w:val="21"/>
              </w:rPr>
              <w:tab/>
            </w:r>
            <w:r>
              <w:rPr>
                <w:rFonts w:hint="eastAsia" w:ascii="Times New Roman" w:hAnsi="Times New Roman" w:eastAsia="宋体" w:cs="Times New Roman"/>
                <w:color w:val="auto"/>
                <w:sz w:val="21"/>
                <w:szCs w:val="21"/>
                <w:lang w:val="en-US" w:eastAsia="zh-CN"/>
              </w:rPr>
              <w:t>2</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导热油炉</w:t>
            </w:r>
            <w:r>
              <w:rPr>
                <w:rFonts w:hint="eastAsia" w:ascii="Times New Roman" w:hAnsi="Times New Roman" w:eastAsia="宋体" w:cs="Times New Roman"/>
                <w:color w:val="auto"/>
                <w:sz w:val="21"/>
                <w:szCs w:val="21"/>
                <w:lang w:val="en-US" w:eastAsia="zh-CN"/>
              </w:rPr>
              <w:t xml:space="preserve"> 1</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精密分切机</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5</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旋转式RTO废气处理装置</w:t>
            </w:r>
            <w:r>
              <w:rPr>
                <w:rFonts w:hint="eastAsia" w:ascii="Times New Roman" w:hAnsi="Times New Roman" w:eastAsia="宋体" w:cs="Times New Roman"/>
                <w:color w:val="auto"/>
                <w:sz w:val="21"/>
                <w:szCs w:val="21"/>
                <w:lang w:val="en-US" w:eastAsia="zh-CN"/>
              </w:rPr>
              <w:t xml:space="preserve"> 1</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空压机</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1</w:t>
            </w:r>
          </w:p>
          <w:p>
            <w:pPr>
              <w:adjustRightInd w:val="0"/>
              <w:snapToGrid w:val="0"/>
              <w:spacing w:line="240" w:lineRule="auto"/>
              <w:ind w:firstLine="0" w:firstLineChars="0"/>
              <w:jc w:val="center"/>
              <w:rPr>
                <w:rFonts w:hint="default"/>
                <w:color w:val="auto"/>
                <w:sz w:val="21"/>
                <w:szCs w:val="21"/>
                <w:lang w:val="en-US"/>
              </w:rPr>
            </w:pPr>
            <w:r>
              <w:rPr>
                <w:rFonts w:hint="default" w:ascii="Times New Roman" w:hAnsi="Times New Roman" w:eastAsia="宋体" w:cs="Times New Roman"/>
                <w:color w:val="auto"/>
                <w:sz w:val="21"/>
                <w:szCs w:val="21"/>
              </w:rPr>
              <w:t>风机</w:t>
            </w:r>
            <w:r>
              <w:rPr>
                <w:rFonts w:hint="eastAsia" w:ascii="Times New Roman" w:hAnsi="Times New Roman" w:eastAsia="宋体" w:cs="Times New Roman"/>
                <w:color w:val="auto"/>
                <w:sz w:val="21"/>
                <w:szCs w:val="21"/>
                <w:lang w:val="en-US" w:eastAsia="zh-CN"/>
              </w:rPr>
              <w:t xml:space="preserve"> 2</w:t>
            </w:r>
          </w:p>
        </w:tc>
        <w:tc>
          <w:tcPr>
            <w:tcW w:w="1706"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c>
          <w:tcPr>
            <w:tcW w:w="583"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436" w:type="pct"/>
            <w:vMerge w:val="restar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环境保护措施</w:t>
            </w:r>
          </w:p>
        </w:tc>
        <w:tc>
          <w:tcPr>
            <w:tcW w:w="250"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1001" w:type="pct"/>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①1#~3#生产线混胶、涂胶、烘烤废气</w:t>
            </w:r>
            <w:r>
              <w:rPr>
                <w:rFonts w:hint="default" w:ascii="Times New Roman" w:hAnsi="Times New Roman" w:eastAsia="宋体" w:cs="Times New Roman"/>
                <w:color w:val="auto"/>
                <w:sz w:val="21"/>
                <w:szCs w:val="21"/>
                <w:lang w:val="en-US" w:eastAsia="zh-CN"/>
              </w:rPr>
              <w:t>经旋转式RTO装置处理后通过1根25米排气筒（DA001）排放；</w:t>
            </w:r>
          </w:p>
          <w:p>
            <w:pPr>
              <w:pStyle w:val="11"/>
              <w:keepNext w:val="0"/>
              <w:keepLines w:val="0"/>
              <w:pageBreakBefore w:val="0"/>
              <w:widowControl w:val="0"/>
              <w:kinsoku/>
              <w:wordWrap/>
              <w:overflowPunct/>
              <w:topLinePunct w:val="0"/>
              <w:autoSpaceDE w:val="0"/>
              <w:autoSpaceDN w:val="0"/>
              <w:bidi w:val="0"/>
              <w:snapToGrid w:val="0"/>
              <w:spacing w:line="240" w:lineRule="auto"/>
              <w:ind w:left="0" w:leftChars="0" w:firstLine="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②</w:t>
            </w:r>
            <w:r>
              <w:rPr>
                <w:rFonts w:hint="default"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9</w:t>
            </w:r>
            <w:r>
              <w:rPr>
                <w:rFonts w:hint="default" w:ascii="Times New Roman" w:hAnsi="Times New Roman" w:eastAsia="宋体" w:cs="Times New Roman"/>
                <w:color w:val="auto"/>
                <w:sz w:val="21"/>
                <w:szCs w:val="21"/>
              </w:rPr>
              <w:t>#生产线混胶、涂胶、烘烤废气</w:t>
            </w:r>
            <w:r>
              <w:rPr>
                <w:rFonts w:hint="default" w:ascii="Times New Roman" w:hAnsi="Times New Roman" w:eastAsia="宋体" w:cs="Times New Roman"/>
                <w:color w:val="auto"/>
                <w:sz w:val="21"/>
                <w:szCs w:val="21"/>
                <w:lang w:val="en-US" w:eastAsia="zh-CN"/>
              </w:rPr>
              <w:t>经旋转式RTO装置处理后通过1根25米排气筒（DA002）排放；</w:t>
            </w:r>
          </w:p>
          <w:p>
            <w:pPr>
              <w:pStyle w:val="11"/>
              <w:keepNext w:val="0"/>
              <w:keepLines w:val="0"/>
              <w:pageBreakBefore w:val="0"/>
              <w:widowControl w:val="0"/>
              <w:kinsoku/>
              <w:wordWrap/>
              <w:overflowPunct/>
              <w:topLinePunct w:val="0"/>
              <w:autoSpaceDE w:val="0"/>
              <w:autoSpaceDN w:val="0"/>
              <w:bidi w:val="0"/>
              <w:snapToGrid w:val="0"/>
              <w:spacing w:line="240" w:lineRule="auto"/>
              <w:ind w:left="0" w:leftChars="0" w:firstLine="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③1#~3#生产线天然气燃烧废气</w:t>
            </w:r>
            <w:r>
              <w:rPr>
                <w:rFonts w:hint="eastAsia" w:cs="Times New Roman"/>
                <w:color w:val="auto"/>
                <w:sz w:val="21"/>
                <w:szCs w:val="21"/>
                <w:lang w:val="en-US" w:eastAsia="zh-CN"/>
              </w:rPr>
              <w:t>由</w:t>
            </w:r>
            <w:r>
              <w:rPr>
                <w:rFonts w:hint="default" w:ascii="Times New Roman" w:hAnsi="Times New Roman" w:eastAsia="宋体" w:cs="Times New Roman"/>
                <w:color w:val="auto"/>
                <w:sz w:val="21"/>
                <w:szCs w:val="21"/>
                <w:lang w:val="en-US" w:eastAsia="zh-CN"/>
              </w:rPr>
              <w:t>1根25米排气筒（DA003）排放；</w:t>
            </w:r>
          </w:p>
          <w:p>
            <w:pPr>
              <w:pStyle w:val="12"/>
              <w:keepNext w:val="0"/>
              <w:keepLines w:val="0"/>
              <w:pageBreakBefore w:val="0"/>
              <w:widowControl w:val="0"/>
              <w:numPr>
                <w:ilvl w:val="0"/>
                <w:numId w:val="0"/>
              </w:numPr>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④</w:t>
            </w:r>
            <w:r>
              <w:rPr>
                <w:rFonts w:hint="default"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9</w:t>
            </w:r>
            <w:r>
              <w:rPr>
                <w:rFonts w:hint="default" w:ascii="Times New Roman" w:hAnsi="Times New Roman" w:eastAsia="宋体" w:cs="Times New Roman"/>
                <w:color w:val="auto"/>
                <w:sz w:val="21"/>
                <w:szCs w:val="21"/>
              </w:rPr>
              <w:t>#生产线天然气燃烧废气</w:t>
            </w:r>
            <w:r>
              <w:rPr>
                <w:rFonts w:hint="default" w:ascii="Times New Roman" w:hAnsi="Times New Roman" w:eastAsia="宋体" w:cs="Times New Roman"/>
                <w:color w:val="auto"/>
                <w:sz w:val="21"/>
                <w:szCs w:val="21"/>
                <w:lang w:val="en-US" w:eastAsia="zh-CN"/>
              </w:rPr>
              <w:t>由1根25米排气筒（DA004）排放</w:t>
            </w:r>
          </w:p>
        </w:tc>
        <w:tc>
          <w:tcPr>
            <w:tcW w:w="1022" w:type="pct"/>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rPr>
              <w:t>①1#~</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#生产线混胶、涂胶、烘烤废气</w:t>
            </w:r>
            <w:r>
              <w:rPr>
                <w:rFonts w:hint="default" w:ascii="Times New Roman" w:hAnsi="Times New Roman" w:eastAsia="宋体" w:cs="Times New Roman"/>
                <w:color w:val="auto"/>
                <w:sz w:val="21"/>
                <w:szCs w:val="21"/>
                <w:lang w:val="en-US" w:eastAsia="zh-CN"/>
              </w:rPr>
              <w:t>经旋转式RTO装置处理后通过1根25米排气</w:t>
            </w:r>
            <w:r>
              <w:rPr>
                <w:rFonts w:hint="default" w:ascii="Times New Roman" w:hAnsi="Times New Roman" w:eastAsia="宋体" w:cs="Times New Roman"/>
                <w:color w:val="auto"/>
                <w:sz w:val="21"/>
                <w:szCs w:val="21"/>
                <w:highlight w:val="none"/>
                <w:lang w:val="en-US" w:eastAsia="zh-CN"/>
              </w:rPr>
              <w:t>筒（DA001）排放；</w:t>
            </w:r>
          </w:p>
          <w:p>
            <w:pPr>
              <w:pStyle w:val="11"/>
              <w:keepNext w:val="0"/>
              <w:keepLines w:val="0"/>
              <w:pageBreakBefore w:val="0"/>
              <w:widowControl w:val="0"/>
              <w:kinsoku/>
              <w:wordWrap/>
              <w:overflowPunct/>
              <w:topLinePunct w:val="0"/>
              <w:autoSpaceDE w:val="0"/>
              <w:autoSpaceDN w:val="0"/>
              <w:bidi w:val="0"/>
              <w:snapToGrid w:val="0"/>
              <w:spacing w:line="240" w:lineRule="auto"/>
              <w:ind w:left="0" w:leftChars="0" w:firstLine="0" w:firstLineChars="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②1#~</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#生产线天然气燃烧废气</w:t>
            </w:r>
            <w:r>
              <w:rPr>
                <w:rFonts w:hint="default" w:ascii="Times New Roman" w:hAnsi="Times New Roman" w:eastAsia="宋体" w:cs="Times New Roman"/>
                <w:color w:val="auto"/>
                <w:sz w:val="21"/>
                <w:szCs w:val="21"/>
                <w:highlight w:val="none"/>
                <w:lang w:val="en-US" w:eastAsia="zh-CN"/>
              </w:rPr>
              <w:t>由1根</w:t>
            </w:r>
            <w:r>
              <w:rPr>
                <w:rFonts w:hint="eastAsia" w:ascii="Times New Roman" w:hAnsi="Times New Roman" w:eastAsia="宋体" w:cs="Times New Roman"/>
                <w:color w:val="auto"/>
                <w:sz w:val="21"/>
                <w:szCs w:val="21"/>
                <w:highlight w:val="none"/>
                <w:lang w:val="en-US" w:eastAsia="zh-CN"/>
              </w:rPr>
              <w:t>15</w:t>
            </w:r>
            <w:r>
              <w:rPr>
                <w:rFonts w:hint="default" w:ascii="Times New Roman" w:hAnsi="Times New Roman" w:eastAsia="宋体" w:cs="Times New Roman"/>
                <w:color w:val="auto"/>
                <w:sz w:val="21"/>
                <w:szCs w:val="21"/>
                <w:highlight w:val="none"/>
                <w:lang w:val="en-US" w:eastAsia="zh-CN"/>
              </w:rPr>
              <w:t>米排气筒（DA00</w:t>
            </w:r>
            <w:r>
              <w:rPr>
                <w:rFonts w:hint="eastAsia"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）排放</w:t>
            </w:r>
          </w:p>
          <w:p>
            <w:pPr>
              <w:adjustRightInd w:val="0"/>
              <w:snapToGrid w:val="0"/>
              <w:spacing w:line="240" w:lineRule="auto"/>
              <w:ind w:firstLine="0" w:firstLineChars="0"/>
              <w:jc w:val="both"/>
              <w:rPr>
                <w:rFonts w:hint="default" w:ascii="Times New Roman" w:hAnsi="Times New Roman" w:eastAsia="宋体" w:cs="Times New Roman"/>
                <w:color w:val="auto"/>
                <w:sz w:val="21"/>
                <w:szCs w:val="21"/>
              </w:rPr>
            </w:pPr>
          </w:p>
        </w:tc>
        <w:tc>
          <w:tcPr>
            <w:tcW w:w="1706" w:type="pct"/>
            <w:vMerge w:val="restar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废气、废水污染防治措施变化，导致第6条中所列情形之一（废气无组织排放改为有组织排放、污染防治措施强化或改进的除外）或大气污染物无组织排放量增加10%级以上的；</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第6条：①新增排放污染物种类的（毒性、挥发性降低的除外）②位于环境质量不达标区的建设项目相应污染物排放量增加的③废水第一类污染物排放量增加的④其他污染物排放量增加10%及以上的；新增废气主要排放口（废气无组织排放改为有组织排放的除外）；主要排放口排气筒高度降低10%及以上的</w:t>
            </w:r>
          </w:p>
        </w:tc>
        <w:tc>
          <w:tcPr>
            <w:tcW w:w="583" w:type="pct"/>
            <w:vMerge w:val="restart"/>
            <w:shd w:val="clear" w:color="auto" w:fill="auto"/>
            <w:vAlign w:val="center"/>
          </w:tcPr>
          <w:p>
            <w:pPr>
              <w:pStyle w:val="11"/>
              <w:keepNext w:val="0"/>
              <w:keepLines w:val="0"/>
              <w:pageBreakBefore w:val="0"/>
              <w:widowControl w:val="0"/>
              <w:kinsoku/>
              <w:wordWrap/>
              <w:overflowPunct/>
              <w:topLinePunct w:val="0"/>
              <w:autoSpaceDE w:val="0"/>
              <w:autoSpaceDN w:val="0"/>
              <w:bidi w:val="0"/>
              <w:snapToGrid w:val="0"/>
              <w:spacing w:line="240" w:lineRule="auto"/>
              <w:ind w:left="0" w:leftChars="0" w:firstLine="0" w:firstLineChars="0"/>
              <w:jc w:val="both"/>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不属于</w:t>
            </w:r>
            <w:r>
              <w:rPr>
                <w:rFonts w:hint="eastAsia" w:cs="Times New Roman"/>
                <w:color w:val="auto"/>
                <w:sz w:val="21"/>
                <w:szCs w:val="21"/>
                <w:lang w:eastAsia="zh-CN"/>
              </w:rPr>
              <w:t>（</w:t>
            </w:r>
            <w:r>
              <w:rPr>
                <w:rFonts w:hint="eastAsia" w:cs="Times New Roman"/>
                <w:color w:val="auto"/>
                <w:sz w:val="21"/>
                <w:szCs w:val="21"/>
                <w:lang w:val="en-US" w:eastAsia="zh-CN"/>
              </w:rPr>
              <w:t>本次为阶段验收，仅</w:t>
            </w:r>
            <w:r>
              <w:rPr>
                <w:rFonts w:hint="eastAsia" w:cs="Times New Roman"/>
                <w:color w:val="auto"/>
                <w:sz w:val="21"/>
                <w:szCs w:val="21"/>
                <w:highlight w:val="none"/>
                <w:lang w:val="en-US" w:eastAsia="zh-CN"/>
              </w:rPr>
              <w:t>导热油炉排气筒由25米降低为15米，</w:t>
            </w:r>
            <w:r>
              <w:rPr>
                <w:rFonts w:hint="eastAsia" w:ascii="Times New Roman" w:hAnsi="Times New Roman" w:eastAsia="宋体" w:cs="Times New Roman"/>
                <w:color w:val="auto"/>
                <w:sz w:val="21"/>
                <w:szCs w:val="21"/>
                <w:highlight w:val="none"/>
                <w:lang w:val="en-US" w:eastAsia="zh-CN"/>
              </w:rPr>
              <w:t>本项目</w:t>
            </w:r>
            <w:r>
              <w:rPr>
                <w:rFonts w:hint="eastAsia" w:cs="Times New Roman"/>
                <w:color w:val="auto"/>
                <w:sz w:val="21"/>
                <w:szCs w:val="21"/>
                <w:highlight w:val="none"/>
                <w:lang w:val="en-US" w:eastAsia="zh-CN"/>
              </w:rPr>
              <w:t>导热油炉</w:t>
            </w:r>
            <w:r>
              <w:rPr>
                <w:rFonts w:hint="eastAsia" w:ascii="Times New Roman" w:hAnsi="Times New Roman" w:eastAsia="宋体" w:cs="Times New Roman"/>
                <w:color w:val="auto"/>
                <w:sz w:val="21"/>
                <w:szCs w:val="21"/>
                <w:highlight w:val="none"/>
                <w:lang w:val="en-US" w:eastAsia="zh-CN"/>
              </w:rPr>
              <w:t>排气筒为一般排放口，排气筒降低不属于重大变动</w:t>
            </w:r>
            <w:r>
              <w:rPr>
                <w:rFonts w:hint="eastAsia" w:cs="Times New Roman"/>
                <w:color w:val="auto"/>
                <w:sz w:val="21"/>
                <w:szCs w:val="21"/>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436"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c>
          <w:tcPr>
            <w:tcW w:w="250"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w:t>
            </w:r>
          </w:p>
        </w:tc>
        <w:tc>
          <w:tcPr>
            <w:tcW w:w="1001"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olor w:val="auto"/>
                <w:sz w:val="21"/>
                <w:szCs w:val="21"/>
              </w:rPr>
              <w:t>生活污水</w:t>
            </w:r>
            <w:r>
              <w:rPr>
                <w:rFonts w:hint="eastAsia" w:ascii="Times New Roman" w:hAnsi="Times New Roman"/>
                <w:color w:val="auto"/>
                <w:sz w:val="21"/>
                <w:szCs w:val="21"/>
                <w:lang w:val="en-US" w:eastAsia="zh-CN"/>
              </w:rPr>
              <w:t>经化粪池预处理后</w:t>
            </w:r>
            <w:r>
              <w:rPr>
                <w:rFonts w:hint="eastAsia" w:ascii="Times New Roman" w:hAnsi="Times New Roman" w:eastAsia="宋体"/>
                <w:color w:val="auto"/>
                <w:sz w:val="21"/>
                <w:szCs w:val="21"/>
              </w:rPr>
              <w:t>接管至金坛区第二污水处理厂集中处理</w:t>
            </w:r>
          </w:p>
        </w:tc>
        <w:tc>
          <w:tcPr>
            <w:tcW w:w="1022"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与环评及批复一致，不发生变化</w:t>
            </w:r>
          </w:p>
        </w:tc>
        <w:tc>
          <w:tcPr>
            <w:tcW w:w="1706"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c>
          <w:tcPr>
            <w:tcW w:w="583"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c>
          <w:tcPr>
            <w:tcW w:w="250"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固废</w:t>
            </w:r>
          </w:p>
        </w:tc>
        <w:tc>
          <w:tcPr>
            <w:tcW w:w="1001"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新建一座</w:t>
            </w:r>
            <w:r>
              <w:rPr>
                <w:rFonts w:hint="eastAsia" w:cs="Times New Roman"/>
                <w:color w:val="auto"/>
                <w:sz w:val="21"/>
                <w:szCs w:val="21"/>
                <w:lang w:val="en-US" w:eastAsia="zh-CN"/>
              </w:rPr>
              <w:t>30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color w:val="auto"/>
                <w:sz w:val="21"/>
                <w:szCs w:val="21"/>
              </w:rPr>
              <w:t>一般固废库，1座</w:t>
            </w:r>
            <w:r>
              <w:rPr>
                <w:rFonts w:hint="eastAsia" w:cs="Times New Roman"/>
                <w:color w:val="auto"/>
                <w:sz w:val="21"/>
                <w:szCs w:val="21"/>
                <w:lang w:val="en-US" w:eastAsia="zh-CN"/>
              </w:rPr>
              <w:t>50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color w:val="auto"/>
                <w:sz w:val="21"/>
                <w:szCs w:val="21"/>
              </w:rPr>
              <w:t>危废仓库</w:t>
            </w:r>
          </w:p>
        </w:tc>
        <w:tc>
          <w:tcPr>
            <w:tcW w:w="1022" w:type="pct"/>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与环评及批复文件保持一致</w:t>
            </w:r>
          </w:p>
        </w:tc>
        <w:tc>
          <w:tcPr>
            <w:tcW w:w="1706"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c>
          <w:tcPr>
            <w:tcW w:w="583" w:type="pct"/>
            <w:vMerge w:val="continue"/>
            <w:shd w:val="clear" w:color="auto" w:fill="auto"/>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r>
    </w:tbl>
    <w:p>
      <w:pPr>
        <w:pStyle w:val="29"/>
        <w:spacing w:before="196"/>
        <w:rPr>
          <w:rFonts w:hint="default" w:ascii="Times New Roman" w:hAnsi="Times New Roman" w:eastAsia="宋体" w:cs="Times New Roman"/>
          <w:color w:val="FF0000"/>
        </w:rPr>
      </w:pPr>
    </w:p>
    <w:p>
      <w:pPr>
        <w:rPr>
          <w:rFonts w:hint="default" w:ascii="Times New Roman" w:hAnsi="Times New Roman" w:eastAsia="宋体" w:cs="Times New Roman"/>
          <w:color w:val="FF0000"/>
        </w:rPr>
        <w:sectPr>
          <w:pgSz w:w="16838" w:h="11906" w:orient="landscape"/>
          <w:pgMar w:top="1440" w:right="1440" w:bottom="1440" w:left="1440" w:header="851" w:footer="992" w:gutter="0"/>
          <w:pgBorders>
            <w:top w:val="none" w:sz="0" w:space="0"/>
            <w:left w:val="none" w:sz="0" w:space="0"/>
            <w:bottom w:val="none" w:sz="0" w:space="0"/>
            <w:right w:val="none" w:sz="0" w:space="0"/>
          </w:pgBorders>
          <w:cols w:space="0" w:num="1"/>
          <w:docGrid w:type="lines" w:linePitch="392" w:charSpace="0"/>
        </w:sectPr>
      </w:pPr>
    </w:p>
    <w:p>
      <w:pPr>
        <w:pStyle w:val="3"/>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21" w:name="_Toc8073"/>
      <w:r>
        <w:rPr>
          <w:rFonts w:hint="default" w:ascii="Times New Roman" w:hAnsi="Times New Roman" w:eastAsia="宋体" w:cs="Times New Roman"/>
          <w:color w:val="auto"/>
        </w:rPr>
        <w:t>4 环境保护设施</w:t>
      </w:r>
      <w:bookmarkEnd w:id="21"/>
    </w:p>
    <w:p>
      <w:pPr>
        <w:pStyle w:val="4"/>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22" w:name="_Toc20756"/>
      <w:r>
        <w:rPr>
          <w:rFonts w:hint="default" w:ascii="Times New Roman" w:hAnsi="Times New Roman" w:eastAsia="宋体" w:cs="Times New Roman"/>
          <w:color w:val="auto"/>
        </w:rPr>
        <w:t>4.1 污染物治理处置设施</w:t>
      </w:r>
      <w:bookmarkEnd w:id="22"/>
    </w:p>
    <w:p>
      <w:pPr>
        <w:pStyle w:val="2"/>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4.1.1 废水</w:t>
      </w:r>
    </w:p>
    <w:p>
      <w:pPr>
        <w:pStyle w:val="5"/>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4.1.1.1 废水产生情况</w:t>
      </w:r>
    </w:p>
    <w:p>
      <w:pPr>
        <w:pageBreakBefore w:val="0"/>
        <w:widowControl w:val="0"/>
        <w:kinsoku/>
        <w:wordWrap/>
        <w:overflowPunct/>
        <w:topLinePunct w:val="0"/>
        <w:autoSpaceDE w:val="0"/>
        <w:autoSpaceDN w:val="0"/>
        <w:bidi w:val="0"/>
        <w:adjustRightInd/>
        <w:snapToGrid/>
        <w:spacing w:line="360" w:lineRule="auto"/>
        <w:jc w:val="both"/>
        <w:textAlignment w:val="auto"/>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本项目产生的废水仅为生活污水。</w:t>
      </w:r>
      <w:r>
        <w:rPr>
          <w:rFonts w:hint="default" w:ascii="Times New Roman" w:hAnsi="Times New Roman" w:eastAsia="宋体" w:cs="Times New Roman"/>
          <w:color w:val="auto"/>
          <w:sz w:val="21"/>
          <w:szCs w:val="21"/>
        </w:rPr>
        <w:t>生活污水主要污染</w:t>
      </w:r>
      <w:r>
        <w:rPr>
          <w:rFonts w:hint="default" w:ascii="Times New Roman" w:hAnsi="Times New Roman" w:eastAsia="宋体" w:cs="Times New Roman"/>
          <w:color w:val="auto"/>
          <w:sz w:val="21"/>
          <w:szCs w:val="21"/>
          <w:lang w:val="en-US" w:eastAsia="zh-CN"/>
        </w:rPr>
        <w:t>物为COD、SS、氨氮、总磷</w:t>
      </w:r>
      <w:r>
        <w:rPr>
          <w:rFonts w:hint="eastAsia" w:ascii="Times New Roman" w:hAnsi="Times New Roman" w:eastAsia="宋体" w:cs="Times New Roman"/>
          <w:color w:val="auto"/>
          <w:sz w:val="21"/>
          <w:szCs w:val="21"/>
          <w:lang w:val="en-US" w:eastAsia="zh-CN"/>
        </w:rPr>
        <w:t>、总氮</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经化粪池预处理后接管至金坛区第二污水处理厂集中处理。</w:t>
      </w:r>
    </w:p>
    <w:p>
      <w:pPr>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验收项目废水产生及处置情况见表4-1。</w:t>
      </w:r>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表4-1  验收项目废水产生及处置情况表</w:t>
      </w:r>
    </w:p>
    <w:tbl>
      <w:tblPr>
        <w:tblStyle w:val="24"/>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autofit"/>
        <w:tblCellMar>
          <w:top w:w="0" w:type="dxa"/>
          <w:left w:w="108" w:type="dxa"/>
          <w:bottom w:w="0" w:type="dxa"/>
          <w:right w:w="108" w:type="dxa"/>
        </w:tblCellMar>
      </w:tblPr>
      <w:tblGrid>
        <w:gridCol w:w="744"/>
        <w:gridCol w:w="723"/>
        <w:gridCol w:w="1326"/>
        <w:gridCol w:w="684"/>
        <w:gridCol w:w="988"/>
        <w:gridCol w:w="1051"/>
        <w:gridCol w:w="736"/>
        <w:gridCol w:w="888"/>
        <w:gridCol w:w="862"/>
        <w:gridCol w:w="1238"/>
      </w:tblGrid>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cantSplit/>
          <w:trHeight w:val="340" w:hRule="atLeast"/>
          <w:jc w:val="center"/>
        </w:trPr>
        <w:tc>
          <w:tcPr>
            <w:tcW w:w="402"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废水类别</w:t>
            </w:r>
          </w:p>
        </w:tc>
        <w:tc>
          <w:tcPr>
            <w:tcW w:w="391"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废水来源</w:t>
            </w:r>
          </w:p>
        </w:tc>
        <w:tc>
          <w:tcPr>
            <w:tcW w:w="717"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污染物种类</w:t>
            </w:r>
          </w:p>
        </w:tc>
        <w:tc>
          <w:tcPr>
            <w:tcW w:w="370"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排放规律</w:t>
            </w:r>
          </w:p>
        </w:tc>
        <w:tc>
          <w:tcPr>
            <w:tcW w:w="534"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排放量</w:t>
            </w:r>
          </w:p>
        </w:tc>
        <w:tc>
          <w:tcPr>
            <w:tcW w:w="568"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治理设施</w:t>
            </w:r>
          </w:p>
        </w:tc>
        <w:tc>
          <w:tcPr>
            <w:tcW w:w="398"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治理工艺</w:t>
            </w:r>
          </w:p>
        </w:tc>
        <w:tc>
          <w:tcPr>
            <w:tcW w:w="480"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处理能力</w:t>
            </w:r>
          </w:p>
        </w:tc>
        <w:tc>
          <w:tcPr>
            <w:tcW w:w="466"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废水回用量</w:t>
            </w:r>
          </w:p>
        </w:tc>
        <w:tc>
          <w:tcPr>
            <w:tcW w:w="669"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排放去向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cantSplit/>
          <w:trHeight w:val="340" w:hRule="atLeast"/>
          <w:jc w:val="center"/>
        </w:trPr>
        <w:tc>
          <w:tcPr>
            <w:tcW w:w="402"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391"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717"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370"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534"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568"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398"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480"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466"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c>
          <w:tcPr>
            <w:tcW w:w="669" w:type="pct"/>
            <w:vMerge w:val="continue"/>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cantSplit/>
          <w:trHeight w:val="660" w:hRule="atLeast"/>
          <w:jc w:val="center"/>
        </w:trPr>
        <w:tc>
          <w:tcPr>
            <w:tcW w:w="402" w:type="pc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生活污水</w:t>
            </w:r>
          </w:p>
        </w:tc>
        <w:tc>
          <w:tcPr>
            <w:tcW w:w="391" w:type="pc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员工生活</w:t>
            </w:r>
          </w:p>
        </w:tc>
        <w:tc>
          <w:tcPr>
            <w:tcW w:w="717" w:type="pc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COD、SS、NH3-N、TP、TN</w:t>
            </w:r>
          </w:p>
        </w:tc>
        <w:tc>
          <w:tcPr>
            <w:tcW w:w="370" w:type="pc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连续排放</w:t>
            </w:r>
          </w:p>
        </w:tc>
        <w:tc>
          <w:tcPr>
            <w:tcW w:w="534" w:type="pc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300m</w:t>
            </w:r>
            <w:r>
              <w:rPr>
                <w:rFonts w:hint="eastAsia" w:ascii="Times New Roman" w:hAnsi="Times New Roman" w:eastAsia="宋体" w:cs="Times New Roman"/>
                <w:color w:val="auto"/>
                <w:sz w:val="21"/>
                <w:szCs w:val="21"/>
                <w:vertAlign w:val="superscript"/>
                <w:lang w:val="en-US" w:eastAsia="zh-CN"/>
              </w:rPr>
              <w:t>3</w:t>
            </w:r>
            <w:r>
              <w:rPr>
                <w:rFonts w:hint="eastAsia" w:ascii="Times New Roman" w:hAnsi="Times New Roman" w:eastAsia="宋体" w:cs="Times New Roman"/>
                <w:color w:val="auto"/>
                <w:sz w:val="21"/>
                <w:szCs w:val="21"/>
                <w:lang w:val="en-US" w:eastAsia="zh-CN"/>
              </w:rPr>
              <w:t>/d</w:t>
            </w:r>
          </w:p>
        </w:tc>
        <w:tc>
          <w:tcPr>
            <w:tcW w:w="568" w:type="pc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化粪池（依托现有）</w:t>
            </w:r>
          </w:p>
        </w:tc>
        <w:tc>
          <w:tcPr>
            <w:tcW w:w="398"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c>
          <w:tcPr>
            <w:tcW w:w="480"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10m</w:t>
            </w:r>
            <w:r>
              <w:rPr>
                <w:rFonts w:hint="eastAsia" w:ascii="Times New Roman" w:hAnsi="Times New Roman" w:eastAsia="宋体" w:cs="Times New Roman"/>
                <w:color w:val="auto"/>
                <w:sz w:val="21"/>
                <w:szCs w:val="21"/>
                <w:vertAlign w:val="superscript"/>
                <w:lang w:val="en-US" w:eastAsia="zh-CN"/>
              </w:rPr>
              <w:t>3</w:t>
            </w:r>
            <w:r>
              <w:rPr>
                <w:rFonts w:hint="eastAsia" w:ascii="Times New Roman" w:hAnsi="Times New Roman" w:eastAsia="宋体" w:cs="Times New Roman"/>
                <w:color w:val="auto"/>
                <w:sz w:val="21"/>
                <w:szCs w:val="21"/>
                <w:lang w:val="en-US" w:eastAsia="zh-CN"/>
              </w:rPr>
              <w:t>/d</w:t>
            </w:r>
          </w:p>
        </w:tc>
        <w:tc>
          <w:tcPr>
            <w:tcW w:w="466" w:type="pc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0</w:t>
            </w:r>
          </w:p>
        </w:tc>
        <w:tc>
          <w:tcPr>
            <w:tcW w:w="669" w:type="pc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接管金坛区第二污水处理厂</w:t>
            </w:r>
          </w:p>
        </w:tc>
      </w:tr>
    </w:tbl>
    <w:p>
      <w:pPr>
        <w:pStyle w:val="5"/>
        <w:keepNext/>
        <w:keepLines/>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4.1.1.2 废水收集情况</w:t>
      </w:r>
    </w:p>
    <w:p>
      <w:pPr>
        <w:pageBreakBefore w:val="0"/>
        <w:widowControl w:val="0"/>
        <w:kinsoku/>
        <w:wordWrap/>
        <w:overflowPunct/>
        <w:topLinePunct w:val="0"/>
        <w:autoSpaceDE w:val="0"/>
        <w:autoSpaceDN w:val="0"/>
        <w:bidi w:val="0"/>
        <w:adjustRightInd/>
        <w:snapToGrid/>
        <w:spacing w:line="360" w:lineRule="auto"/>
        <w:textAlignment w:val="auto"/>
        <w:rPr>
          <w:rFonts w:hint="default"/>
          <w:color w:val="auto"/>
          <w:sz w:val="21"/>
          <w:szCs w:val="21"/>
        </w:rPr>
      </w:pPr>
      <w:r>
        <w:rPr>
          <w:rFonts w:hint="default" w:ascii="Times New Roman" w:hAnsi="Times New Roman" w:eastAsia="宋体" w:cs="Times New Roman"/>
          <w:color w:val="auto"/>
          <w:sz w:val="21"/>
          <w:szCs w:val="21"/>
        </w:rPr>
        <w:t>验收项目</w:t>
      </w:r>
      <w:r>
        <w:rPr>
          <w:rFonts w:hint="eastAsia" w:ascii="Times New Roman" w:hAnsi="Times New Roman" w:eastAsia="宋体"/>
          <w:color w:val="auto"/>
          <w:sz w:val="21"/>
          <w:szCs w:val="21"/>
        </w:rPr>
        <w:t>实行雨污分流。雨水经雨水管网收集后排入市政雨水管网；</w:t>
      </w:r>
      <w:r>
        <w:rPr>
          <w:rFonts w:hint="eastAsia" w:ascii="Times New Roman" w:hAnsi="Times New Roman" w:eastAsia="宋体"/>
          <w:color w:val="auto"/>
          <w:sz w:val="21"/>
          <w:szCs w:val="21"/>
          <w:lang w:val="en-US" w:eastAsia="zh-CN"/>
        </w:rPr>
        <w:t>污水进入污水管网接入市政污水管网，</w:t>
      </w:r>
      <w:r>
        <w:rPr>
          <w:rFonts w:hint="eastAsia" w:ascii="Times New Roman" w:hAnsi="Times New Roman" w:eastAsia="宋体" w:cs="Times New Roman"/>
          <w:color w:val="auto"/>
          <w:sz w:val="21"/>
          <w:szCs w:val="21"/>
          <w:lang w:val="en-US" w:eastAsia="zh-CN"/>
        </w:rPr>
        <w:t>经化粪池预处理后接管至金坛区第二污水处理厂集中处理。</w:t>
      </w:r>
    </w:p>
    <w:p>
      <w:pPr>
        <w:pStyle w:val="2"/>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4.1.2 废气</w:t>
      </w:r>
    </w:p>
    <w:p>
      <w:pPr>
        <w:pStyle w:val="5"/>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4.1.2.1 废气产生情况</w:t>
      </w:r>
    </w:p>
    <w:p>
      <w:pPr>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验收项目废气主要有组织废气和无组织废气，其中有组织废气主要为混胶、涂胶、烘烤</w:t>
      </w:r>
      <w:r>
        <w:rPr>
          <w:rFonts w:hint="default" w:ascii="Times New Roman" w:hAnsi="Times New Roman" w:eastAsia="宋体" w:cs="Times New Roman"/>
          <w:color w:val="auto"/>
          <w:sz w:val="21"/>
          <w:szCs w:val="21"/>
          <w:lang w:val="en-US" w:eastAsia="zh-CN"/>
        </w:rPr>
        <w:t>工序产生的有机废气</w:t>
      </w:r>
      <w:r>
        <w:rPr>
          <w:rFonts w:hint="default" w:ascii="Times New Roman" w:hAnsi="Times New Roman" w:eastAsia="宋体" w:cs="Times New Roman"/>
          <w:b w:val="0"/>
          <w:bCs/>
          <w:color w:val="auto"/>
          <w:kern w:val="0"/>
          <w:sz w:val="21"/>
          <w:szCs w:val="21"/>
          <w:lang w:val="en-US" w:eastAsia="zh-CN"/>
        </w:rPr>
        <w:t>（含乙酸乙酯、甲苯、甲醇、</w:t>
      </w:r>
      <w:r>
        <w:rPr>
          <w:rFonts w:hint="default" w:ascii="Times New Roman" w:hAnsi="Times New Roman" w:eastAsia="宋体" w:cs="Times New Roman"/>
          <w:b w:val="0"/>
          <w:bCs/>
          <w:color w:val="auto"/>
          <w:sz w:val="21"/>
          <w:szCs w:val="21"/>
          <w:lang w:val="en-US" w:eastAsia="zh-CN"/>
        </w:rPr>
        <w:t>非甲烷总烃）以及导热油炉燃烧废气</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无组织废气为</w:t>
      </w:r>
      <w:r>
        <w:rPr>
          <w:rFonts w:hint="default" w:ascii="Times New Roman" w:hAnsi="Times New Roman" w:eastAsia="宋体" w:cs="Times New Roman"/>
          <w:color w:val="auto"/>
          <w:sz w:val="21"/>
          <w:szCs w:val="21"/>
        </w:rPr>
        <w:t>混胶、涂胶、烘烤</w:t>
      </w:r>
      <w:r>
        <w:rPr>
          <w:rFonts w:hint="default" w:ascii="Times New Roman" w:hAnsi="Times New Roman" w:eastAsia="宋体" w:cs="Times New Roman"/>
          <w:color w:val="auto"/>
          <w:sz w:val="21"/>
          <w:szCs w:val="21"/>
          <w:lang w:val="en-US" w:eastAsia="zh-CN"/>
        </w:rPr>
        <w:t>工序未被收集的有机废气（</w:t>
      </w:r>
      <w:r>
        <w:rPr>
          <w:rFonts w:hint="default" w:ascii="Times New Roman" w:hAnsi="Times New Roman" w:eastAsia="宋体" w:cs="Times New Roman"/>
          <w:b w:val="0"/>
          <w:bCs/>
          <w:color w:val="auto"/>
          <w:kern w:val="0"/>
          <w:sz w:val="21"/>
          <w:szCs w:val="21"/>
          <w:lang w:val="en-US" w:eastAsia="zh-CN"/>
        </w:rPr>
        <w:t>含乙酸乙酯、甲苯、甲醇、</w:t>
      </w:r>
      <w:r>
        <w:rPr>
          <w:rFonts w:hint="default" w:ascii="Times New Roman" w:hAnsi="Times New Roman" w:eastAsia="宋体" w:cs="Times New Roman"/>
          <w:b w:val="0"/>
          <w:bCs/>
          <w:color w:val="auto"/>
          <w:sz w:val="21"/>
          <w:szCs w:val="21"/>
          <w:lang w:val="en-US" w:eastAsia="zh-CN"/>
        </w:rPr>
        <w:t>非甲烷总烃</w:t>
      </w:r>
      <w:r>
        <w:rPr>
          <w:rFonts w:hint="default" w:ascii="Times New Roman" w:hAnsi="Times New Roman" w:eastAsia="宋体" w:cs="Times New Roman"/>
          <w:color w:val="auto"/>
          <w:sz w:val="21"/>
          <w:szCs w:val="21"/>
          <w:lang w:val="en-US" w:eastAsia="zh-CN"/>
        </w:rPr>
        <w:t>）。</w:t>
      </w:r>
    </w:p>
    <w:p>
      <w:pPr>
        <w:pageBreakBefore w:val="0"/>
        <w:widowControl w:val="0"/>
        <w:kinsoku/>
        <w:wordWrap/>
        <w:overflowPunct/>
        <w:topLinePunct w:val="0"/>
        <w:autoSpaceDE w:val="0"/>
        <w:autoSpaceDN w:val="0"/>
        <w:bidi w:val="0"/>
        <w:adjustRightInd/>
        <w:snapToGrid/>
        <w:spacing w:line="360" w:lineRule="auto"/>
        <w:ind w:left="0" w:leftChars="0" w:firstLine="422" w:firstLineChars="200"/>
        <w:jc w:val="both"/>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（1）混胶、涂胶、烘烤废气</w:t>
      </w:r>
    </w:p>
    <w:p>
      <w:pPr>
        <w:pageBreakBefore w:val="0"/>
        <w:widowControl w:val="0"/>
        <w:kinsoku/>
        <w:wordWrap/>
        <w:overflowPunct/>
        <w:topLinePunct w:val="0"/>
        <w:autoSpaceDE w:val="0"/>
        <w:autoSpaceDN w:val="0"/>
        <w:bidi w:val="0"/>
        <w:adjustRightInd/>
        <w:snapToGrid/>
        <w:spacing w:line="360" w:lineRule="auto"/>
        <w:ind w:firstLine="562"/>
        <w:jc w:val="both"/>
        <w:textAlignment w:val="auto"/>
        <w:rPr>
          <w:rFonts w:hint="default" w:ascii="Times New Roman" w:hAnsi="Times New Roman" w:eastAsia="宋体" w:cs="Times New Roman"/>
          <w:b/>
          <w:bCs/>
          <w:color w:val="auto"/>
          <w:sz w:val="21"/>
          <w:szCs w:val="21"/>
        </w:rPr>
      </w:pPr>
      <w:r>
        <w:rPr>
          <w:color w:val="auto"/>
          <w:sz w:val="21"/>
          <w:szCs w:val="21"/>
        </w:rPr>
        <w:t>项目在混胶、涂胶、烘烤工段使用了胶黏剂，胶黏剂中主要溶剂成分包括甲苯、乙酸乙酯、甲醇，溶剂在混胶、涂胶和烘烤工段全部挥发。</w:t>
      </w:r>
    </w:p>
    <w:p>
      <w:pPr>
        <w:pageBreakBefore w:val="0"/>
        <w:widowControl w:val="0"/>
        <w:kinsoku/>
        <w:wordWrap/>
        <w:overflowPunct/>
        <w:topLinePunct w:val="0"/>
        <w:autoSpaceDE w:val="0"/>
        <w:autoSpaceDN w:val="0"/>
        <w:bidi w:val="0"/>
        <w:adjustRightInd/>
        <w:snapToGrid/>
        <w:spacing w:line="360" w:lineRule="auto"/>
        <w:ind w:left="0" w:leftChars="0" w:firstLine="422" w:firstLineChars="200"/>
        <w:jc w:val="both"/>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（2）</w:t>
      </w:r>
      <w:r>
        <w:rPr>
          <w:rFonts w:hint="default" w:ascii="Times New Roman" w:hAnsi="Times New Roman" w:eastAsia="宋体" w:cs="Times New Roman"/>
          <w:b/>
          <w:bCs/>
          <w:color w:val="auto"/>
          <w:sz w:val="21"/>
          <w:szCs w:val="21"/>
          <w:lang w:val="en-US" w:eastAsia="zh-CN"/>
        </w:rPr>
        <w:t>导热油炉燃烧废气</w:t>
      </w:r>
    </w:p>
    <w:p>
      <w:pPr>
        <w:pageBreakBefore w:val="0"/>
        <w:widowControl w:val="0"/>
        <w:kinsoku/>
        <w:wordWrap/>
        <w:overflowPunct/>
        <w:topLinePunct w:val="0"/>
        <w:autoSpaceDE w:val="0"/>
        <w:autoSpaceDN w:val="0"/>
        <w:bidi w:val="0"/>
        <w:adjustRightInd/>
        <w:snapToGrid/>
        <w:spacing w:line="360" w:lineRule="auto"/>
        <w:ind w:firstLine="562"/>
        <w:jc w:val="both"/>
        <w:textAlignment w:val="auto"/>
        <w:rPr>
          <w:rFonts w:hint="default" w:ascii="Times New Roman" w:hAnsi="Times New Roman" w:eastAsia="宋体" w:cs="Times New Roman"/>
          <w:b/>
          <w:bCs/>
          <w:color w:val="auto"/>
          <w:sz w:val="21"/>
          <w:szCs w:val="21"/>
          <w:lang w:val="en-US" w:eastAsia="zh-CN"/>
        </w:rPr>
      </w:pPr>
      <w:r>
        <w:rPr>
          <w:color w:val="auto"/>
          <w:sz w:val="21"/>
          <w:szCs w:val="21"/>
        </w:rPr>
        <w:t>烘烤工段及旋转式RTO燃烧使用</w:t>
      </w:r>
      <w:r>
        <w:rPr>
          <w:rFonts w:hint="eastAsia"/>
          <w:color w:val="auto"/>
          <w:sz w:val="21"/>
          <w:szCs w:val="21"/>
          <w:lang w:val="en-US" w:eastAsia="zh-CN"/>
        </w:rPr>
        <w:t>天然气燃烧供热，项目采用低氮燃烧技术，天然气燃烧工程中会产生天然气燃烧废气（烟尘、SO</w:t>
      </w:r>
      <w:r>
        <w:rPr>
          <w:rFonts w:hint="eastAsia"/>
          <w:color w:val="auto"/>
          <w:sz w:val="21"/>
          <w:szCs w:val="21"/>
          <w:vertAlign w:val="subscript"/>
          <w:lang w:val="en-US" w:eastAsia="zh-CN"/>
        </w:rPr>
        <w:t>2</w:t>
      </w:r>
      <w:r>
        <w:rPr>
          <w:rFonts w:hint="eastAsia"/>
          <w:color w:val="auto"/>
          <w:sz w:val="21"/>
          <w:szCs w:val="21"/>
          <w:lang w:val="en-US" w:eastAsia="zh-CN"/>
        </w:rPr>
        <w:t>、NO</w:t>
      </w:r>
      <w:r>
        <w:rPr>
          <w:rFonts w:hint="eastAsia"/>
          <w:color w:val="auto"/>
          <w:sz w:val="21"/>
          <w:szCs w:val="21"/>
          <w:vertAlign w:val="subscript"/>
          <w:lang w:val="en-US" w:eastAsia="zh-CN"/>
        </w:rPr>
        <w:t>X</w:t>
      </w:r>
      <w:r>
        <w:rPr>
          <w:rFonts w:hint="eastAsia"/>
          <w:color w:val="auto"/>
          <w:sz w:val="21"/>
          <w:szCs w:val="21"/>
          <w:lang w:val="en-US" w:eastAsia="zh-CN"/>
        </w:rPr>
        <w:t>）。</w:t>
      </w:r>
    </w:p>
    <w:p>
      <w:pPr>
        <w:pageBreakBefore w:val="0"/>
        <w:widowControl w:val="0"/>
        <w:kinsoku/>
        <w:wordWrap/>
        <w:overflowPunct/>
        <w:topLinePunct w:val="0"/>
        <w:autoSpaceDE w:val="0"/>
        <w:autoSpaceDN w:val="0"/>
        <w:bidi w:val="0"/>
        <w:adjustRightInd/>
        <w:snapToGrid/>
        <w:spacing w:line="360" w:lineRule="auto"/>
        <w:ind w:firstLine="562"/>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w:t>
      </w:r>
      <w:r>
        <w:rPr>
          <w:rFonts w:hint="eastAsia" w:cs="Times New Roman"/>
          <w:b/>
          <w:bCs/>
          <w:color w:val="auto"/>
          <w:sz w:val="21"/>
          <w:szCs w:val="21"/>
          <w:lang w:val="en-US" w:eastAsia="zh-CN"/>
        </w:rPr>
        <w:t>3</w:t>
      </w:r>
      <w:r>
        <w:rPr>
          <w:rFonts w:hint="default" w:ascii="Times New Roman" w:hAnsi="Times New Roman" w:eastAsia="宋体" w:cs="Times New Roman"/>
          <w:b/>
          <w:bCs/>
          <w:color w:val="auto"/>
          <w:sz w:val="21"/>
          <w:szCs w:val="21"/>
        </w:rPr>
        <w:t>）未经收集废气</w:t>
      </w:r>
    </w:p>
    <w:p>
      <w:pPr>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混胶、涂胶、烘烤</w:t>
      </w:r>
      <w:r>
        <w:rPr>
          <w:rFonts w:hint="eastAsia" w:ascii="Times New Roman" w:hAnsi="Times New Roman" w:eastAsia="宋体" w:cs="Times New Roman"/>
          <w:color w:val="auto"/>
          <w:sz w:val="21"/>
          <w:szCs w:val="21"/>
          <w:lang w:val="en-US" w:eastAsia="zh-CN"/>
        </w:rPr>
        <w:t>工序</w:t>
      </w:r>
      <w:r>
        <w:rPr>
          <w:rFonts w:hint="default" w:ascii="Times New Roman" w:hAnsi="Times New Roman" w:eastAsia="宋体" w:cs="Times New Roman"/>
          <w:color w:val="auto"/>
          <w:sz w:val="21"/>
          <w:szCs w:val="21"/>
        </w:rPr>
        <w:t>未经收集废气于车间无组织排放。</w:t>
      </w:r>
    </w:p>
    <w:p>
      <w:pPr>
        <w:pStyle w:val="5"/>
        <w:keepNext/>
        <w:keepLines/>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4.1.2.2 废气收集情况</w:t>
      </w:r>
    </w:p>
    <w:p>
      <w:pPr>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本项目废气收集收集方式见表4-</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w:t>
      </w:r>
    </w:p>
    <w:p>
      <w:pPr>
        <w:pageBreakBefore w:val="0"/>
        <w:widowControl w:val="0"/>
        <w:kinsoku/>
        <w:wordWrap/>
        <w:overflowPunct/>
        <w:topLinePunct w:val="0"/>
        <w:autoSpaceDE w:val="0"/>
        <w:autoSpaceDN w:val="0"/>
        <w:bidi w:val="0"/>
        <w:adjustRightInd/>
        <w:snapToGrid/>
        <w:spacing w:line="240" w:lineRule="auto"/>
        <w:ind w:firstLine="562"/>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表4-</w:t>
      </w:r>
      <w:r>
        <w:rPr>
          <w:rFonts w:hint="eastAsia" w:cs="Times New Roman"/>
          <w:b/>
          <w:bCs/>
          <w:color w:val="auto"/>
          <w:sz w:val="21"/>
          <w:szCs w:val="21"/>
          <w:lang w:val="en-US" w:eastAsia="zh-CN"/>
        </w:rPr>
        <w:t>2</w:t>
      </w:r>
      <w:r>
        <w:rPr>
          <w:rFonts w:hint="default" w:ascii="Times New Roman" w:hAnsi="Times New Roman" w:eastAsia="宋体" w:cs="Times New Roman"/>
          <w:b/>
          <w:bCs/>
          <w:color w:val="auto"/>
          <w:sz w:val="21"/>
          <w:szCs w:val="21"/>
        </w:rPr>
        <w:t xml:space="preserve">  本项目废气收集方式一览表</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715"/>
        <w:gridCol w:w="1143"/>
        <w:gridCol w:w="1690"/>
        <w:gridCol w:w="1608"/>
        <w:gridCol w:w="2610"/>
        <w:gridCol w:w="130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tblHeader/>
          <w:jc w:val="center"/>
        </w:trPr>
        <w:tc>
          <w:tcPr>
            <w:tcW w:w="394"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bidi="ar"/>
              </w:rPr>
              <w:t>序号</w:t>
            </w:r>
          </w:p>
        </w:tc>
        <w:tc>
          <w:tcPr>
            <w:tcW w:w="1561" w:type="pct"/>
            <w:gridSpan w:val="2"/>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bidi="ar"/>
              </w:rPr>
              <w:t>生产车间</w:t>
            </w:r>
          </w:p>
        </w:tc>
        <w:tc>
          <w:tcPr>
            <w:tcW w:w="886"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bidi="ar"/>
              </w:rPr>
              <w:t>产污环节</w:t>
            </w:r>
          </w:p>
        </w:tc>
        <w:tc>
          <w:tcPr>
            <w:tcW w:w="1438"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bidi="ar"/>
              </w:rPr>
              <w:t>废气收集处理方式</w:t>
            </w:r>
          </w:p>
        </w:tc>
        <w:tc>
          <w:tcPr>
            <w:tcW w:w="719" w:type="pct"/>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bidi="ar"/>
              </w:rPr>
              <w:t>收集效率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94"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630"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1#车间</w:t>
            </w:r>
          </w:p>
        </w:tc>
        <w:tc>
          <w:tcPr>
            <w:tcW w:w="931"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生产线</w:t>
            </w:r>
          </w:p>
        </w:tc>
        <w:tc>
          <w:tcPr>
            <w:tcW w:w="886"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混胶、涂胶、烘烤</w:t>
            </w:r>
            <w:r>
              <w:rPr>
                <w:rFonts w:hint="eastAsia" w:ascii="Times New Roman" w:hAnsi="Times New Roman" w:eastAsia="宋体" w:cs="Times New Roman"/>
                <w:color w:val="auto"/>
                <w:sz w:val="21"/>
                <w:szCs w:val="21"/>
                <w:lang w:val="en-US" w:eastAsia="zh-CN"/>
              </w:rPr>
              <w:t>工序</w:t>
            </w:r>
          </w:p>
        </w:tc>
        <w:tc>
          <w:tcPr>
            <w:tcW w:w="1438"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color w:val="auto"/>
                <w:sz w:val="21"/>
                <w:szCs w:val="21"/>
              </w:rPr>
              <w:t>负压密闭收集</w:t>
            </w:r>
            <w:r>
              <w:rPr>
                <w:rFonts w:hint="eastAsia"/>
                <w:color w:val="auto"/>
                <w:sz w:val="21"/>
                <w:szCs w:val="21"/>
                <w:lang w:val="en-US" w:eastAsia="zh-CN"/>
              </w:rPr>
              <w:t>/</w:t>
            </w:r>
            <w:r>
              <w:rPr>
                <w:color w:val="auto"/>
                <w:sz w:val="21"/>
                <w:szCs w:val="21"/>
              </w:rPr>
              <w:t>烘道密闭</w:t>
            </w:r>
            <w:r>
              <w:rPr>
                <w:rFonts w:hint="default" w:ascii="Times New Roman" w:hAnsi="Times New Roman" w:eastAsia="宋体" w:cs="Times New Roman"/>
                <w:color w:val="auto"/>
                <w:sz w:val="21"/>
                <w:szCs w:val="21"/>
                <w:lang w:bidi="ar"/>
              </w:rPr>
              <w:t>+</w:t>
            </w:r>
            <w:r>
              <w:rPr>
                <w:rFonts w:ascii="Times New Roman" w:hAnsi="Times New Roman"/>
                <w:color w:val="auto"/>
                <w:sz w:val="21"/>
                <w:szCs w:val="21"/>
              </w:rPr>
              <w:t>旋转式RTO</w:t>
            </w:r>
            <w:r>
              <w:rPr>
                <w:rFonts w:hint="eastAsia" w:ascii="Times New Roman" w:hAnsi="Times New Roman"/>
                <w:color w:val="auto"/>
                <w:sz w:val="21"/>
                <w:szCs w:val="21"/>
                <w:lang w:val="en-US" w:eastAsia="zh-CN"/>
              </w:rPr>
              <w:t>装置</w:t>
            </w:r>
          </w:p>
        </w:tc>
        <w:tc>
          <w:tcPr>
            <w:tcW w:w="719"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99</w:t>
            </w:r>
            <w:r>
              <w:rPr>
                <w:rFonts w:hint="eastAsia" w:cs="Times New Roman"/>
                <w:color w:val="auto"/>
                <w:sz w:val="21"/>
                <w:szCs w:val="21"/>
                <w:lang w:val="en-US" w:eastAsia="zh-CN" w:bidi="ar"/>
              </w:rPr>
              <w:t>.5</w:t>
            </w:r>
            <w:r>
              <w:rPr>
                <w:rFonts w:hint="default" w:ascii="Times New Roman" w:hAnsi="Times New Roman" w:eastAsia="宋体" w:cs="Times New Roman"/>
                <w:color w:val="auto"/>
                <w:sz w:val="21"/>
                <w:szCs w:val="21"/>
                <w:lang w:bidi="ar"/>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94"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2</w:t>
            </w:r>
          </w:p>
        </w:tc>
        <w:tc>
          <w:tcPr>
            <w:tcW w:w="630"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bidi="ar"/>
              </w:rPr>
            </w:pPr>
            <w:r>
              <w:rPr>
                <w:rFonts w:hint="eastAsia" w:cs="Times New Roman"/>
                <w:color w:val="auto"/>
                <w:sz w:val="21"/>
                <w:szCs w:val="21"/>
                <w:lang w:val="en-US" w:eastAsia="zh-CN"/>
              </w:rPr>
              <w:t>1#车间</w:t>
            </w:r>
          </w:p>
        </w:tc>
        <w:tc>
          <w:tcPr>
            <w:tcW w:w="931"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导热油炉房</w:t>
            </w:r>
          </w:p>
        </w:tc>
        <w:tc>
          <w:tcPr>
            <w:tcW w:w="886"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天然气燃烧</w:t>
            </w:r>
          </w:p>
        </w:tc>
        <w:tc>
          <w:tcPr>
            <w:tcW w:w="1438" w:type="pct"/>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w:t>
            </w:r>
          </w:p>
        </w:tc>
        <w:tc>
          <w:tcPr>
            <w:tcW w:w="719" w:type="pc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bidi="ar"/>
              </w:rPr>
            </w:pPr>
            <w:r>
              <w:rPr>
                <w:rFonts w:hint="eastAsia" w:cs="Times New Roman"/>
                <w:color w:val="auto"/>
                <w:sz w:val="21"/>
                <w:szCs w:val="21"/>
                <w:lang w:val="en-US" w:eastAsia="zh-CN" w:bidi="ar"/>
              </w:rPr>
              <w:t>100%</w:t>
            </w:r>
          </w:p>
        </w:tc>
      </w:tr>
    </w:tbl>
    <w:p>
      <w:pPr>
        <w:pStyle w:val="5"/>
        <w:keepNext/>
        <w:keepLines/>
        <w:pageBreakBefore w:val="0"/>
        <w:widowControl w:val="0"/>
        <w:kinsoku/>
        <w:wordWrap/>
        <w:overflowPunct/>
        <w:topLinePunct w:val="0"/>
        <w:autoSpaceDE w:val="0"/>
        <w:autoSpaceDN w:val="0"/>
        <w:bidi w:val="0"/>
        <w:adjustRightInd/>
        <w:snapToGrid/>
        <w:spacing w:before="157" w:beforeLines="5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4.1.2.3 废气处理情况</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验收项目共涉及</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根排气筒，分别为DA001、DA00</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。验收项目废气处理工艺为：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left"/>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①</w:t>
      </w:r>
      <w:bookmarkStart w:id="23" w:name="_Hlk118879029"/>
      <w:r>
        <w:rPr>
          <w:rFonts w:hint="default" w:ascii="Times New Roman" w:hAnsi="Times New Roman" w:eastAsia="宋体" w:cs="Times New Roman"/>
          <w:color w:val="auto"/>
          <w:sz w:val="21"/>
          <w:szCs w:val="21"/>
        </w:rPr>
        <w:t>混胶、涂胶废气采用密闭收集；烘烤废气管道密闭收集。</w:t>
      </w:r>
      <w:r>
        <w:rPr>
          <w:color w:val="auto"/>
          <w:sz w:val="21"/>
          <w:szCs w:val="21"/>
        </w:rPr>
        <w:t>有机废气收集后经旋转式RTO热力燃烧装置处理后通过</w:t>
      </w:r>
      <w:r>
        <w:rPr>
          <w:rFonts w:hint="eastAsia"/>
          <w:color w:val="auto"/>
          <w:sz w:val="21"/>
          <w:szCs w:val="21"/>
          <w:lang w:val="en-US" w:eastAsia="zh-CN"/>
        </w:rPr>
        <w:t>1根</w:t>
      </w:r>
      <w:r>
        <w:rPr>
          <w:color w:val="auto"/>
          <w:sz w:val="21"/>
          <w:szCs w:val="21"/>
        </w:rPr>
        <w:t>25米高排气筒</w:t>
      </w:r>
      <w:r>
        <w:rPr>
          <w:rFonts w:hint="eastAsia"/>
          <w:color w:val="auto"/>
          <w:sz w:val="21"/>
          <w:szCs w:val="21"/>
          <w:lang w:eastAsia="zh-CN"/>
        </w:rPr>
        <w:t>（</w:t>
      </w:r>
      <w:r>
        <w:rPr>
          <w:rFonts w:hint="default" w:ascii="Times New Roman" w:hAnsi="Times New Roman" w:eastAsia="宋体" w:cs="Times New Roman"/>
          <w:color w:val="auto"/>
          <w:sz w:val="21"/>
          <w:szCs w:val="21"/>
        </w:rPr>
        <w:t>DA00</w:t>
      </w:r>
      <w:r>
        <w:rPr>
          <w:rFonts w:hint="eastAsia" w:ascii="Times New Roman" w:hAnsi="Times New Roman" w:cs="Times New Roman"/>
          <w:color w:val="auto"/>
          <w:sz w:val="21"/>
          <w:szCs w:val="21"/>
          <w:lang w:val="en-US" w:eastAsia="zh-CN"/>
        </w:rPr>
        <w:t>1</w:t>
      </w:r>
      <w:r>
        <w:rPr>
          <w:rFonts w:hint="eastAsia"/>
          <w:color w:val="auto"/>
          <w:sz w:val="21"/>
          <w:szCs w:val="21"/>
          <w:lang w:eastAsia="zh-CN"/>
        </w:rPr>
        <w:t>）</w:t>
      </w:r>
      <w:r>
        <w:rPr>
          <w:color w:val="auto"/>
          <w:sz w:val="21"/>
          <w:szCs w:val="21"/>
        </w:rPr>
        <w:t>排放</w:t>
      </w:r>
      <w:r>
        <w:rPr>
          <w:rFonts w:hint="eastAsia"/>
          <w:color w:val="auto"/>
          <w:sz w:val="21"/>
          <w:szCs w:val="21"/>
          <w:lang w:eastAsia="zh-CN"/>
        </w:rPr>
        <w:t>，</w:t>
      </w:r>
      <w:r>
        <w:rPr>
          <w:rFonts w:hint="eastAsia"/>
          <w:color w:val="auto"/>
          <w:sz w:val="21"/>
          <w:szCs w:val="21"/>
          <w:lang w:val="en-US" w:eastAsia="zh-CN"/>
        </w:rPr>
        <w:t>符合环评要求。</w:t>
      </w:r>
    </w:p>
    <w:bookmarkEnd w:id="23"/>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②</w:t>
      </w:r>
      <w:r>
        <w:rPr>
          <w:rFonts w:hint="eastAsia" w:ascii="Times New Roman" w:hAnsi="Times New Roman" w:cs="Times New Roman"/>
          <w:color w:val="auto"/>
          <w:sz w:val="21"/>
          <w:szCs w:val="21"/>
          <w:lang w:val="en-US" w:eastAsia="zh-CN"/>
        </w:rPr>
        <w:t>导热油炉</w:t>
      </w:r>
      <w:r>
        <w:rPr>
          <w:rFonts w:hint="default" w:ascii="Times New Roman" w:hAnsi="Times New Roman" w:eastAsia="宋体" w:cs="Times New Roman"/>
          <w:color w:val="auto"/>
          <w:sz w:val="21"/>
          <w:szCs w:val="21"/>
        </w:rPr>
        <w:t>燃烧废气</w:t>
      </w:r>
      <w:r>
        <w:rPr>
          <w:rFonts w:hint="default" w:ascii="Times New Roman" w:hAnsi="Times New Roman" w:eastAsia="宋体" w:cs="Times New Roman"/>
          <w:color w:val="auto"/>
          <w:sz w:val="21"/>
          <w:szCs w:val="21"/>
          <w:lang w:val="en-US" w:eastAsia="zh-CN"/>
        </w:rPr>
        <w:t>经</w:t>
      </w:r>
      <w:r>
        <w:rPr>
          <w:rFonts w:hint="default" w:ascii="Times New Roman" w:hAnsi="Times New Roman" w:eastAsia="宋体" w:cs="Times New Roman"/>
          <w:color w:val="auto"/>
          <w:sz w:val="21"/>
          <w:szCs w:val="21"/>
        </w:rPr>
        <w:t>管道密闭收集</w:t>
      </w:r>
      <w:r>
        <w:rPr>
          <w:rFonts w:hint="default" w:ascii="Times New Roman" w:hAnsi="Times New Roman" w:eastAsia="宋体" w:cs="Times New Roman"/>
          <w:color w:val="auto"/>
          <w:sz w:val="21"/>
          <w:szCs w:val="21"/>
          <w:lang w:val="en-US" w:eastAsia="zh-CN"/>
        </w:rPr>
        <w:t>后通过</w:t>
      </w:r>
      <w:r>
        <w:rPr>
          <w:rFonts w:hint="eastAsia" w:ascii="Times New Roman" w:hAnsi="Times New Roman" w:cs="Times New Roman"/>
          <w:color w:val="auto"/>
          <w:sz w:val="21"/>
          <w:szCs w:val="21"/>
          <w:lang w:val="en-US" w:eastAsia="zh-CN"/>
        </w:rPr>
        <w:t>1</w:t>
      </w:r>
      <w:r>
        <w:rPr>
          <w:rFonts w:hint="default" w:ascii="Times New Roman" w:hAnsi="Times New Roman" w:eastAsia="宋体" w:cs="Times New Roman"/>
          <w:color w:val="auto"/>
          <w:sz w:val="21"/>
          <w:szCs w:val="21"/>
          <w:lang w:val="en-US" w:eastAsia="zh-CN"/>
        </w:rPr>
        <w:t>根</w:t>
      </w:r>
      <w:r>
        <w:rPr>
          <w:rFonts w:hint="eastAsia" w:ascii="Times New Roman" w:hAnsi="Times New Roman" w:cs="Times New Roman"/>
          <w:color w:val="auto"/>
          <w:sz w:val="21"/>
          <w:szCs w:val="21"/>
          <w:lang w:val="en-US" w:eastAsia="zh-CN"/>
        </w:rPr>
        <w:t>15</w:t>
      </w:r>
      <w:r>
        <w:rPr>
          <w:rFonts w:hint="default" w:ascii="Times New Roman" w:hAnsi="Times New Roman" w:eastAsia="宋体" w:cs="Times New Roman"/>
          <w:color w:val="auto"/>
          <w:sz w:val="21"/>
          <w:szCs w:val="21"/>
          <w:lang w:val="en-US" w:eastAsia="zh-CN"/>
        </w:rPr>
        <w:t>米排气筒</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DA00</w:t>
      </w:r>
      <w:r>
        <w:rPr>
          <w:rFonts w:hint="eastAsia" w:ascii="Times New Roman" w:hAnsi="Times New Roman" w:cs="Times New Roman"/>
          <w:color w:val="auto"/>
          <w:sz w:val="21"/>
          <w:szCs w:val="21"/>
          <w:lang w:val="en-US" w:eastAsia="zh-CN"/>
        </w:rPr>
        <w:t>2</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排放</w:t>
      </w:r>
      <w:r>
        <w:rPr>
          <w:rFonts w:hint="eastAsia" w:ascii="Times New Roman" w:hAnsi="Times New Roman" w:eastAsia="宋体" w:cs="Times New Roman"/>
          <w:color w:val="auto"/>
          <w:sz w:val="21"/>
          <w:szCs w:val="21"/>
          <w:lang w:val="en-US"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验收项目废气主要信息见表4-</w:t>
      </w:r>
      <w:r>
        <w:rPr>
          <w:rFonts w:hint="eastAsia" w:cs="Times New Roman"/>
          <w:color w:val="auto"/>
          <w:sz w:val="21"/>
          <w:szCs w:val="21"/>
          <w:lang w:val="en-US" w:eastAsia="zh-CN"/>
        </w:rPr>
        <w:t>3</w:t>
      </w:r>
      <w:r>
        <w:rPr>
          <w:rFonts w:hint="default" w:ascii="Times New Roman" w:hAnsi="Times New Roman" w:eastAsia="宋体" w:cs="Times New Roman"/>
          <w:color w:val="auto"/>
          <w:sz w:val="21"/>
          <w:szCs w:val="21"/>
        </w:rPr>
        <w:t>，废气治理体系见图4-4。</w:t>
      </w:r>
    </w:p>
    <w:p>
      <w:pPr>
        <w:pStyle w:val="29"/>
        <w:keepNext w:val="0"/>
        <w:keepLines w:val="0"/>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表4-4  验收项目废气主要信息一览表</w:t>
      </w:r>
    </w:p>
    <w:tbl>
      <w:tblPr>
        <w:tblStyle w:val="24"/>
        <w:tblpPr w:bottomFromText="170" w:vertAnchor="text" w:tblpXSpec="center" w:tblpY="1"/>
        <w:tblOverlap w:val="never"/>
        <w:tblW w:w="9071"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995"/>
        <w:gridCol w:w="1657"/>
        <w:gridCol w:w="2630"/>
        <w:gridCol w:w="1262"/>
        <w:gridCol w:w="715"/>
        <w:gridCol w:w="851"/>
        <w:gridCol w:w="961"/>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PrEx>
        <w:trPr>
          <w:trHeight w:val="23" w:hRule="atLeast"/>
          <w:tblHeader/>
          <w:jc w:val="center"/>
        </w:trPr>
        <w:tc>
          <w:tcPr>
            <w:tcW w:w="548" w:type="pct"/>
            <w:tcBorders>
              <w:bottom w:val="single" w:color="auto" w:sz="12" w:space="0"/>
            </w:tcBorders>
            <w:shd w:val="clear" w:color="auto" w:fill="auto"/>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废气名称</w:t>
            </w:r>
          </w:p>
        </w:tc>
        <w:tc>
          <w:tcPr>
            <w:tcW w:w="913" w:type="pct"/>
            <w:tcBorders>
              <w:bottom w:val="single" w:color="auto" w:sz="12" w:space="0"/>
            </w:tcBorders>
            <w:shd w:val="clear" w:color="auto" w:fill="auto"/>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来源</w:t>
            </w:r>
          </w:p>
        </w:tc>
        <w:tc>
          <w:tcPr>
            <w:tcW w:w="1449" w:type="pct"/>
            <w:tcBorders>
              <w:bottom w:val="single" w:color="auto" w:sz="12" w:space="0"/>
            </w:tcBorders>
            <w:shd w:val="clear" w:color="auto" w:fill="auto"/>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污染物种类</w:t>
            </w:r>
          </w:p>
        </w:tc>
        <w:tc>
          <w:tcPr>
            <w:tcW w:w="695" w:type="pct"/>
            <w:tcBorders>
              <w:bottom w:val="single" w:color="auto" w:sz="12" w:space="0"/>
            </w:tcBorders>
            <w:shd w:val="clear" w:color="auto" w:fill="auto"/>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治理措施</w:t>
            </w:r>
          </w:p>
        </w:tc>
        <w:tc>
          <w:tcPr>
            <w:tcW w:w="394" w:type="pct"/>
            <w:tcBorders>
              <w:bottom w:val="single" w:color="auto" w:sz="12" w:space="0"/>
            </w:tcBorders>
            <w:shd w:val="clear" w:color="auto" w:fill="auto"/>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排气筒高度</w:t>
            </w:r>
          </w:p>
        </w:tc>
        <w:tc>
          <w:tcPr>
            <w:tcW w:w="469" w:type="pct"/>
            <w:tcBorders>
              <w:bottom w:val="single" w:color="auto" w:sz="12" w:space="0"/>
            </w:tcBorders>
            <w:shd w:val="clear" w:color="auto" w:fill="auto"/>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排放去向</w:t>
            </w:r>
          </w:p>
        </w:tc>
        <w:tc>
          <w:tcPr>
            <w:tcW w:w="529" w:type="pct"/>
            <w:tcBorders>
              <w:bottom w:val="single" w:color="auto" w:sz="12" w:space="0"/>
            </w:tcBorders>
            <w:shd w:val="clear" w:color="auto" w:fill="auto"/>
            <w:vAlign w:val="center"/>
          </w:tcPr>
          <w:p>
            <w:pPr>
              <w:pStyle w:val="28"/>
              <w:jc w:val="center"/>
              <w:rPr>
                <w:rFonts w:hint="default" w:ascii="Times New Roman" w:hAnsi="Times New Roman" w:eastAsia="宋体" w:cs="Times New Roman"/>
                <w:b/>
                <w:bCs/>
                <w:color w:val="auto"/>
                <w:sz w:val="21"/>
                <w:szCs w:val="21"/>
                <w:lang w:val="en-US" w:eastAsia="zh-CN"/>
              </w:rPr>
            </w:pPr>
            <w:r>
              <w:rPr>
                <w:rFonts w:hint="eastAsia" w:cs="Times New Roman"/>
                <w:b/>
                <w:bCs/>
                <w:color w:val="auto"/>
                <w:sz w:val="21"/>
                <w:szCs w:val="21"/>
                <w:lang w:val="en-US" w:eastAsia="zh-CN"/>
              </w:rPr>
              <w:t>开孔情况</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3" w:hRule="atLeast"/>
          <w:tblHeader/>
          <w:jc w:val="center"/>
        </w:trPr>
        <w:tc>
          <w:tcPr>
            <w:tcW w:w="548" w:type="pct"/>
            <w:tcBorders>
              <w:top w:val="single" w:color="auto" w:sz="12" w:space="0"/>
            </w:tcBorders>
            <w:shd w:val="clear" w:color="auto" w:fill="auto"/>
            <w:vAlign w:val="center"/>
          </w:tcPr>
          <w:p>
            <w:pPr>
              <w:pStyle w:val="11"/>
              <w:keepNext w:val="0"/>
              <w:keepLines w:val="0"/>
              <w:pageBreakBefore w:val="0"/>
              <w:kinsoku/>
              <w:wordWrap/>
              <w:overflowPunct/>
              <w:topLinePunct w:val="0"/>
              <w:bidi w:val="0"/>
              <w:snapToGrid w:val="0"/>
              <w:spacing w:before="0" w:after="0"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kern w:val="0"/>
                <w:sz w:val="21"/>
                <w:szCs w:val="21"/>
                <w:lang w:val="en-US" w:eastAsia="zh-CN"/>
              </w:rPr>
              <w:t>有机废气</w:t>
            </w:r>
          </w:p>
        </w:tc>
        <w:tc>
          <w:tcPr>
            <w:tcW w:w="913" w:type="pct"/>
            <w:tcBorders>
              <w:top w:val="single" w:color="auto" w:sz="12" w:space="0"/>
            </w:tcBorders>
            <w:shd w:val="clear" w:color="auto" w:fill="auto"/>
            <w:vAlign w:val="center"/>
          </w:tcPr>
          <w:p>
            <w:pPr>
              <w:pStyle w:val="11"/>
              <w:keepNext w:val="0"/>
              <w:keepLines w:val="0"/>
              <w:pageBreakBefore w:val="0"/>
              <w:widowControl/>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kern w:val="0"/>
                <w:sz w:val="21"/>
                <w:szCs w:val="21"/>
              </w:rPr>
              <w:t>混胶、涂胶、烘烤</w:t>
            </w:r>
            <w:r>
              <w:rPr>
                <w:rFonts w:hint="default" w:ascii="Times New Roman" w:hAnsi="Times New Roman" w:eastAsia="宋体" w:cs="Times New Roman"/>
                <w:b w:val="0"/>
                <w:bCs/>
                <w:color w:val="auto"/>
                <w:kern w:val="0"/>
                <w:sz w:val="21"/>
                <w:szCs w:val="21"/>
                <w:lang w:val="en-US" w:eastAsia="zh-CN"/>
              </w:rPr>
              <w:t>工序</w:t>
            </w:r>
          </w:p>
        </w:tc>
        <w:tc>
          <w:tcPr>
            <w:tcW w:w="1449" w:type="pct"/>
            <w:tcBorders>
              <w:top w:val="single" w:color="auto" w:sz="12" w:space="0"/>
            </w:tcBorders>
            <w:shd w:val="clear" w:color="auto" w:fill="auto"/>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乙酸乙酯</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甲苯</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甲醇</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非甲烷总烃(含乙酸乙酯、甲苯、甲醇)</w:t>
            </w:r>
          </w:p>
        </w:tc>
        <w:tc>
          <w:tcPr>
            <w:tcW w:w="695" w:type="pct"/>
            <w:tcBorders>
              <w:top w:val="single" w:color="auto" w:sz="12" w:space="0"/>
            </w:tcBorders>
            <w:shd w:val="clear" w:color="auto" w:fill="auto"/>
            <w:vAlign w:val="center"/>
          </w:tcPr>
          <w:p>
            <w:pPr>
              <w:pStyle w:val="28"/>
              <w:jc w:val="center"/>
              <w:rPr>
                <w:rFonts w:hint="default" w:ascii="Times New Roman" w:hAnsi="Times New Roman" w:eastAsia="宋体" w:cs="Times New Roman"/>
                <w:color w:val="auto"/>
                <w:sz w:val="21"/>
                <w:szCs w:val="21"/>
              </w:rPr>
            </w:pPr>
            <w:r>
              <w:rPr>
                <w:rFonts w:ascii="Times New Roman" w:hAnsi="Times New Roman"/>
                <w:color w:val="auto"/>
                <w:sz w:val="21"/>
                <w:szCs w:val="21"/>
              </w:rPr>
              <w:t>旋转式RTO</w:t>
            </w:r>
            <w:r>
              <w:rPr>
                <w:rFonts w:hint="eastAsia" w:ascii="Times New Roman" w:hAnsi="Times New Roman"/>
                <w:color w:val="auto"/>
                <w:sz w:val="21"/>
                <w:szCs w:val="21"/>
                <w:lang w:val="en-US" w:eastAsia="zh-CN"/>
              </w:rPr>
              <w:t>装置</w:t>
            </w:r>
          </w:p>
        </w:tc>
        <w:tc>
          <w:tcPr>
            <w:tcW w:w="394" w:type="pct"/>
            <w:tcBorders>
              <w:top w:val="single" w:color="auto" w:sz="12" w:space="0"/>
            </w:tcBorders>
            <w:shd w:val="clear" w:color="auto" w:fill="auto"/>
            <w:vAlign w:val="center"/>
          </w:tcPr>
          <w:p>
            <w:pPr>
              <w:pStyle w:val="28"/>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25m</w:t>
            </w:r>
          </w:p>
        </w:tc>
        <w:tc>
          <w:tcPr>
            <w:tcW w:w="469" w:type="pct"/>
            <w:tcBorders>
              <w:top w:val="single" w:color="auto" w:sz="12" w:space="0"/>
            </w:tcBorders>
            <w:shd w:val="clear" w:color="auto" w:fill="auto"/>
            <w:vAlign w:val="center"/>
          </w:tcPr>
          <w:p>
            <w:pPr>
              <w:pStyle w:val="28"/>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DA001</w:t>
            </w:r>
          </w:p>
        </w:tc>
        <w:tc>
          <w:tcPr>
            <w:tcW w:w="529" w:type="pct"/>
            <w:tcBorders>
              <w:top w:val="single" w:color="auto" w:sz="12" w:space="0"/>
            </w:tcBorders>
            <w:shd w:val="clear" w:color="auto" w:fill="auto"/>
            <w:vAlign w:val="center"/>
          </w:tcPr>
          <w:p>
            <w:pPr>
              <w:pStyle w:val="28"/>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已开孔</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26" w:hRule="atLeast"/>
          <w:tblHeader/>
          <w:jc w:val="center"/>
        </w:trPr>
        <w:tc>
          <w:tcPr>
            <w:tcW w:w="548" w:type="pct"/>
            <w:shd w:val="clear" w:color="auto" w:fill="auto"/>
            <w:vAlign w:val="center"/>
          </w:tcPr>
          <w:p>
            <w:pPr>
              <w:pStyle w:val="11"/>
              <w:keepNext w:val="0"/>
              <w:keepLines w:val="0"/>
              <w:pageBreakBefore w:val="0"/>
              <w:kinsoku/>
              <w:wordWrap/>
              <w:overflowPunct/>
              <w:topLinePunct w:val="0"/>
              <w:bidi w:val="0"/>
              <w:snapToGrid w:val="0"/>
              <w:spacing w:before="0" w:after="0"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olor w:val="auto"/>
                <w:sz w:val="21"/>
                <w:szCs w:val="21"/>
                <w:lang w:val="en-US" w:eastAsia="zh-CN"/>
              </w:rPr>
              <w:t>燃烧废气</w:t>
            </w:r>
          </w:p>
        </w:tc>
        <w:tc>
          <w:tcPr>
            <w:tcW w:w="913" w:type="pct"/>
            <w:shd w:val="clear" w:color="auto" w:fill="auto"/>
            <w:vAlign w:val="center"/>
          </w:tcPr>
          <w:p>
            <w:pPr>
              <w:pStyle w:val="11"/>
              <w:keepNext w:val="0"/>
              <w:keepLines w:val="0"/>
              <w:pageBreakBefore w:val="0"/>
              <w:widowControl/>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sz w:val="21"/>
                <w:szCs w:val="21"/>
                <w:lang w:val="en-US" w:eastAsia="zh-CN"/>
              </w:rPr>
              <w:t>导热油炉</w:t>
            </w:r>
          </w:p>
        </w:tc>
        <w:tc>
          <w:tcPr>
            <w:tcW w:w="1449" w:type="pct"/>
            <w:shd w:val="clear" w:color="auto" w:fill="auto"/>
            <w:vAlign w:val="center"/>
          </w:tcPr>
          <w:p>
            <w:pPr>
              <w:pStyle w:val="28"/>
              <w:jc w:val="center"/>
              <w:rPr>
                <w:rFonts w:hint="default" w:ascii="Times New Roman" w:hAnsi="Times New Roman" w:eastAsia="宋体" w:cs="Times New Roman"/>
                <w:color w:val="auto"/>
                <w:sz w:val="21"/>
                <w:szCs w:val="21"/>
              </w:rPr>
            </w:pPr>
            <w:r>
              <w:rPr>
                <w:rFonts w:hint="eastAsia"/>
                <w:color w:val="auto"/>
                <w:sz w:val="21"/>
                <w:szCs w:val="21"/>
                <w:lang w:val="en-US" w:eastAsia="zh-CN"/>
              </w:rPr>
              <w:t>颗粒物、SO</w:t>
            </w:r>
            <w:r>
              <w:rPr>
                <w:rFonts w:hint="eastAsia"/>
                <w:color w:val="auto"/>
                <w:sz w:val="21"/>
                <w:szCs w:val="21"/>
                <w:vertAlign w:val="subscript"/>
                <w:lang w:val="en-US" w:eastAsia="zh-CN"/>
              </w:rPr>
              <w:t>2</w:t>
            </w:r>
            <w:r>
              <w:rPr>
                <w:rFonts w:hint="eastAsia"/>
                <w:color w:val="auto"/>
                <w:sz w:val="21"/>
                <w:szCs w:val="21"/>
                <w:lang w:val="en-US" w:eastAsia="zh-CN"/>
              </w:rPr>
              <w:t>、NO</w:t>
            </w:r>
            <w:r>
              <w:rPr>
                <w:rFonts w:hint="eastAsia"/>
                <w:color w:val="auto"/>
                <w:sz w:val="21"/>
                <w:szCs w:val="21"/>
                <w:vertAlign w:val="subscript"/>
                <w:lang w:val="en-US" w:eastAsia="zh-CN"/>
              </w:rPr>
              <w:t>X</w:t>
            </w:r>
          </w:p>
        </w:tc>
        <w:tc>
          <w:tcPr>
            <w:tcW w:w="695" w:type="pct"/>
            <w:shd w:val="clear" w:color="auto" w:fill="auto"/>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w:t>
            </w:r>
          </w:p>
        </w:tc>
        <w:tc>
          <w:tcPr>
            <w:tcW w:w="394" w:type="pct"/>
            <w:shd w:val="clear" w:color="auto" w:fill="auto"/>
            <w:vAlign w:val="center"/>
          </w:tcPr>
          <w:p>
            <w:pPr>
              <w:pStyle w:val="28"/>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15m</w:t>
            </w:r>
          </w:p>
        </w:tc>
        <w:tc>
          <w:tcPr>
            <w:tcW w:w="469" w:type="pct"/>
            <w:shd w:val="clear" w:color="auto" w:fill="auto"/>
            <w:vAlign w:val="center"/>
          </w:tcPr>
          <w:p>
            <w:pPr>
              <w:pStyle w:val="28"/>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DA002</w:t>
            </w:r>
          </w:p>
        </w:tc>
        <w:tc>
          <w:tcPr>
            <w:tcW w:w="529" w:type="pct"/>
            <w:shd w:val="clear" w:color="auto" w:fill="auto"/>
            <w:vAlign w:val="center"/>
          </w:tcPr>
          <w:p>
            <w:pPr>
              <w:pStyle w:val="28"/>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已开孔</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3" w:hRule="atLeast"/>
          <w:tblHeader/>
          <w:jc w:val="center"/>
        </w:trPr>
        <w:tc>
          <w:tcPr>
            <w:tcW w:w="548" w:type="pct"/>
            <w:shd w:val="clear" w:color="auto" w:fill="auto"/>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kern w:val="0"/>
                <w:sz w:val="21"/>
                <w:szCs w:val="21"/>
                <w:lang w:val="en-US" w:eastAsia="zh-CN"/>
              </w:rPr>
              <w:t>有机废气</w:t>
            </w:r>
          </w:p>
        </w:tc>
        <w:tc>
          <w:tcPr>
            <w:tcW w:w="913" w:type="pct"/>
            <w:shd w:val="clear" w:color="auto" w:fill="auto"/>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kern w:val="0"/>
                <w:sz w:val="21"/>
                <w:szCs w:val="21"/>
              </w:rPr>
              <w:t>混胶、涂胶、烘烤</w:t>
            </w:r>
            <w:r>
              <w:rPr>
                <w:rFonts w:hint="default" w:ascii="Times New Roman" w:hAnsi="Times New Roman" w:eastAsia="宋体" w:cs="Times New Roman"/>
                <w:b w:val="0"/>
                <w:bCs/>
                <w:color w:val="auto"/>
                <w:kern w:val="0"/>
                <w:sz w:val="21"/>
                <w:szCs w:val="21"/>
                <w:lang w:val="en-US" w:eastAsia="zh-CN"/>
              </w:rPr>
              <w:t>工序</w:t>
            </w:r>
          </w:p>
        </w:tc>
        <w:tc>
          <w:tcPr>
            <w:tcW w:w="1449" w:type="pct"/>
            <w:shd w:val="clear" w:color="auto" w:fill="auto"/>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乙酸乙酯</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甲苯</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甲醇</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非甲烷总烃(含乙酸乙酯、甲苯、甲醇)</w:t>
            </w:r>
          </w:p>
        </w:tc>
        <w:tc>
          <w:tcPr>
            <w:tcW w:w="695" w:type="pct"/>
            <w:shd w:val="clear" w:color="auto" w:fill="auto"/>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w:t>
            </w:r>
          </w:p>
        </w:tc>
        <w:tc>
          <w:tcPr>
            <w:tcW w:w="394" w:type="pct"/>
            <w:shd w:val="clear" w:color="auto" w:fill="auto"/>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w:t>
            </w:r>
          </w:p>
        </w:tc>
        <w:tc>
          <w:tcPr>
            <w:tcW w:w="469" w:type="pct"/>
            <w:shd w:val="clear" w:color="auto" w:fill="auto"/>
            <w:vAlign w:val="center"/>
          </w:tcPr>
          <w:p>
            <w:pPr>
              <w:pStyle w:val="28"/>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周边大气</w:t>
            </w:r>
          </w:p>
        </w:tc>
        <w:tc>
          <w:tcPr>
            <w:tcW w:w="529" w:type="pct"/>
            <w:shd w:val="clear" w:color="auto" w:fill="auto"/>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w:t>
            </w:r>
          </w:p>
        </w:tc>
      </w:tr>
    </w:tbl>
    <w:p>
      <w:pPr>
        <w:rPr>
          <w:rFonts w:hint="default" w:ascii="Times New Roman" w:hAnsi="Times New Roman" w:eastAsia="宋体" w:cs="Times New Roman"/>
          <w:color w:val="FF0000"/>
        </w:rPr>
      </w:pPr>
      <w:r>
        <w:rPr>
          <w:rFonts w:hint="default" w:ascii="Times New Roman" w:hAnsi="Times New Roman" w:eastAsia="宋体" w:cs="Times New Roman"/>
          <w:color w:val="FF0000"/>
        </w:rPr>
        <w:pict>
          <v:shape id="_x0000_s2051" o:spid="_x0000_s2051" o:spt="75" type="#_x0000_t75" style="position:absolute;left:0pt;margin-left:95.95pt;margin-top:143.1pt;height:90.2pt;width:266.5pt;z-index:251661312;mso-width-relative:page;mso-height-relative:page;" o:ole="t" filled="f" o:preferrelative="t" stroked="f" coordsize="21600,21600">
            <v:path/>
            <v:fill on="f" focussize="0,0"/>
            <v:stroke on="f"/>
            <v:imagedata r:id="rId20" o:title=""/>
            <o:lock v:ext="edit" aspectratio="f"/>
          </v:shape>
          <o:OLEObject Type="Embed" ProgID="Visio.Drawing.11" ShapeID="_x0000_s2051" DrawAspect="Content" ObjectID="_1468075726" r:id="rId19">
            <o:LockedField>false</o:LockedField>
          </o:OLEObject>
        </w:pict>
      </w:r>
    </w:p>
    <w:p>
      <w:pPr>
        <w:rPr>
          <w:rFonts w:hint="default" w:ascii="Times New Roman" w:hAnsi="Times New Roman" w:eastAsia="宋体" w:cs="Times New Roman"/>
          <w:color w:val="FF0000"/>
        </w:rPr>
      </w:pPr>
    </w:p>
    <w:p>
      <w:pPr>
        <w:rPr>
          <w:rFonts w:hint="default" w:ascii="Times New Roman" w:hAnsi="Times New Roman" w:eastAsia="宋体" w:cs="Times New Roman"/>
          <w:color w:val="FF0000"/>
        </w:rPr>
      </w:pPr>
    </w:p>
    <w:p>
      <w:pPr>
        <w:rPr>
          <w:rFonts w:hint="default" w:ascii="Times New Roman" w:hAnsi="Times New Roman" w:eastAsia="宋体" w:cs="Times New Roman"/>
          <w:color w:val="FF0000"/>
        </w:rPr>
      </w:pPr>
    </w:p>
    <w:p>
      <w:pPr>
        <w:ind w:left="0" w:leftChars="0" w:firstLine="0" w:firstLineChars="0"/>
        <w:jc w:val="center"/>
        <w:rPr>
          <w:rFonts w:hint="default"/>
          <w:b/>
          <w:bCs/>
          <w:sz w:val="21"/>
          <w:szCs w:val="21"/>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b/>
          <w:bCs/>
          <w:color w:val="auto"/>
          <w:sz w:val="21"/>
          <w:szCs w:val="21"/>
        </w:rPr>
        <w:t>图4-4  验收项目废气治理体系图</w:t>
      </w:r>
    </w:p>
    <w:p>
      <w:pPr>
        <w:pStyle w:val="2"/>
        <w:pageBreakBefore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4.1.3 噪声</w:t>
      </w:r>
    </w:p>
    <w:p>
      <w:pPr>
        <w:pageBreakBefore w:val="0"/>
        <w:kinsoku/>
        <w:wordWrap/>
        <w:overflowPunct/>
        <w:topLinePunct w:val="0"/>
        <w:autoSpaceDE w:val="0"/>
        <w:autoSpaceDN w:val="0"/>
        <w:bidi w:val="0"/>
        <w:adjustRightInd/>
        <w:snapToGrid/>
        <w:spacing w:line="360" w:lineRule="auto"/>
        <w:jc w:val="left"/>
        <w:textAlignment w:val="auto"/>
        <w:rPr>
          <w:rFonts w:hint="eastAsia"/>
          <w:color w:val="auto"/>
          <w:sz w:val="21"/>
          <w:szCs w:val="21"/>
        </w:rPr>
      </w:pPr>
      <w:r>
        <w:rPr>
          <w:rFonts w:hint="default" w:ascii="Times New Roman" w:hAnsi="Times New Roman" w:eastAsia="宋体" w:cs="Times New Roman"/>
          <w:color w:val="auto"/>
          <w:sz w:val="21"/>
          <w:szCs w:val="21"/>
        </w:rPr>
        <w:t>验收项目的主要噪声源为混胶罐</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涂胶机</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烘烤机</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导热油炉</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精密分切机</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风机</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空压机等，</w:t>
      </w:r>
      <w:r>
        <w:rPr>
          <w:rFonts w:hint="eastAsia" w:ascii="Times New Roman" w:hAnsi="Times New Roman" w:eastAsia="宋体"/>
          <w:color w:val="auto"/>
          <w:sz w:val="21"/>
          <w:szCs w:val="21"/>
        </w:rPr>
        <w:t>主要</w:t>
      </w:r>
      <w:r>
        <w:rPr>
          <w:rFonts w:ascii="Times New Roman" w:hAnsi="Times New Roman" w:eastAsia="宋体"/>
          <w:color w:val="auto"/>
          <w:sz w:val="21"/>
          <w:szCs w:val="21"/>
        </w:rPr>
        <w:t>噪声源</w:t>
      </w:r>
      <w:r>
        <w:rPr>
          <w:rFonts w:hint="eastAsia" w:ascii="Times New Roman" w:hAnsi="Times New Roman" w:eastAsia="宋体"/>
          <w:color w:val="auto"/>
          <w:sz w:val="21"/>
          <w:szCs w:val="21"/>
        </w:rPr>
        <w:t>排放以及治理情况详见下表</w:t>
      </w:r>
      <w:r>
        <w:rPr>
          <w:rFonts w:ascii="Times New Roman" w:hAnsi="Times New Roman" w:eastAsia="宋体"/>
          <w:color w:val="auto"/>
          <w:sz w:val="21"/>
          <w:szCs w:val="21"/>
        </w:rPr>
        <w:t>。</w:t>
      </w:r>
    </w:p>
    <w:p>
      <w:pPr>
        <w:pStyle w:val="10"/>
        <w:pageBreakBefore w:val="0"/>
        <w:widowControl/>
        <w:kinsoku/>
        <w:wordWrap/>
        <w:overflowPunct/>
        <w:topLinePunct w:val="0"/>
        <w:autoSpaceDE w:val="0"/>
        <w:autoSpaceDN w:val="0"/>
        <w:bidi w:val="0"/>
        <w:adjustRightInd/>
        <w:snapToGrid/>
        <w:spacing w:line="240" w:lineRule="auto"/>
        <w:jc w:val="center"/>
        <w:textAlignment w:val="auto"/>
        <w:rPr>
          <w:rFonts w:hint="eastAsia" w:eastAsia="宋体"/>
          <w:b/>
          <w:bCs/>
          <w:color w:val="auto"/>
          <w:sz w:val="21"/>
          <w:szCs w:val="21"/>
          <w:lang w:val="en-US" w:eastAsia="zh-CN"/>
        </w:rPr>
      </w:pPr>
      <w:r>
        <w:rPr>
          <w:b/>
          <w:bCs/>
          <w:color w:val="auto"/>
          <w:sz w:val="21"/>
          <w:szCs w:val="21"/>
        </w:rPr>
        <w:t>表</w:t>
      </w:r>
      <w:r>
        <w:rPr>
          <w:rFonts w:hint="eastAsia"/>
          <w:b/>
          <w:bCs/>
          <w:color w:val="auto"/>
          <w:sz w:val="21"/>
          <w:szCs w:val="21"/>
          <w:lang w:val="en-US" w:eastAsia="zh-CN"/>
        </w:rPr>
        <w:t xml:space="preserve"> 4-5</w:t>
      </w:r>
      <w:r>
        <w:rPr>
          <w:b/>
          <w:bCs/>
          <w:color w:val="auto"/>
          <w:sz w:val="21"/>
          <w:szCs w:val="21"/>
        </w:rPr>
        <w:t xml:space="preserve"> </w:t>
      </w:r>
      <w:r>
        <w:rPr>
          <w:rFonts w:hint="eastAsia"/>
          <w:b/>
          <w:bCs/>
          <w:color w:val="auto"/>
          <w:sz w:val="21"/>
          <w:szCs w:val="21"/>
        </w:rPr>
        <w:t xml:space="preserve"> 噪声</w:t>
      </w:r>
      <w:r>
        <w:rPr>
          <w:b/>
          <w:bCs/>
          <w:color w:val="auto"/>
          <w:sz w:val="21"/>
          <w:szCs w:val="21"/>
        </w:rPr>
        <w:t>排放及防治措施</w:t>
      </w:r>
      <w:r>
        <w:rPr>
          <w:rFonts w:hint="eastAsia"/>
          <w:b/>
          <w:bCs/>
          <w:color w:val="auto"/>
          <w:sz w:val="21"/>
          <w:szCs w:val="21"/>
          <w:lang w:val="en-US" w:eastAsia="zh-CN"/>
        </w:rPr>
        <w:t>一览表</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886"/>
        <w:gridCol w:w="1490"/>
        <w:gridCol w:w="1485"/>
        <w:gridCol w:w="1242"/>
        <w:gridCol w:w="148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pct"/>
            <w:noWrap w:val="0"/>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噪声来源</w:t>
            </w:r>
          </w:p>
        </w:tc>
        <w:tc>
          <w:tcPr>
            <w:tcW w:w="1039" w:type="pct"/>
            <w:noWrap w:val="0"/>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源强（dB(A)）</w:t>
            </w:r>
          </w:p>
        </w:tc>
        <w:tc>
          <w:tcPr>
            <w:tcW w:w="821" w:type="pct"/>
            <w:noWrap w:val="0"/>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数量（台）</w:t>
            </w:r>
          </w:p>
        </w:tc>
        <w:tc>
          <w:tcPr>
            <w:tcW w:w="818"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位置</w:t>
            </w:r>
          </w:p>
        </w:tc>
        <w:tc>
          <w:tcPr>
            <w:tcW w:w="684" w:type="pct"/>
            <w:noWrap w:val="0"/>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运行方式</w:t>
            </w:r>
          </w:p>
        </w:tc>
        <w:tc>
          <w:tcPr>
            <w:tcW w:w="818" w:type="pct"/>
            <w:noWrap w:val="0"/>
            <w:vAlign w:val="center"/>
          </w:tcPr>
          <w:p>
            <w:pPr>
              <w:pStyle w:val="28"/>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降噪措施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混胶罐</w:t>
            </w:r>
          </w:p>
        </w:tc>
        <w:tc>
          <w:tcPr>
            <w:tcW w:w="1039"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85</w:t>
            </w:r>
          </w:p>
        </w:tc>
        <w:tc>
          <w:tcPr>
            <w:tcW w:w="82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w:t>
            </w:r>
          </w:p>
        </w:tc>
        <w:tc>
          <w:tcPr>
            <w:tcW w:w="818"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生产车间内</w:t>
            </w:r>
          </w:p>
        </w:tc>
        <w:tc>
          <w:tcPr>
            <w:tcW w:w="684"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连续运行</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隔声、减振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涂胶机</w:t>
            </w:r>
          </w:p>
        </w:tc>
        <w:tc>
          <w:tcPr>
            <w:tcW w:w="1039"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75</w:t>
            </w:r>
          </w:p>
        </w:tc>
        <w:tc>
          <w:tcPr>
            <w:tcW w:w="82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生产车间内</w:t>
            </w:r>
          </w:p>
        </w:tc>
        <w:tc>
          <w:tcPr>
            <w:tcW w:w="684"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连续运行</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隔声、减振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烘烤机</w:t>
            </w:r>
          </w:p>
        </w:tc>
        <w:tc>
          <w:tcPr>
            <w:tcW w:w="1039"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80</w:t>
            </w:r>
          </w:p>
        </w:tc>
        <w:tc>
          <w:tcPr>
            <w:tcW w:w="82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生产车间内</w:t>
            </w:r>
          </w:p>
        </w:tc>
        <w:tc>
          <w:tcPr>
            <w:tcW w:w="684"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连续运行</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隔声、减振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pct"/>
            <w:noWrap w:val="0"/>
            <w:vAlign w:val="center"/>
          </w:tcPr>
          <w:p>
            <w:pPr>
              <w:pStyle w:val="28"/>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rPr>
              <w:t>导热油炉</w:t>
            </w:r>
          </w:p>
        </w:tc>
        <w:tc>
          <w:tcPr>
            <w:tcW w:w="1039"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80</w:t>
            </w:r>
          </w:p>
        </w:tc>
        <w:tc>
          <w:tcPr>
            <w:tcW w:w="82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生产车间内</w:t>
            </w:r>
          </w:p>
        </w:tc>
        <w:tc>
          <w:tcPr>
            <w:tcW w:w="684"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连续运行</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隔声、减振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pct"/>
            <w:noWrap w:val="0"/>
            <w:vAlign w:val="center"/>
          </w:tcPr>
          <w:p>
            <w:pPr>
              <w:pStyle w:val="28"/>
              <w:jc w:val="center"/>
              <w:rPr>
                <w:rFonts w:hint="eastAsia"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精密分切机</w:t>
            </w:r>
          </w:p>
        </w:tc>
        <w:tc>
          <w:tcPr>
            <w:tcW w:w="1039" w:type="pct"/>
            <w:noWrap w:val="0"/>
            <w:vAlign w:val="center"/>
          </w:tcPr>
          <w:p>
            <w:pPr>
              <w:pStyle w:val="28"/>
              <w:jc w:val="center"/>
              <w:rPr>
                <w:rFonts w:hint="eastAsia"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85</w:t>
            </w:r>
          </w:p>
        </w:tc>
        <w:tc>
          <w:tcPr>
            <w:tcW w:w="82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5</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生产车间内</w:t>
            </w:r>
          </w:p>
        </w:tc>
        <w:tc>
          <w:tcPr>
            <w:tcW w:w="684"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连续运行</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隔声、减振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pct"/>
            <w:noWrap w:val="0"/>
            <w:vAlign w:val="center"/>
          </w:tcPr>
          <w:p>
            <w:pPr>
              <w:pStyle w:val="28"/>
              <w:jc w:val="center"/>
              <w:rPr>
                <w:rFonts w:hint="eastAsia"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风机</w:t>
            </w:r>
          </w:p>
        </w:tc>
        <w:tc>
          <w:tcPr>
            <w:tcW w:w="1039" w:type="pct"/>
            <w:noWrap w:val="0"/>
            <w:vAlign w:val="center"/>
          </w:tcPr>
          <w:p>
            <w:pPr>
              <w:pStyle w:val="28"/>
              <w:jc w:val="center"/>
              <w:rPr>
                <w:rFonts w:hint="eastAsia"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85</w:t>
            </w:r>
          </w:p>
        </w:tc>
        <w:tc>
          <w:tcPr>
            <w:tcW w:w="82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w:t>
            </w:r>
          </w:p>
        </w:tc>
        <w:tc>
          <w:tcPr>
            <w:tcW w:w="818" w:type="pct"/>
            <w:noWrap w:val="0"/>
            <w:vAlign w:val="center"/>
          </w:tcPr>
          <w:p>
            <w:pPr>
              <w:pStyle w:val="28"/>
              <w:jc w:val="center"/>
              <w:rPr>
                <w:rFonts w:hint="default" w:ascii="Times New Roman" w:hAnsi="Times New Roman" w:eastAsia="宋体" w:cs="Times New Roman"/>
                <w:color w:val="auto"/>
                <w:sz w:val="21"/>
                <w:szCs w:val="21"/>
                <w:lang w:val="en-US"/>
              </w:rPr>
            </w:pPr>
            <w:r>
              <w:rPr>
                <w:rFonts w:hint="eastAsia" w:ascii="Times New Roman" w:hAnsi="Times New Roman" w:eastAsia="宋体" w:cs="Times New Roman"/>
                <w:color w:val="auto"/>
                <w:sz w:val="21"/>
                <w:szCs w:val="21"/>
                <w:lang w:val="en-US" w:eastAsia="zh-CN"/>
              </w:rPr>
              <w:t>生产车间外</w:t>
            </w:r>
          </w:p>
        </w:tc>
        <w:tc>
          <w:tcPr>
            <w:tcW w:w="684"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连续运行</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隔声、减振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空压机</w:t>
            </w:r>
          </w:p>
        </w:tc>
        <w:tc>
          <w:tcPr>
            <w:tcW w:w="1039"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rPr>
              <w:t>85</w:t>
            </w:r>
          </w:p>
        </w:tc>
        <w:tc>
          <w:tcPr>
            <w:tcW w:w="82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生产车间外</w:t>
            </w:r>
          </w:p>
        </w:tc>
        <w:tc>
          <w:tcPr>
            <w:tcW w:w="684"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连续运行</w:t>
            </w:r>
          </w:p>
        </w:tc>
        <w:tc>
          <w:tcPr>
            <w:tcW w:w="818" w:type="pct"/>
            <w:noWrap w:val="0"/>
            <w:vAlign w:val="center"/>
          </w:tcPr>
          <w:p>
            <w:pPr>
              <w:pStyle w:val="2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隔声、减振</w:t>
            </w:r>
          </w:p>
        </w:tc>
      </w:tr>
    </w:tbl>
    <w:p>
      <w:pPr>
        <w:pStyle w:val="5"/>
        <w:keepNext/>
        <w:keepLines/>
        <w:pageBreakBefore w:val="0"/>
        <w:widowControl w:val="0"/>
        <w:kinsoku/>
        <w:wordWrap/>
        <w:overflowPunct/>
        <w:topLinePunct w:val="0"/>
        <w:autoSpaceDE w:val="0"/>
        <w:autoSpaceDN w:val="0"/>
        <w:bidi w:val="0"/>
        <w:adjustRightInd/>
        <w:snapToGrid/>
        <w:spacing w:before="0" w:beforeLines="5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4.1.4.1 固体废物产生及处置情况</w:t>
      </w:r>
    </w:p>
    <w:p>
      <w:pPr>
        <w:keepNext w:val="0"/>
        <w:keepLines w:val="0"/>
        <w:pageBreakBefore w:val="0"/>
        <w:kinsoku/>
        <w:wordWrap/>
        <w:overflowPunct/>
        <w:topLinePunct w:val="0"/>
        <w:bidi w:val="0"/>
        <w:adjustRightInd/>
        <w:snapToGrid/>
        <w:spacing w:line="360" w:lineRule="auto"/>
        <w:ind w:firstLine="420" w:firstLineChars="200"/>
        <w:jc w:val="both"/>
        <w:textAlignment w:val="auto"/>
        <w:rPr>
          <w:rFonts w:hint="eastAsia" w:ascii="Times New Roman" w:hAnsi="Times New Roman" w:eastAsia="宋体"/>
          <w:color w:val="auto"/>
          <w:sz w:val="21"/>
          <w:szCs w:val="21"/>
        </w:rPr>
      </w:pPr>
      <w:r>
        <w:rPr>
          <w:rFonts w:hint="eastAsia"/>
          <w:color w:val="auto"/>
          <w:kern w:val="2"/>
          <w:sz w:val="21"/>
          <w:szCs w:val="21"/>
          <w:lang w:val="en-US" w:eastAsia="zh-CN"/>
        </w:rPr>
        <w:t>根据调试期实际生产可知</w:t>
      </w:r>
      <w:r>
        <w:rPr>
          <w:rFonts w:hint="eastAsia" w:ascii="Times New Roman" w:hAnsi="Times New Roman" w:eastAsia="宋体"/>
          <w:color w:val="auto"/>
          <w:kern w:val="2"/>
          <w:sz w:val="21"/>
          <w:szCs w:val="21"/>
        </w:rPr>
        <w:t>，</w:t>
      </w:r>
      <w:r>
        <w:rPr>
          <w:rFonts w:hint="eastAsia" w:ascii="Times New Roman" w:hAnsi="Times New Roman" w:eastAsia="宋体"/>
          <w:color w:val="auto"/>
          <w:kern w:val="2"/>
          <w:sz w:val="21"/>
          <w:szCs w:val="21"/>
          <w:lang w:val="en-US" w:eastAsia="zh-CN"/>
        </w:rPr>
        <w:t>本次验收</w:t>
      </w:r>
      <w:r>
        <w:rPr>
          <w:rFonts w:hint="eastAsia" w:ascii="Times New Roman" w:hAnsi="Times New Roman" w:eastAsia="宋体"/>
          <w:color w:val="auto"/>
          <w:kern w:val="2"/>
          <w:sz w:val="21"/>
          <w:szCs w:val="21"/>
        </w:rPr>
        <w:t>项目</w:t>
      </w:r>
      <w:r>
        <w:rPr>
          <w:rFonts w:hint="eastAsia" w:ascii="Times New Roman" w:hAnsi="Times New Roman" w:eastAsia="宋体"/>
          <w:color w:val="auto"/>
          <w:kern w:val="2"/>
          <w:sz w:val="21"/>
          <w:szCs w:val="21"/>
          <w:lang w:val="en-US" w:eastAsia="zh-CN"/>
        </w:rPr>
        <w:t>一般</w:t>
      </w:r>
      <w:r>
        <w:rPr>
          <w:rFonts w:hint="eastAsia" w:ascii="Times New Roman" w:hAnsi="Times New Roman" w:eastAsia="宋体"/>
          <w:color w:val="auto"/>
          <w:kern w:val="2"/>
          <w:sz w:val="21"/>
          <w:szCs w:val="21"/>
        </w:rPr>
        <w:t>固废包括</w:t>
      </w:r>
      <w:r>
        <w:rPr>
          <w:rFonts w:hint="eastAsia" w:ascii="Times New Roman" w:hAnsi="Times New Roman" w:eastAsia="宋体"/>
          <w:color w:val="auto"/>
          <w:sz w:val="21"/>
          <w:szCs w:val="21"/>
        </w:rPr>
        <w:t>废</w:t>
      </w:r>
      <w:r>
        <w:rPr>
          <w:rFonts w:hint="eastAsia" w:ascii="Times New Roman" w:hAnsi="Times New Roman"/>
          <w:color w:val="auto"/>
          <w:sz w:val="21"/>
          <w:szCs w:val="21"/>
          <w:lang w:val="en-US" w:eastAsia="zh-CN"/>
        </w:rPr>
        <w:t>边角料，危险废物包括废包装桶</w:t>
      </w:r>
      <w:r>
        <w:rPr>
          <w:rFonts w:hint="eastAsia" w:ascii="Times New Roman" w:hAnsi="Times New Roman" w:eastAsia="宋体"/>
          <w:color w:val="auto"/>
          <w:sz w:val="21"/>
          <w:szCs w:val="21"/>
        </w:rPr>
        <w:t>以及员工日常生活产生的生活垃圾。</w:t>
      </w:r>
    </w:p>
    <w:p>
      <w:pPr>
        <w:keepNext w:val="0"/>
        <w:keepLines w:val="0"/>
        <w:pageBreakBefore w:val="0"/>
        <w:widowControl/>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废</w:t>
      </w:r>
      <w:r>
        <w:rPr>
          <w:rFonts w:hint="eastAsia" w:ascii="Times New Roman" w:hAnsi="Times New Roman" w:cs="Times New Roman"/>
          <w:b/>
          <w:bCs/>
          <w:color w:val="auto"/>
          <w:sz w:val="21"/>
          <w:szCs w:val="21"/>
          <w:lang w:val="en-US" w:eastAsia="zh-CN"/>
        </w:rPr>
        <w:t>边角料</w:t>
      </w:r>
      <w:r>
        <w:rPr>
          <w:rFonts w:hint="default" w:ascii="Times New Roman" w:hAnsi="Times New Roman" w:eastAsia="宋体" w:cs="Times New Roman"/>
          <w:b/>
          <w:bCs/>
          <w:color w:val="auto"/>
          <w:sz w:val="21"/>
          <w:szCs w:val="21"/>
          <w:lang w:eastAsia="zh-CN"/>
        </w:rPr>
        <w:t>：</w:t>
      </w:r>
      <w:r>
        <w:rPr>
          <w:rFonts w:hint="eastAsia"/>
          <w:color w:val="auto"/>
          <w:kern w:val="2"/>
          <w:sz w:val="21"/>
          <w:szCs w:val="21"/>
          <w:lang w:val="en-US" w:eastAsia="zh-CN"/>
        </w:rPr>
        <w:t>根据调试期实际生产可知</w:t>
      </w:r>
      <w:r>
        <w:rPr>
          <w:rFonts w:hint="eastAsia" w:ascii="Times New Roman" w:hAnsi="Times New Roman" w:eastAsia="宋体"/>
          <w:color w:val="auto"/>
          <w:kern w:val="2"/>
          <w:sz w:val="21"/>
          <w:szCs w:val="21"/>
        </w:rPr>
        <w:t>，</w:t>
      </w:r>
      <w:r>
        <w:rPr>
          <w:rFonts w:hint="default" w:ascii="Times New Roman" w:hAnsi="Times New Roman" w:eastAsia="宋体" w:cs="Times New Roman"/>
          <w:b w:val="0"/>
          <w:bCs w:val="0"/>
          <w:color w:val="auto"/>
          <w:sz w:val="21"/>
          <w:szCs w:val="21"/>
          <w:lang w:val="en-US" w:eastAsia="zh-CN"/>
        </w:rPr>
        <w:t>本项目产生的废边角料约为原料的33</w:t>
      </w:r>
      <w:r>
        <w:rPr>
          <w:rFonts w:hint="eastAsia" w:ascii="Times New Roman" w:hAnsi="Times New Roman" w:cs="Times New Roman"/>
          <w:b w:val="0"/>
          <w:bCs w:val="0"/>
          <w:color w:val="auto"/>
          <w:sz w:val="21"/>
          <w:szCs w:val="21"/>
          <w:lang w:val="en-US" w:eastAsia="zh-CN"/>
        </w:rPr>
        <w:t>.3</w:t>
      </w:r>
      <w:r>
        <w:rPr>
          <w:rFonts w:hint="default" w:ascii="Times New Roman" w:hAnsi="Times New Roman" w:eastAsia="宋体" w:cs="Times New Roman"/>
          <w:b w:val="0"/>
          <w:bCs w:val="0"/>
          <w:color w:val="auto"/>
          <w:sz w:val="21"/>
          <w:szCs w:val="21"/>
          <w:lang w:val="en-US" w:eastAsia="zh-CN"/>
        </w:rPr>
        <w:t>%，工件原料量为</w:t>
      </w:r>
      <w:r>
        <w:rPr>
          <w:rFonts w:hint="eastAsia" w:ascii="Times New Roman" w:hAnsi="Times New Roman" w:cs="Times New Roman"/>
          <w:b w:val="0"/>
          <w:bCs w:val="0"/>
          <w:color w:val="auto"/>
          <w:sz w:val="21"/>
          <w:szCs w:val="21"/>
          <w:lang w:val="en-US" w:eastAsia="zh-CN"/>
        </w:rPr>
        <w:t>480</w:t>
      </w:r>
      <w:r>
        <w:rPr>
          <w:rFonts w:hint="default" w:ascii="Times New Roman" w:hAnsi="Times New Roman" w:eastAsia="宋体" w:cs="Times New Roman"/>
          <w:b w:val="0"/>
          <w:bCs w:val="0"/>
          <w:color w:val="auto"/>
          <w:sz w:val="21"/>
          <w:szCs w:val="21"/>
          <w:lang w:val="en-US" w:eastAsia="zh-CN"/>
        </w:rPr>
        <w:t>t/a，产生的废边角料约为</w:t>
      </w:r>
      <w:r>
        <w:rPr>
          <w:rFonts w:hint="eastAsia" w:ascii="Times New Roman" w:hAnsi="Times New Roman" w:cs="Times New Roman"/>
          <w:b w:val="0"/>
          <w:bCs w:val="0"/>
          <w:color w:val="auto"/>
          <w:sz w:val="21"/>
          <w:szCs w:val="21"/>
          <w:lang w:val="en-US" w:eastAsia="zh-CN"/>
        </w:rPr>
        <w:t>160</w:t>
      </w:r>
      <w:r>
        <w:rPr>
          <w:rFonts w:hint="default" w:ascii="Times New Roman" w:hAnsi="Times New Roman" w:eastAsia="宋体" w:cs="Times New Roman"/>
          <w:b w:val="0"/>
          <w:bCs w:val="0"/>
          <w:color w:val="auto"/>
          <w:sz w:val="21"/>
          <w:szCs w:val="21"/>
          <w:lang w:val="en-US" w:eastAsia="zh-CN"/>
        </w:rPr>
        <w:t>t/a，</w:t>
      </w:r>
      <w:r>
        <w:rPr>
          <w:rFonts w:hint="eastAsia" w:cs="Times New Roman"/>
          <w:b w:val="0"/>
          <w:bCs w:val="0"/>
          <w:color w:val="auto"/>
          <w:sz w:val="21"/>
          <w:szCs w:val="21"/>
          <w:highlight w:val="none"/>
          <w:lang w:val="en-US" w:eastAsia="zh-CN"/>
        </w:rPr>
        <w:t>委托常州市碧沙环保科技有限公司回收处置</w:t>
      </w:r>
      <w:r>
        <w:rPr>
          <w:rFonts w:hint="default" w:ascii="Times New Roman" w:hAnsi="Times New Roman" w:eastAsia="宋体" w:cs="Times New Roman"/>
          <w:b w:val="0"/>
          <w:bCs w:val="0"/>
          <w:color w:val="auto"/>
          <w:sz w:val="21"/>
          <w:szCs w:val="21"/>
          <w:highlight w:val="none"/>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cs="Times New Roman"/>
          <w:b w:val="0"/>
          <w:bCs w:val="0"/>
          <w:color w:val="auto"/>
          <w:sz w:val="21"/>
          <w:szCs w:val="21"/>
          <w:lang w:val="en-US" w:eastAsia="zh-CN"/>
        </w:rPr>
      </w:pPr>
      <w:r>
        <w:rPr>
          <w:rFonts w:hint="default" w:ascii="Times New Roman" w:hAnsi="Times New Roman" w:eastAsia="宋体" w:cs="Times New Roman"/>
          <w:b/>
          <w:bCs/>
          <w:color w:val="auto"/>
          <w:sz w:val="21"/>
          <w:szCs w:val="21"/>
          <w:lang w:val="en-US" w:eastAsia="zh-CN"/>
        </w:rPr>
        <w:t>废包装桶</w:t>
      </w:r>
      <w:r>
        <w:rPr>
          <w:rFonts w:hint="default" w:ascii="Times New Roman" w:hAnsi="Times New Roman" w:eastAsia="宋体" w:cs="Times New Roman"/>
          <w:b/>
          <w:bCs/>
          <w:color w:val="auto"/>
          <w:sz w:val="21"/>
          <w:szCs w:val="21"/>
          <w:lang w:eastAsia="zh-CN"/>
        </w:rPr>
        <w:t>：</w:t>
      </w:r>
      <w:r>
        <w:rPr>
          <w:rFonts w:hint="eastAsia"/>
          <w:color w:val="auto"/>
          <w:kern w:val="2"/>
          <w:sz w:val="21"/>
          <w:szCs w:val="21"/>
          <w:lang w:val="en-US" w:eastAsia="zh-CN"/>
        </w:rPr>
        <w:t>根据调试期实际生产可知</w:t>
      </w:r>
      <w:r>
        <w:rPr>
          <w:rFonts w:hint="eastAsia" w:ascii="Times New Roman" w:hAnsi="Times New Roman" w:eastAsia="宋体"/>
          <w:color w:val="auto"/>
          <w:kern w:val="2"/>
          <w:sz w:val="21"/>
          <w:szCs w:val="21"/>
        </w:rPr>
        <w:t>，</w:t>
      </w:r>
      <w:r>
        <w:rPr>
          <w:rFonts w:hint="default" w:ascii="Times New Roman" w:hAnsi="Times New Roman" w:eastAsia="宋体" w:cs="Times New Roman"/>
          <w:b w:val="0"/>
          <w:bCs w:val="0"/>
          <w:color w:val="auto"/>
          <w:sz w:val="21"/>
          <w:szCs w:val="21"/>
          <w:lang w:val="en-US" w:eastAsia="zh-CN"/>
        </w:rPr>
        <w:t>企业实际生产中废包装桶产生量约为0.</w:t>
      </w:r>
      <w:r>
        <w:rPr>
          <w:rFonts w:hint="eastAsia" w:ascii="Times New Roman" w:hAnsi="Times New Roman" w:cs="Times New Roman"/>
          <w:b w:val="0"/>
          <w:bCs w:val="0"/>
          <w:color w:val="auto"/>
          <w:sz w:val="21"/>
          <w:szCs w:val="21"/>
          <w:lang w:val="en-US" w:eastAsia="zh-CN"/>
        </w:rPr>
        <w:t>5</w:t>
      </w:r>
      <w:r>
        <w:rPr>
          <w:rFonts w:hint="default" w:ascii="Times New Roman" w:hAnsi="Times New Roman" w:eastAsia="宋体" w:cs="Times New Roman"/>
          <w:b w:val="0"/>
          <w:bCs w:val="0"/>
          <w:color w:val="auto"/>
          <w:sz w:val="21"/>
          <w:szCs w:val="21"/>
          <w:lang w:val="en-US" w:eastAsia="zh-CN"/>
        </w:rPr>
        <w:t>t/a</w:t>
      </w:r>
      <w:r>
        <w:rPr>
          <w:rFonts w:hint="eastAsia" w:ascii="Times New Roman" w:hAnsi="Times New Roman" w:cs="Times New Roman"/>
          <w:b w:val="0"/>
          <w:bCs w:val="0"/>
          <w:color w:val="auto"/>
          <w:sz w:val="21"/>
          <w:szCs w:val="21"/>
          <w:lang w:val="en-US" w:eastAsia="zh-CN"/>
        </w:rPr>
        <w:t>，委托</w:t>
      </w:r>
      <w:r>
        <w:rPr>
          <w:rFonts w:hint="eastAsia" w:cs="Times New Roman"/>
          <w:b w:val="0"/>
          <w:bCs w:val="0"/>
          <w:color w:val="auto"/>
          <w:sz w:val="21"/>
          <w:szCs w:val="21"/>
          <w:lang w:val="en-US" w:eastAsia="zh-CN"/>
        </w:rPr>
        <w:t>常州普达环保清洗有限公司</w:t>
      </w:r>
      <w:r>
        <w:rPr>
          <w:rFonts w:hint="eastAsia" w:ascii="Times New Roman" w:hAnsi="Times New Roman" w:cs="Times New Roman"/>
          <w:b w:val="0"/>
          <w:bCs w:val="0"/>
          <w:color w:val="auto"/>
          <w:sz w:val="21"/>
          <w:szCs w:val="21"/>
          <w:lang w:val="en-US" w:eastAsia="zh-CN"/>
        </w:rPr>
        <w:t>处置。</w:t>
      </w:r>
    </w:p>
    <w:p>
      <w:pPr>
        <w:pStyle w:val="11"/>
        <w:keepNext w:val="0"/>
        <w:keepLines w:val="0"/>
        <w:pageBreakBefore w:val="0"/>
        <w:kinsoku/>
        <w:wordWrap/>
        <w:overflowPunct/>
        <w:topLinePunct w:val="0"/>
        <w:bidi w:val="0"/>
        <w:adjustRightInd/>
        <w:snapToGrid/>
        <w:spacing w:line="360" w:lineRule="auto"/>
        <w:jc w:val="both"/>
        <w:textAlignment w:val="auto"/>
        <w:rPr>
          <w:rFonts w:hint="default" w:ascii="宋体" w:hAnsi="宋体" w:eastAsia="宋体" w:cs="宋体"/>
          <w:sz w:val="21"/>
          <w:szCs w:val="21"/>
          <w:lang w:val="zh-CN" w:eastAsia="zh-CN" w:bidi="zh-CN"/>
        </w:rPr>
      </w:pPr>
      <w:r>
        <w:rPr>
          <w:rFonts w:hint="eastAsia" w:ascii="Times New Roman" w:hAnsi="Times New Roman" w:eastAsia="宋体" w:cs="Times New Roman"/>
          <w:b/>
          <w:bCs/>
          <w:color w:val="auto"/>
          <w:sz w:val="21"/>
          <w:szCs w:val="21"/>
          <w:lang w:val="en-US" w:eastAsia="zh-CN" w:bidi="zh-CN"/>
        </w:rPr>
        <w:t>生活垃圾：</w:t>
      </w:r>
      <w:r>
        <w:rPr>
          <w:rFonts w:hint="eastAsia" w:ascii="Times New Roman" w:hAnsi="Times New Roman" w:eastAsia="宋体" w:cs="Times New Roman"/>
          <w:b w:val="0"/>
          <w:bCs w:val="0"/>
          <w:color w:val="auto"/>
          <w:sz w:val="21"/>
          <w:szCs w:val="21"/>
          <w:lang w:val="en-US" w:eastAsia="zh-CN" w:bidi="zh-CN"/>
        </w:rPr>
        <w:t>厂内生活垃圾产生量按每人0.5kg/d计，厂内员工为25人，则产生量3.75t/a，厂区内收集后，委托环卫部门统一清运。</w:t>
      </w:r>
    </w:p>
    <w:p>
      <w:pPr>
        <w:keepNext w:val="0"/>
        <w:keepLines w:val="0"/>
        <w:pageBreakBefore w:val="0"/>
        <w:kinsoku/>
        <w:wordWrap/>
        <w:overflowPunct/>
        <w:topLinePunct w:val="0"/>
        <w:bidi w:val="0"/>
        <w:adjustRightInd/>
        <w:snapToGrid/>
        <w:spacing w:line="360" w:lineRule="auto"/>
        <w:ind w:firstLine="420" w:firstLineChars="200"/>
        <w:jc w:val="both"/>
        <w:textAlignment w:val="auto"/>
        <w:rPr>
          <w:rFonts w:hint="eastAsia" w:ascii="Times New Roman" w:hAnsi="Times New Roman" w:eastAsia="宋体"/>
          <w:color w:val="auto"/>
          <w:kern w:val="2"/>
          <w:sz w:val="21"/>
          <w:szCs w:val="21"/>
        </w:rPr>
      </w:pPr>
      <w:r>
        <w:rPr>
          <w:rFonts w:hint="eastAsia" w:ascii="Times New Roman" w:hAnsi="Times New Roman" w:eastAsia="宋体"/>
          <w:color w:val="auto"/>
          <w:kern w:val="2"/>
          <w:sz w:val="21"/>
          <w:szCs w:val="21"/>
        </w:rPr>
        <w:t>本次验收固废产生及处置方式详见表</w:t>
      </w:r>
      <w:r>
        <w:rPr>
          <w:rFonts w:hint="eastAsia" w:ascii="Times New Roman" w:hAnsi="Times New Roman"/>
          <w:color w:val="auto"/>
          <w:kern w:val="2"/>
          <w:sz w:val="21"/>
          <w:szCs w:val="21"/>
          <w:lang w:val="en-US" w:eastAsia="zh-CN"/>
        </w:rPr>
        <w:t>4-6</w:t>
      </w:r>
      <w:r>
        <w:rPr>
          <w:rFonts w:hint="eastAsia" w:ascii="Times New Roman" w:hAnsi="Times New Roman" w:eastAsia="宋体"/>
          <w:color w:val="auto"/>
          <w:kern w:val="2"/>
          <w:sz w:val="21"/>
          <w:szCs w:val="21"/>
        </w:rPr>
        <w:t>。</w:t>
      </w:r>
    </w:p>
    <w:p>
      <w:pPr>
        <w:pStyle w:val="10"/>
        <w:keepNext w:val="0"/>
        <w:keepLines w:val="0"/>
        <w:pageBreakBefore w:val="0"/>
        <w:widowControl/>
        <w:kinsoku/>
        <w:wordWrap/>
        <w:overflowPunct/>
        <w:topLinePunct w:val="0"/>
        <w:bidi w:val="0"/>
        <w:adjustRightInd/>
        <w:snapToGrid/>
        <w:spacing w:line="240" w:lineRule="auto"/>
        <w:ind w:left="0" w:leftChars="0" w:firstLine="0" w:firstLineChars="0"/>
        <w:jc w:val="center"/>
        <w:textAlignment w:val="auto"/>
        <w:rPr>
          <w:rFonts w:hint="eastAsia"/>
          <w:b/>
          <w:bCs/>
          <w:color w:val="auto"/>
          <w:sz w:val="21"/>
          <w:szCs w:val="21"/>
          <w:lang w:val="en-US" w:eastAsia="zh-CN"/>
        </w:rPr>
      </w:pPr>
      <w:r>
        <w:rPr>
          <w:b/>
          <w:bCs/>
          <w:color w:val="auto"/>
          <w:sz w:val="21"/>
          <w:szCs w:val="21"/>
        </w:rPr>
        <w:t>表</w:t>
      </w:r>
      <w:r>
        <w:rPr>
          <w:rFonts w:hint="eastAsia"/>
          <w:b/>
          <w:bCs/>
          <w:color w:val="auto"/>
          <w:sz w:val="21"/>
          <w:szCs w:val="21"/>
          <w:lang w:val="en-US" w:eastAsia="zh-CN"/>
        </w:rPr>
        <w:t xml:space="preserve"> 4-6</w:t>
      </w:r>
      <w:r>
        <w:rPr>
          <w:b/>
          <w:bCs/>
          <w:color w:val="auto"/>
          <w:sz w:val="21"/>
          <w:szCs w:val="21"/>
        </w:rPr>
        <w:t xml:space="preserve"> </w:t>
      </w:r>
      <w:r>
        <w:rPr>
          <w:rFonts w:hint="eastAsia"/>
          <w:b/>
          <w:bCs/>
          <w:color w:val="auto"/>
          <w:sz w:val="21"/>
          <w:szCs w:val="21"/>
        </w:rPr>
        <w:t xml:space="preserve"> 固体废物产生以及处置情况</w:t>
      </w:r>
      <w:r>
        <w:rPr>
          <w:rFonts w:hint="eastAsia"/>
          <w:b/>
          <w:bCs/>
          <w:color w:val="auto"/>
          <w:sz w:val="21"/>
          <w:szCs w:val="21"/>
          <w:lang w:val="en-US" w:eastAsia="zh-CN"/>
        </w:rPr>
        <w:t>一览表</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81"/>
        <w:gridCol w:w="893"/>
        <w:gridCol w:w="993"/>
        <w:gridCol w:w="783"/>
        <w:gridCol w:w="891"/>
        <w:gridCol w:w="1216"/>
        <w:gridCol w:w="879"/>
        <w:gridCol w:w="879"/>
        <w:gridCol w:w="1238"/>
        <w:gridCol w:w="8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5"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序号</w:t>
            </w:r>
          </w:p>
        </w:tc>
        <w:tc>
          <w:tcPr>
            <w:tcW w:w="492"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固体废物名称</w:t>
            </w:r>
          </w:p>
        </w:tc>
        <w:tc>
          <w:tcPr>
            <w:tcW w:w="547"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产生工序</w:t>
            </w:r>
          </w:p>
        </w:tc>
        <w:tc>
          <w:tcPr>
            <w:tcW w:w="431"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性质</w:t>
            </w:r>
          </w:p>
        </w:tc>
        <w:tc>
          <w:tcPr>
            <w:tcW w:w="491"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产生量</w:t>
            </w:r>
          </w:p>
        </w:tc>
        <w:tc>
          <w:tcPr>
            <w:tcW w:w="670" w:type="pct"/>
            <w:noWrap w:val="0"/>
            <w:vAlign w:val="center"/>
          </w:tcPr>
          <w:p>
            <w:pPr>
              <w:pStyle w:val="28"/>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废物类别及代码</w:t>
            </w:r>
          </w:p>
        </w:tc>
        <w:tc>
          <w:tcPr>
            <w:tcW w:w="484"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处理处置量</w:t>
            </w:r>
          </w:p>
        </w:tc>
        <w:tc>
          <w:tcPr>
            <w:tcW w:w="484" w:type="pct"/>
            <w:noWrap w:val="0"/>
            <w:vAlign w:val="center"/>
          </w:tcPr>
          <w:p>
            <w:pPr>
              <w:pStyle w:val="28"/>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转移频次</w:t>
            </w:r>
          </w:p>
        </w:tc>
        <w:tc>
          <w:tcPr>
            <w:tcW w:w="682"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处理处置方式</w:t>
            </w:r>
          </w:p>
        </w:tc>
        <w:tc>
          <w:tcPr>
            <w:tcW w:w="450" w:type="pct"/>
            <w:noWrap w:val="0"/>
            <w:vAlign w:val="center"/>
          </w:tcPr>
          <w:p>
            <w:pPr>
              <w:pStyle w:val="28"/>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暂存场所</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5" w:type="pct"/>
            <w:noWrap w:val="0"/>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w:t>
            </w:r>
          </w:p>
        </w:tc>
        <w:tc>
          <w:tcPr>
            <w:tcW w:w="492" w:type="pct"/>
            <w:noWrap w:val="0"/>
            <w:vAlign w:val="center"/>
          </w:tcPr>
          <w:p>
            <w:pPr>
              <w:pStyle w:val="28"/>
              <w:jc w:val="center"/>
              <w:rPr>
                <w:rFonts w:hint="default"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en-US" w:eastAsia="zh-CN"/>
              </w:rPr>
              <w:t>废边角料</w:t>
            </w:r>
          </w:p>
        </w:tc>
        <w:tc>
          <w:tcPr>
            <w:tcW w:w="547"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分切工序</w:t>
            </w:r>
          </w:p>
        </w:tc>
        <w:tc>
          <w:tcPr>
            <w:tcW w:w="43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一般固废</w:t>
            </w:r>
          </w:p>
        </w:tc>
        <w:tc>
          <w:tcPr>
            <w:tcW w:w="49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160</w:t>
            </w:r>
          </w:p>
        </w:tc>
        <w:tc>
          <w:tcPr>
            <w:tcW w:w="670"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c>
          <w:tcPr>
            <w:tcW w:w="484"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160</w:t>
            </w:r>
          </w:p>
        </w:tc>
        <w:tc>
          <w:tcPr>
            <w:tcW w:w="484"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无需转移</w:t>
            </w:r>
          </w:p>
        </w:tc>
        <w:tc>
          <w:tcPr>
            <w:tcW w:w="682" w:type="pct"/>
            <w:noWrap w:val="0"/>
            <w:vAlign w:val="center"/>
          </w:tcPr>
          <w:p>
            <w:pPr>
              <w:pStyle w:val="28"/>
              <w:jc w:val="center"/>
              <w:rPr>
                <w:rFonts w:hint="default" w:ascii="Times New Roman" w:hAnsi="Times New Roman" w:eastAsia="宋体" w:cs="Times New Roman"/>
                <w:color w:val="auto"/>
                <w:sz w:val="21"/>
                <w:szCs w:val="21"/>
                <w:highlight w:val="yellow"/>
                <w:lang w:val="en-US" w:eastAsia="zh-CN"/>
              </w:rPr>
            </w:pPr>
            <w:r>
              <w:rPr>
                <w:rFonts w:hint="eastAsia" w:cs="Times New Roman"/>
                <w:b w:val="0"/>
                <w:bCs w:val="0"/>
                <w:color w:val="auto"/>
                <w:sz w:val="21"/>
                <w:szCs w:val="21"/>
                <w:highlight w:val="none"/>
                <w:lang w:val="en-US" w:eastAsia="zh-CN"/>
              </w:rPr>
              <w:t>委托常州市碧沙环保科技有限公司回收处置</w:t>
            </w:r>
          </w:p>
        </w:tc>
        <w:tc>
          <w:tcPr>
            <w:tcW w:w="450"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一般固废暂存场所</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5" w:type="pct"/>
            <w:noWrap w:val="0"/>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w:t>
            </w:r>
          </w:p>
        </w:tc>
        <w:tc>
          <w:tcPr>
            <w:tcW w:w="492" w:type="pct"/>
            <w:noWrap w:val="0"/>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废包装桶</w:t>
            </w:r>
          </w:p>
        </w:tc>
        <w:tc>
          <w:tcPr>
            <w:tcW w:w="547"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原料包装</w:t>
            </w:r>
          </w:p>
        </w:tc>
        <w:tc>
          <w:tcPr>
            <w:tcW w:w="431" w:type="pct"/>
            <w:noWrap w:val="0"/>
            <w:vAlign w:val="center"/>
          </w:tcPr>
          <w:p>
            <w:pPr>
              <w:pStyle w:val="28"/>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危险废物</w:t>
            </w:r>
          </w:p>
        </w:tc>
        <w:tc>
          <w:tcPr>
            <w:tcW w:w="491" w:type="pct"/>
            <w:noWrap w:val="0"/>
            <w:vAlign w:val="center"/>
          </w:tcPr>
          <w:p>
            <w:pPr>
              <w:pStyle w:val="28"/>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0.5</w:t>
            </w:r>
          </w:p>
        </w:tc>
        <w:tc>
          <w:tcPr>
            <w:tcW w:w="670" w:type="pct"/>
            <w:noWrap w:val="0"/>
            <w:vAlign w:val="center"/>
          </w:tcPr>
          <w:p>
            <w:pPr>
              <w:pStyle w:val="28"/>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HW49</w:t>
            </w:r>
          </w:p>
          <w:p>
            <w:pPr>
              <w:pStyle w:val="28"/>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900-041-49</w:t>
            </w:r>
          </w:p>
        </w:tc>
        <w:tc>
          <w:tcPr>
            <w:tcW w:w="484" w:type="pct"/>
            <w:noWrap w:val="0"/>
            <w:vAlign w:val="center"/>
          </w:tcPr>
          <w:p>
            <w:pPr>
              <w:pStyle w:val="28"/>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0.5</w:t>
            </w:r>
          </w:p>
        </w:tc>
        <w:tc>
          <w:tcPr>
            <w:tcW w:w="484" w:type="pct"/>
            <w:noWrap w:val="0"/>
            <w:vAlign w:val="center"/>
          </w:tcPr>
          <w:p>
            <w:pPr>
              <w:pStyle w:val="28"/>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未转移</w:t>
            </w:r>
          </w:p>
        </w:tc>
        <w:tc>
          <w:tcPr>
            <w:tcW w:w="682" w:type="pct"/>
            <w:noWrap w:val="0"/>
            <w:vAlign w:val="center"/>
          </w:tcPr>
          <w:p>
            <w:pPr>
              <w:pStyle w:val="28"/>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委托</w:t>
            </w:r>
            <w:r>
              <w:rPr>
                <w:rFonts w:hint="eastAsia" w:cs="Times New Roman"/>
                <w:color w:val="auto"/>
                <w:sz w:val="21"/>
                <w:szCs w:val="21"/>
                <w:highlight w:val="none"/>
                <w:lang w:val="en-US" w:eastAsia="zh-CN"/>
              </w:rPr>
              <w:t>常州普达环保清洗有限公司</w:t>
            </w:r>
            <w:r>
              <w:rPr>
                <w:rFonts w:hint="eastAsia" w:ascii="Times New Roman" w:hAnsi="Times New Roman" w:eastAsia="宋体" w:cs="Times New Roman"/>
                <w:color w:val="auto"/>
                <w:sz w:val="21"/>
                <w:szCs w:val="21"/>
                <w:highlight w:val="none"/>
                <w:lang w:val="en-US" w:eastAsia="zh-CN"/>
              </w:rPr>
              <w:t>处置</w:t>
            </w:r>
          </w:p>
        </w:tc>
        <w:tc>
          <w:tcPr>
            <w:tcW w:w="450" w:type="pct"/>
            <w:noWrap w:val="0"/>
            <w:vAlign w:val="center"/>
          </w:tcPr>
          <w:p>
            <w:pPr>
              <w:pStyle w:val="28"/>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危废暂存场所</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5"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w:t>
            </w:r>
          </w:p>
        </w:tc>
        <w:tc>
          <w:tcPr>
            <w:tcW w:w="492" w:type="pct"/>
            <w:noWrap w:val="0"/>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生活垃圾</w:t>
            </w:r>
          </w:p>
        </w:tc>
        <w:tc>
          <w:tcPr>
            <w:tcW w:w="547" w:type="pct"/>
            <w:noWrap w:val="0"/>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员工生活办公</w:t>
            </w:r>
          </w:p>
        </w:tc>
        <w:tc>
          <w:tcPr>
            <w:tcW w:w="43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w:t>
            </w:r>
          </w:p>
        </w:tc>
        <w:tc>
          <w:tcPr>
            <w:tcW w:w="491"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3.75</w:t>
            </w:r>
          </w:p>
        </w:tc>
        <w:tc>
          <w:tcPr>
            <w:tcW w:w="670"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c>
          <w:tcPr>
            <w:tcW w:w="484"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3.75</w:t>
            </w:r>
          </w:p>
        </w:tc>
        <w:tc>
          <w:tcPr>
            <w:tcW w:w="484" w:type="pct"/>
            <w:noWrap w:val="0"/>
            <w:vAlign w:val="center"/>
          </w:tcPr>
          <w:p>
            <w:pPr>
              <w:pStyle w:val="28"/>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每日清运</w:t>
            </w:r>
          </w:p>
        </w:tc>
        <w:tc>
          <w:tcPr>
            <w:tcW w:w="682" w:type="pct"/>
            <w:noWrap w:val="0"/>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环卫清运</w:t>
            </w:r>
          </w:p>
        </w:tc>
        <w:tc>
          <w:tcPr>
            <w:tcW w:w="450" w:type="pct"/>
            <w:noWrap w:val="0"/>
            <w:vAlign w:val="center"/>
          </w:tcPr>
          <w:p>
            <w:pPr>
              <w:pStyle w:val="28"/>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垃圾桶</w:t>
            </w:r>
          </w:p>
        </w:tc>
      </w:tr>
    </w:tbl>
    <w:p>
      <w:pPr>
        <w:pStyle w:val="11"/>
        <w:rPr>
          <w:rFonts w:hint="default"/>
          <w:lang w:val="zh-CN" w:eastAsia="zh-CN"/>
        </w:rPr>
        <w:sectPr>
          <w:pgSz w:w="11910" w:h="16840"/>
          <w:pgMar w:top="1440" w:right="1440" w:bottom="1440" w:left="1440" w:header="855" w:footer="872" w:gutter="0"/>
          <w:pgBorders>
            <w:top w:val="none" w:sz="0" w:space="0"/>
            <w:left w:val="none" w:sz="0" w:space="0"/>
            <w:bottom w:val="none" w:sz="0" w:space="0"/>
            <w:right w:val="none" w:sz="0" w:space="0"/>
          </w:pgBorders>
          <w:pgNumType w:fmt="numberInDash"/>
          <w:cols w:space="720" w:num="1"/>
        </w:sectPr>
      </w:pPr>
    </w:p>
    <w:p>
      <w:pPr>
        <w:pStyle w:val="5"/>
        <w:pageBreakBefore w:val="0"/>
        <w:kinsoku/>
        <w:wordWrap/>
        <w:overflowPunct/>
        <w:topLinePunct w:val="0"/>
        <w:bidi w:val="0"/>
        <w:adjustRightInd/>
        <w:snapToGrid/>
        <w:spacing w:beforeLines="0" w:afterLines="0" w:line="360" w:lineRule="auto"/>
        <w:rPr>
          <w:rFonts w:hint="default" w:ascii="Times New Roman" w:hAnsi="Times New Roman" w:eastAsia="宋体" w:cs="Times New Roman"/>
          <w:color w:val="auto"/>
        </w:rPr>
      </w:pPr>
      <w:r>
        <w:rPr>
          <w:rFonts w:hint="default" w:ascii="Times New Roman" w:hAnsi="Times New Roman" w:eastAsia="宋体" w:cs="Times New Roman"/>
          <w:color w:val="auto"/>
        </w:rPr>
        <w:t>4.1.4.2 固体废物管理情况</w:t>
      </w:r>
    </w:p>
    <w:p>
      <w:pPr>
        <w:pageBreakBefore w:val="0"/>
        <w:kinsoku/>
        <w:wordWrap/>
        <w:overflowPunct/>
        <w:topLinePunct w:val="0"/>
        <w:bidi w:val="0"/>
        <w:adjustRightInd/>
        <w:snapToGrid/>
        <w:spacing w:line="360" w:lineRule="auto"/>
        <w:jc w:val="both"/>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1"/>
          <w:szCs w:val="21"/>
        </w:rPr>
        <w:t>验收项目已建1座</w:t>
      </w:r>
      <w:r>
        <w:rPr>
          <w:rFonts w:hint="eastAsia" w:cs="Times New Roman"/>
          <w:color w:val="auto"/>
          <w:sz w:val="21"/>
          <w:szCs w:val="21"/>
          <w:lang w:val="en-US" w:eastAsia="zh-CN"/>
        </w:rPr>
        <w:t>30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r>
        <w:rPr>
          <w:rFonts w:hint="eastAsia" w:cs="Times New Roman"/>
          <w:color w:val="auto"/>
          <w:sz w:val="21"/>
          <w:szCs w:val="21"/>
          <w:lang w:val="en-US" w:eastAsia="zh-CN"/>
        </w:rPr>
        <w:t>一般固废库</w:t>
      </w:r>
      <w:r>
        <w:rPr>
          <w:rFonts w:hint="default" w:ascii="Times New Roman" w:hAnsi="Times New Roman" w:eastAsia="宋体" w:cs="Times New Roman"/>
          <w:color w:val="auto"/>
          <w:sz w:val="21"/>
          <w:szCs w:val="21"/>
        </w:rPr>
        <w:t>用于</w:t>
      </w:r>
      <w:r>
        <w:rPr>
          <w:rFonts w:hint="eastAsia" w:cs="Times New Roman"/>
          <w:color w:val="auto"/>
          <w:sz w:val="21"/>
          <w:szCs w:val="21"/>
          <w:lang w:val="en-US" w:eastAsia="zh-CN"/>
        </w:rPr>
        <w:t>废边角料</w:t>
      </w:r>
      <w:r>
        <w:rPr>
          <w:rFonts w:hint="default" w:ascii="Times New Roman" w:hAnsi="Times New Roman" w:eastAsia="宋体" w:cs="Times New Roman"/>
          <w:color w:val="auto"/>
          <w:sz w:val="21"/>
          <w:szCs w:val="21"/>
        </w:rPr>
        <w:t>暂存，1座</w:t>
      </w:r>
      <w:r>
        <w:rPr>
          <w:rFonts w:hint="eastAsia" w:cs="Times New Roman"/>
          <w:color w:val="auto"/>
          <w:sz w:val="21"/>
          <w:szCs w:val="21"/>
          <w:lang w:val="en-US" w:eastAsia="zh-CN"/>
        </w:rPr>
        <w:t>50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color w:val="auto"/>
          <w:sz w:val="21"/>
          <w:szCs w:val="21"/>
        </w:rPr>
        <w:t>危废仓库用于厂区危险废物贮存，危废库均已按照《危险废物贮存污染控制标准》及其修改单、苏环办[2019]327号文等文件的要求开展日常管理工作，贮存场所张贴了规范化的标识牌，现场配备出入库记录表，设置了视频监控系统，危险废物分区存放并粘贴了规范化的标识，危险废物委外处置均按照《危险废物转移联单管理办法》的有关规定落实网上申报转移并委托给资质单位进行处置。</w:t>
      </w:r>
    </w:p>
    <w:p>
      <w:pPr>
        <w:pStyle w:val="4"/>
        <w:pageBreakBefore w:val="0"/>
        <w:kinsoku/>
        <w:wordWrap/>
        <w:overflowPunct/>
        <w:topLinePunct w:val="0"/>
        <w:bidi w:val="0"/>
        <w:adjustRightInd/>
        <w:snapToGrid/>
        <w:spacing w:beforeLines="0" w:afterLines="0" w:line="360" w:lineRule="auto"/>
        <w:rPr>
          <w:rFonts w:hint="default" w:ascii="Times New Roman" w:hAnsi="Times New Roman" w:eastAsia="宋体" w:cs="Times New Roman"/>
          <w:color w:val="auto"/>
        </w:rPr>
      </w:pPr>
      <w:bookmarkStart w:id="24" w:name="_Toc26986"/>
      <w:r>
        <w:rPr>
          <w:rFonts w:hint="default" w:ascii="Times New Roman" w:hAnsi="Times New Roman" w:eastAsia="宋体" w:cs="Times New Roman"/>
          <w:color w:val="auto"/>
        </w:rPr>
        <w:t>4.2 其他环境保护措施</w:t>
      </w:r>
      <w:bookmarkEnd w:id="24"/>
    </w:p>
    <w:p>
      <w:pPr>
        <w:pStyle w:val="2"/>
        <w:pageBreakBefore w:val="0"/>
        <w:kinsoku/>
        <w:wordWrap/>
        <w:overflowPunct/>
        <w:topLinePunct w:val="0"/>
        <w:bidi w:val="0"/>
        <w:adjustRightInd/>
        <w:snapToGrid/>
        <w:spacing w:beforeLines="0" w:afterLines="0" w:line="360" w:lineRule="auto"/>
        <w:rPr>
          <w:rFonts w:hint="default" w:ascii="Times New Roman" w:hAnsi="Times New Roman" w:eastAsia="宋体" w:cs="Times New Roman"/>
          <w:color w:val="auto"/>
        </w:rPr>
      </w:pPr>
      <w:r>
        <w:rPr>
          <w:rFonts w:hint="default" w:ascii="Times New Roman" w:hAnsi="Times New Roman" w:eastAsia="宋体" w:cs="Times New Roman"/>
          <w:color w:val="auto"/>
        </w:rPr>
        <w:t>4.2.1 环境风险防范措施</w:t>
      </w:r>
    </w:p>
    <w:p>
      <w:pPr>
        <w:keepNext w:val="0"/>
        <w:keepLines w:val="0"/>
        <w:pageBreakBefore w:val="0"/>
        <w:widowControl w:val="0"/>
        <w:kinsoku/>
        <w:wordWrap/>
        <w:overflowPunct/>
        <w:topLinePunct w:val="0"/>
        <w:autoSpaceDE w:val="0"/>
        <w:autoSpaceDN w:val="0"/>
        <w:bidi w:val="0"/>
        <w:adjustRightInd/>
        <w:snapToGrid/>
        <w:spacing w:line="360" w:lineRule="auto"/>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（1）环境敏感目标</w:t>
      </w:r>
    </w:p>
    <w:p>
      <w:pPr>
        <w:keepNext w:val="0"/>
        <w:keepLines w:val="0"/>
        <w:pageBreakBefore w:val="0"/>
        <w:widowControl w:val="0"/>
        <w:kinsoku/>
        <w:wordWrap/>
        <w:overflowPunct/>
        <w:topLinePunct w:val="0"/>
        <w:autoSpaceDE w:val="0"/>
        <w:autoSpaceDN w:val="0"/>
        <w:bidi w:val="0"/>
        <w:adjustRightInd/>
        <w:snapToGrid/>
        <w:spacing w:line="360" w:lineRule="auto"/>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验收项目选址位</w:t>
      </w:r>
      <w:r>
        <w:rPr>
          <w:rFonts w:hint="default" w:ascii="Times New Roman" w:hAnsi="Times New Roman" w:eastAsia="宋体" w:cs="Times New Roman"/>
          <w:color w:val="auto"/>
          <w:sz w:val="21"/>
          <w:szCs w:val="21"/>
        </w:rPr>
        <w:t>于</w:t>
      </w:r>
      <w:r>
        <w:rPr>
          <w:rFonts w:hint="default" w:ascii="Times New Roman" w:hAnsi="Times New Roman" w:eastAsia="宋体" w:cs="Times New Roman"/>
          <w:color w:val="auto"/>
          <w:sz w:val="21"/>
          <w:szCs w:val="21"/>
          <w:lang w:eastAsia="zh-CN"/>
        </w:rPr>
        <w:t>江苏省金坛经济开发区金胜东路218号</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卫生防护距离范围内无居民等敏感目标，符合要求。</w:t>
      </w:r>
    </w:p>
    <w:p>
      <w:pPr>
        <w:keepNext w:val="0"/>
        <w:keepLines w:val="0"/>
        <w:pageBreakBefore w:val="0"/>
        <w:widowControl w:val="0"/>
        <w:kinsoku/>
        <w:wordWrap/>
        <w:overflowPunct/>
        <w:topLinePunct w:val="0"/>
        <w:autoSpaceDE w:val="0"/>
        <w:autoSpaceDN w:val="0"/>
        <w:bidi w:val="0"/>
        <w:adjustRightInd/>
        <w:snapToGrid/>
        <w:spacing w:line="360" w:lineRule="auto"/>
        <w:jc w:val="both"/>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（2）</w:t>
      </w:r>
      <w:r>
        <w:rPr>
          <w:rFonts w:hint="eastAsia" w:cs="Times New Roman"/>
          <w:color w:val="auto"/>
          <w:sz w:val="21"/>
          <w:szCs w:val="21"/>
          <w:lang w:val="en-US" w:eastAsia="zh-CN"/>
        </w:rPr>
        <w:t>危化品仓库和危废仓库</w:t>
      </w:r>
    </w:p>
    <w:p>
      <w:pPr>
        <w:keepNext w:val="0"/>
        <w:keepLines w:val="0"/>
        <w:pageBreakBefore w:val="0"/>
        <w:widowControl w:val="0"/>
        <w:kinsoku/>
        <w:wordWrap/>
        <w:overflowPunct/>
        <w:topLinePunct w:val="0"/>
        <w:autoSpaceDE w:val="0"/>
        <w:autoSpaceDN w:val="0"/>
        <w:bidi w:val="0"/>
        <w:adjustRightInd/>
        <w:snapToGrid/>
        <w:spacing w:line="360" w:lineRule="auto"/>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w:t>
      </w:r>
      <w:r>
        <w:rPr>
          <w:rFonts w:hint="eastAsia" w:cs="Times New Roman"/>
          <w:color w:val="auto"/>
          <w:sz w:val="21"/>
          <w:szCs w:val="21"/>
          <w:lang w:val="en-US" w:eastAsia="zh-CN"/>
        </w:rPr>
        <w:t>重点风险单位为危化品仓库和危废仓库，危化品</w:t>
      </w:r>
      <w:r>
        <w:rPr>
          <w:rFonts w:hint="default" w:ascii="Times New Roman" w:hAnsi="Times New Roman" w:eastAsia="宋体" w:cs="Times New Roman"/>
          <w:color w:val="auto"/>
          <w:sz w:val="21"/>
          <w:szCs w:val="21"/>
        </w:rPr>
        <w:t>库</w:t>
      </w:r>
      <w:r>
        <w:rPr>
          <w:rFonts w:hint="eastAsia" w:cs="Times New Roman"/>
          <w:color w:val="auto"/>
          <w:sz w:val="21"/>
          <w:szCs w:val="21"/>
          <w:lang w:val="en-US" w:eastAsia="zh-CN"/>
        </w:rPr>
        <w:t>设置了泄露的有机物浓度报警器，当出现大量泄露时会发出警报并自动打开排风扇对废气进行排风处置，并设置导流沟、托盘、收集槽等收容设施，同时配备足量的灭火器等消防应急物资；危废库按要求</w:t>
      </w:r>
      <w:r>
        <w:rPr>
          <w:rFonts w:ascii="Times New Roman" w:hAnsi="Times New Roman"/>
          <w:color w:val="auto"/>
          <w:sz w:val="21"/>
          <w:szCs w:val="21"/>
        </w:rPr>
        <w:t>做好“四防”（防风、防雨、防晒、防渗漏）</w:t>
      </w:r>
      <w:r>
        <w:rPr>
          <w:rFonts w:hint="eastAsia" w:ascii="Times New Roman" w:hAnsi="Times New Roman"/>
          <w:color w:val="auto"/>
          <w:sz w:val="21"/>
          <w:szCs w:val="21"/>
          <w:lang w:eastAsia="zh-CN"/>
        </w:rPr>
        <w:t>，</w:t>
      </w:r>
      <w:r>
        <w:rPr>
          <w:rFonts w:hint="eastAsia" w:ascii="Times New Roman" w:hAnsi="Times New Roman"/>
          <w:color w:val="auto"/>
          <w:sz w:val="21"/>
          <w:szCs w:val="21"/>
          <w:lang w:val="en-US" w:eastAsia="zh-CN"/>
        </w:rPr>
        <w:t>配备视频监控设施及相应的应急物资如灭火器等，</w:t>
      </w:r>
      <w:r>
        <w:rPr>
          <w:rFonts w:hint="default" w:ascii="Times New Roman" w:hAnsi="Times New Roman" w:eastAsia="宋体" w:cs="Times New Roman"/>
          <w:color w:val="auto"/>
          <w:sz w:val="21"/>
          <w:szCs w:val="21"/>
        </w:rPr>
        <w:t>基本满足环评及应急预案的要求。</w:t>
      </w:r>
    </w:p>
    <w:p>
      <w:pPr>
        <w:keepNext w:val="0"/>
        <w:keepLines w:val="0"/>
        <w:pageBreakBefore w:val="0"/>
        <w:widowControl w:val="0"/>
        <w:kinsoku/>
        <w:wordWrap/>
        <w:overflowPunct/>
        <w:topLinePunct w:val="0"/>
        <w:autoSpaceDE w:val="0"/>
        <w:autoSpaceDN w:val="0"/>
        <w:bidi w:val="0"/>
        <w:adjustRightInd/>
        <w:snapToGrid/>
        <w:spacing w:line="360" w:lineRule="auto"/>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（3）事故废水收集措施</w:t>
      </w:r>
    </w:p>
    <w:p>
      <w:pPr>
        <w:keepNext w:val="0"/>
        <w:keepLines w:val="0"/>
        <w:pageBreakBefore w:val="0"/>
        <w:widowControl w:val="0"/>
        <w:kinsoku/>
        <w:wordWrap/>
        <w:overflowPunct/>
        <w:topLinePunct w:val="0"/>
        <w:autoSpaceDE w:val="0"/>
        <w:autoSpaceDN w:val="0"/>
        <w:bidi w:val="0"/>
        <w:adjustRightInd/>
        <w:snapToGrid/>
        <w:spacing w:line="360" w:lineRule="auto"/>
        <w:jc w:val="both"/>
        <w:rPr>
          <w:rFonts w:hint="default" w:ascii="Times New Roman" w:hAnsi="Times New Roman" w:eastAsia="宋体" w:cs="Times New Roman"/>
          <w:color w:val="auto"/>
          <w:sz w:val="21"/>
          <w:szCs w:val="21"/>
        </w:rPr>
      </w:pPr>
      <w:r>
        <w:rPr>
          <w:rFonts w:hint="eastAsia"/>
          <w:color w:val="auto"/>
          <w:sz w:val="21"/>
          <w:szCs w:val="21"/>
        </w:rPr>
        <w:t>江苏缔成特材科技有限公司</w:t>
      </w:r>
      <w:r>
        <w:rPr>
          <w:rFonts w:hint="default" w:ascii="Times New Roman" w:hAnsi="Times New Roman" w:eastAsia="宋体" w:cs="Times New Roman"/>
          <w:color w:val="auto"/>
          <w:sz w:val="21"/>
          <w:szCs w:val="21"/>
        </w:rPr>
        <w:t>厂区设置了1座容积为</w:t>
      </w:r>
      <w:r>
        <w:rPr>
          <w:rFonts w:hint="eastAsia" w:cs="Times New Roman"/>
          <w:color w:val="auto"/>
          <w:sz w:val="21"/>
          <w:szCs w:val="21"/>
          <w:lang w:val="en-US" w:eastAsia="zh-CN"/>
        </w:rPr>
        <w:t>100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的地下式事故池及配套的切换阀门，</w:t>
      </w:r>
      <w:r>
        <w:rPr>
          <w:rFonts w:hint="eastAsia" w:cs="Times New Roman"/>
          <w:color w:val="auto"/>
          <w:sz w:val="21"/>
          <w:szCs w:val="21"/>
          <w:lang w:val="en-US" w:eastAsia="zh-CN"/>
        </w:rPr>
        <w:t>本项目依托缔成公司事故池及配套设备，</w:t>
      </w:r>
      <w:r>
        <w:rPr>
          <w:rFonts w:hint="default" w:ascii="Times New Roman" w:hAnsi="Times New Roman" w:eastAsia="宋体" w:cs="Times New Roman"/>
          <w:color w:val="auto"/>
          <w:sz w:val="21"/>
          <w:szCs w:val="21"/>
        </w:rPr>
        <w:t>符合环评及应急预案的要求。</w:t>
      </w:r>
    </w:p>
    <w:p>
      <w:pPr>
        <w:keepNext w:val="0"/>
        <w:keepLines w:val="0"/>
        <w:pageBreakBefore w:val="0"/>
        <w:widowControl w:val="0"/>
        <w:kinsoku/>
        <w:wordWrap/>
        <w:overflowPunct/>
        <w:topLinePunct w:val="0"/>
        <w:autoSpaceDE w:val="0"/>
        <w:autoSpaceDN w:val="0"/>
        <w:bidi w:val="0"/>
        <w:adjustRightInd/>
        <w:snapToGrid/>
        <w:spacing w:line="360" w:lineRule="auto"/>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rPr>
        <w:t>（</w:t>
      </w:r>
      <w:r>
        <w:rPr>
          <w:rFonts w:hint="eastAsia" w:cs="Times New Roman"/>
          <w:color w:val="auto"/>
          <w:sz w:val="21"/>
          <w:szCs w:val="21"/>
          <w:lang w:val="en-US" w:eastAsia="zh-CN"/>
        </w:rPr>
        <w:t>4</w:t>
      </w:r>
      <w:r>
        <w:rPr>
          <w:rFonts w:hint="default" w:ascii="Times New Roman" w:hAnsi="Times New Roman" w:eastAsia="宋体" w:cs="Times New Roman"/>
          <w:color w:val="auto"/>
          <w:sz w:val="21"/>
          <w:szCs w:val="21"/>
        </w:rPr>
        <w:t>）突发环境</w:t>
      </w:r>
      <w:r>
        <w:rPr>
          <w:rFonts w:hint="default" w:ascii="Times New Roman" w:hAnsi="Times New Roman" w:eastAsia="宋体" w:cs="Times New Roman"/>
          <w:color w:val="auto"/>
          <w:sz w:val="21"/>
          <w:szCs w:val="21"/>
          <w:highlight w:val="none"/>
        </w:rPr>
        <w:t>事件应急预案</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rPr>
        <w:t>公司于20</w:t>
      </w:r>
      <w:r>
        <w:rPr>
          <w:rFonts w:hint="eastAsia" w:cs="Times New Roman"/>
          <w:color w:val="auto"/>
          <w:sz w:val="21"/>
          <w:szCs w:val="21"/>
          <w:highlight w:val="none"/>
          <w:lang w:val="en-US" w:eastAsia="zh-CN"/>
        </w:rPr>
        <w:t>23</w:t>
      </w:r>
      <w:r>
        <w:rPr>
          <w:rFonts w:hint="default" w:ascii="Times New Roman" w:hAnsi="Times New Roman" w:eastAsia="宋体" w:cs="Times New Roman"/>
          <w:color w:val="auto"/>
          <w:sz w:val="21"/>
          <w:szCs w:val="21"/>
          <w:highlight w:val="none"/>
        </w:rPr>
        <w:t>年</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月</w:t>
      </w:r>
      <w:r>
        <w:rPr>
          <w:rFonts w:hint="default" w:ascii="Times New Roman" w:hAnsi="Times New Roman" w:eastAsia="宋体" w:cs="Times New Roman"/>
          <w:color w:val="auto"/>
          <w:sz w:val="21"/>
          <w:szCs w:val="21"/>
        </w:rPr>
        <w:t>编制了突发环境事件应急预案及环境风险评估报告，目前正在履行备案手续，后续企业将定期开展环境应急演练。</w:t>
      </w:r>
    </w:p>
    <w:p>
      <w:pPr>
        <w:pStyle w:val="6"/>
        <w:keepNext w:val="0"/>
        <w:keepLines w:val="0"/>
        <w:pageBreakBefore w:val="0"/>
        <w:widowControl w:val="0"/>
        <w:kinsoku/>
        <w:wordWrap/>
        <w:overflowPunct/>
        <w:topLinePunct w:val="0"/>
        <w:autoSpaceDE w:val="0"/>
        <w:autoSpaceDN w:val="0"/>
        <w:bidi w:val="0"/>
        <w:adjustRightInd/>
        <w:snapToGrid/>
        <w:spacing w:line="360" w:lineRule="auto"/>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验收项目环境风险防范措施落实情况如下：</w:t>
      </w:r>
    </w:p>
    <w:p>
      <w:pPr>
        <w:pStyle w:val="29"/>
        <w:pageBreakBefore w:val="0"/>
        <w:kinsoku/>
        <w:wordWrap/>
        <w:overflowPunct/>
        <w:topLinePunct w:val="0"/>
        <w:bidi w:val="0"/>
        <w:adjustRightInd/>
        <w:snapToGrid/>
        <w:spacing w:beforeLines="0"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表4-7  验收项目环境风险防范措施落实情况</w:t>
      </w:r>
    </w:p>
    <w:tbl>
      <w:tblPr>
        <w:tblStyle w:val="25"/>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1528"/>
        <w:gridCol w:w="1319"/>
        <w:gridCol w:w="3830"/>
        <w:gridCol w:w="133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tcBorders>
              <w:bottom w:val="single" w:color="auto" w:sz="12" w:space="0"/>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类别</w:t>
            </w:r>
          </w:p>
        </w:tc>
        <w:tc>
          <w:tcPr>
            <w:tcW w:w="827" w:type="pct"/>
            <w:tcBorders>
              <w:bottom w:val="single" w:color="auto" w:sz="12" w:space="0"/>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名称</w:t>
            </w:r>
          </w:p>
        </w:tc>
        <w:tc>
          <w:tcPr>
            <w:tcW w:w="714" w:type="pct"/>
            <w:tcBorders>
              <w:bottom w:val="single" w:color="auto" w:sz="12" w:space="0"/>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位置</w:t>
            </w:r>
          </w:p>
        </w:tc>
        <w:tc>
          <w:tcPr>
            <w:tcW w:w="2073" w:type="pct"/>
            <w:tcBorders>
              <w:bottom w:val="single" w:color="auto" w:sz="12" w:space="0"/>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风险预防工程、技术要求</w:t>
            </w:r>
          </w:p>
        </w:tc>
        <w:tc>
          <w:tcPr>
            <w:tcW w:w="724" w:type="pct"/>
            <w:tcBorders>
              <w:bottom w:val="single" w:color="auto" w:sz="12" w:space="0"/>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落实情况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风险防范措施</w:t>
            </w:r>
          </w:p>
        </w:tc>
        <w:tc>
          <w:tcPr>
            <w:tcW w:w="827"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物料贮存区</w:t>
            </w:r>
          </w:p>
        </w:tc>
        <w:tc>
          <w:tcPr>
            <w:tcW w:w="714"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危化品库</w:t>
            </w:r>
          </w:p>
        </w:tc>
        <w:tc>
          <w:tcPr>
            <w:tcW w:w="2073" w:type="pct"/>
            <w:vAlign w:val="center"/>
          </w:tcPr>
          <w:p>
            <w:pPr>
              <w:pStyle w:val="28"/>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液态物料贮存区域设置导流槽及收容设施，确保泄露物料得到有效收集进入事故收容设施，防止地表漫流进入雨水管网。同时配套应急处置物资如</w:t>
            </w:r>
            <w:r>
              <w:rPr>
                <w:rFonts w:hint="eastAsia" w:cs="Times New Roman"/>
                <w:color w:val="auto"/>
                <w:sz w:val="21"/>
                <w:szCs w:val="21"/>
                <w:lang w:val="en-US" w:eastAsia="zh-CN"/>
              </w:rPr>
              <w:t>防护手套、黄沙</w:t>
            </w:r>
            <w:r>
              <w:rPr>
                <w:rFonts w:hint="default" w:ascii="Times New Roman" w:hAnsi="Times New Roman" w:eastAsia="宋体" w:cs="Times New Roman"/>
                <w:color w:val="auto"/>
                <w:sz w:val="21"/>
                <w:szCs w:val="21"/>
              </w:rPr>
              <w:t>等</w:t>
            </w:r>
          </w:p>
        </w:tc>
        <w:tc>
          <w:tcPr>
            <w:tcW w:w="724"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Merge w:val="continue"/>
            <w:vAlign w:val="center"/>
          </w:tcPr>
          <w:p>
            <w:pPr>
              <w:pStyle w:val="28"/>
              <w:rPr>
                <w:rFonts w:hint="default" w:ascii="Times New Roman" w:hAnsi="Times New Roman" w:eastAsia="宋体" w:cs="Times New Roman"/>
                <w:color w:val="auto"/>
                <w:sz w:val="21"/>
                <w:szCs w:val="21"/>
              </w:rPr>
            </w:pPr>
          </w:p>
        </w:tc>
        <w:tc>
          <w:tcPr>
            <w:tcW w:w="827" w:type="pc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危险废物暂存区</w:t>
            </w:r>
          </w:p>
        </w:tc>
        <w:tc>
          <w:tcPr>
            <w:tcW w:w="714" w:type="pc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危废库</w:t>
            </w:r>
          </w:p>
        </w:tc>
        <w:tc>
          <w:tcPr>
            <w:tcW w:w="2073" w:type="pct"/>
            <w:vAlign w:val="center"/>
          </w:tcPr>
          <w:p>
            <w:pPr>
              <w:pStyle w:val="28"/>
              <w:jc w:val="both"/>
              <w:rPr>
                <w:rFonts w:hint="default" w:ascii="Times New Roman" w:hAnsi="Times New Roman" w:eastAsia="宋体" w:cs="Times New Roman"/>
                <w:color w:val="auto"/>
                <w:sz w:val="21"/>
                <w:szCs w:val="21"/>
                <w:lang w:val="en-US"/>
              </w:rPr>
            </w:pPr>
            <w:r>
              <w:rPr>
                <w:rFonts w:ascii="Times New Roman" w:hAnsi="Times New Roman"/>
                <w:color w:val="auto"/>
                <w:sz w:val="21"/>
                <w:szCs w:val="21"/>
              </w:rPr>
              <w:t>做好“四防”（防风、防雨、防晒、防渗漏）</w:t>
            </w:r>
            <w:r>
              <w:rPr>
                <w:rFonts w:hint="eastAsia" w:ascii="Times New Roman" w:hAnsi="Times New Roman"/>
                <w:color w:val="auto"/>
                <w:sz w:val="21"/>
                <w:szCs w:val="21"/>
                <w:lang w:eastAsia="zh-CN"/>
              </w:rPr>
              <w:t>，</w:t>
            </w:r>
            <w:r>
              <w:rPr>
                <w:rFonts w:hint="eastAsia" w:ascii="Times New Roman" w:hAnsi="Times New Roman"/>
                <w:color w:val="auto"/>
                <w:sz w:val="21"/>
                <w:szCs w:val="21"/>
                <w:lang w:val="en-US" w:eastAsia="zh-CN"/>
              </w:rPr>
              <w:t>配备</w:t>
            </w:r>
            <w:r>
              <w:rPr>
                <w:rFonts w:hint="eastAsia"/>
                <w:color w:val="auto"/>
                <w:sz w:val="21"/>
                <w:szCs w:val="21"/>
                <w:lang w:val="en-US" w:eastAsia="zh-CN"/>
              </w:rPr>
              <w:t>视频</w:t>
            </w:r>
            <w:r>
              <w:rPr>
                <w:rFonts w:hint="eastAsia" w:ascii="Times New Roman" w:hAnsi="Times New Roman"/>
                <w:color w:val="auto"/>
                <w:sz w:val="21"/>
                <w:szCs w:val="21"/>
                <w:lang w:val="en-US" w:eastAsia="zh-CN"/>
              </w:rPr>
              <w:t>监控设施及相应的应急物资如灭火器等</w:t>
            </w:r>
            <w:r>
              <w:rPr>
                <w:rFonts w:hint="eastAsia"/>
                <w:color w:val="auto"/>
                <w:sz w:val="21"/>
                <w:szCs w:val="21"/>
                <w:lang w:val="en-US" w:eastAsia="zh-CN"/>
              </w:rPr>
              <w:t>，环保标识牌粘贴上墙，危废台账齐全</w:t>
            </w:r>
          </w:p>
        </w:tc>
        <w:tc>
          <w:tcPr>
            <w:tcW w:w="724"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Merge w:val="continue"/>
            <w:vAlign w:val="center"/>
          </w:tcPr>
          <w:p>
            <w:pPr>
              <w:pStyle w:val="28"/>
              <w:rPr>
                <w:rFonts w:hint="default" w:ascii="Times New Roman" w:hAnsi="Times New Roman" w:eastAsia="宋体" w:cs="Times New Roman"/>
                <w:color w:val="auto"/>
                <w:sz w:val="21"/>
                <w:szCs w:val="21"/>
              </w:rPr>
            </w:pPr>
          </w:p>
        </w:tc>
        <w:tc>
          <w:tcPr>
            <w:tcW w:w="827"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rPr>
              <w:t>事故池</w:t>
            </w:r>
          </w:p>
        </w:tc>
        <w:tc>
          <w:tcPr>
            <w:tcW w:w="714"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1#生产车间西北角</w:t>
            </w:r>
          </w:p>
        </w:tc>
        <w:tc>
          <w:tcPr>
            <w:tcW w:w="2073" w:type="pct"/>
            <w:vAlign w:val="center"/>
          </w:tcPr>
          <w:p>
            <w:pPr>
              <w:pStyle w:val="28"/>
              <w:ind w:firstLine="0" w:firstLineChars="0"/>
              <w:jc w:val="both"/>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rPr>
              <w:t>已设置事故池1座，容积</w:t>
            </w:r>
            <w:r>
              <w:rPr>
                <w:rFonts w:hint="eastAsia" w:cs="Times New Roman"/>
                <w:color w:val="auto"/>
                <w:sz w:val="21"/>
                <w:szCs w:val="21"/>
                <w:lang w:val="en-US" w:eastAsia="zh-CN"/>
              </w:rPr>
              <w:t>10</w:t>
            </w:r>
            <w:r>
              <w:rPr>
                <w:rFonts w:hint="default" w:ascii="Times New Roman" w:hAnsi="Times New Roman" w:eastAsia="宋体" w:cs="Times New Roman"/>
                <w:color w:val="auto"/>
                <w:sz w:val="21"/>
                <w:szCs w:val="21"/>
              </w:rPr>
              <w:t>0m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，防止事故水排放</w:t>
            </w:r>
          </w:p>
        </w:tc>
        <w:tc>
          <w:tcPr>
            <w:tcW w:w="724"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Merge w:val="continue"/>
            <w:vAlign w:val="center"/>
          </w:tcPr>
          <w:p>
            <w:pPr>
              <w:pStyle w:val="28"/>
              <w:rPr>
                <w:rFonts w:hint="default" w:ascii="Times New Roman" w:hAnsi="Times New Roman" w:eastAsia="宋体" w:cs="Times New Roman"/>
                <w:color w:val="auto"/>
                <w:sz w:val="21"/>
                <w:szCs w:val="21"/>
              </w:rPr>
            </w:pPr>
          </w:p>
        </w:tc>
        <w:tc>
          <w:tcPr>
            <w:tcW w:w="827"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rPr>
              <w:t>消防系统及应急人员个人防护</w:t>
            </w:r>
          </w:p>
        </w:tc>
        <w:tc>
          <w:tcPr>
            <w:tcW w:w="714" w:type="pct"/>
            <w:vAlign w:val="center"/>
          </w:tcPr>
          <w:p>
            <w:pPr>
              <w:pStyle w:val="28"/>
              <w:ind w:left="-140" w:leftChars="-50" w:right="-140" w:rightChars="-50"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rPr>
              <w:t>全厂消防系统</w:t>
            </w:r>
          </w:p>
        </w:tc>
        <w:tc>
          <w:tcPr>
            <w:tcW w:w="2073" w:type="pct"/>
            <w:vAlign w:val="center"/>
          </w:tcPr>
          <w:p>
            <w:pPr>
              <w:pStyle w:val="28"/>
              <w:ind w:firstLine="0" w:firstLineChars="0"/>
              <w:jc w:val="both"/>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rPr>
              <w:t>制定企业突发环境事件应急预案，配备消防及火灾报警设备、消防物资、车间防火防爆预警装置、</w:t>
            </w:r>
            <w:r>
              <w:rPr>
                <w:rFonts w:hint="eastAsia" w:cs="Times New Roman"/>
                <w:color w:val="auto"/>
                <w:sz w:val="21"/>
                <w:szCs w:val="21"/>
                <w:lang w:val="en-US" w:eastAsia="zh-CN"/>
              </w:rPr>
              <w:t>气体泄露浓度报警器</w:t>
            </w:r>
            <w:r>
              <w:rPr>
                <w:rFonts w:hint="default" w:ascii="Times New Roman" w:hAnsi="Times New Roman" w:eastAsia="宋体" w:cs="Times New Roman"/>
                <w:color w:val="auto"/>
                <w:sz w:val="21"/>
                <w:szCs w:val="21"/>
              </w:rPr>
              <w:t>等装备及物资。</w:t>
            </w:r>
          </w:p>
        </w:tc>
        <w:tc>
          <w:tcPr>
            <w:tcW w:w="724"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预案编制</w:t>
            </w:r>
          </w:p>
        </w:tc>
        <w:tc>
          <w:tcPr>
            <w:tcW w:w="827" w:type="pct"/>
            <w:vAlign w:val="center"/>
          </w:tcPr>
          <w:p>
            <w:pPr>
              <w:pStyle w:val="28"/>
              <w:ind w:left="-140" w:leftChars="-50" w:right="-140" w:rightChars="-5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应急预案编制</w:t>
            </w:r>
          </w:p>
        </w:tc>
        <w:tc>
          <w:tcPr>
            <w:tcW w:w="714"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全厂总预案</w:t>
            </w:r>
          </w:p>
        </w:tc>
        <w:tc>
          <w:tcPr>
            <w:tcW w:w="2073"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已编制应急预案</w:t>
            </w:r>
          </w:p>
        </w:tc>
        <w:tc>
          <w:tcPr>
            <w:tcW w:w="724"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预案演练</w:t>
            </w:r>
          </w:p>
        </w:tc>
        <w:tc>
          <w:tcPr>
            <w:tcW w:w="827"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应急演练</w:t>
            </w:r>
          </w:p>
        </w:tc>
        <w:tc>
          <w:tcPr>
            <w:tcW w:w="714"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全厂</w:t>
            </w:r>
          </w:p>
        </w:tc>
        <w:tc>
          <w:tcPr>
            <w:tcW w:w="2073"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1年1次</w:t>
            </w:r>
          </w:p>
        </w:tc>
        <w:tc>
          <w:tcPr>
            <w:tcW w:w="724"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bl>
    <w:p>
      <w:pPr>
        <w:pStyle w:val="2"/>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4.2.2 规范化排污口</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cs="Times New Roman"/>
          <w:color w:val="auto"/>
          <w:sz w:val="21"/>
          <w:szCs w:val="21"/>
          <w:highlight w:val="none"/>
          <w:lang w:val="en-US" w:eastAsia="zh-CN"/>
        </w:rPr>
      </w:pPr>
      <w:r>
        <w:rPr>
          <w:rFonts w:hint="eastAsia" w:cs="Times New Roman"/>
          <w:color w:val="auto"/>
          <w:sz w:val="21"/>
          <w:szCs w:val="21"/>
          <w:lang w:val="en-US" w:eastAsia="zh-CN"/>
        </w:rPr>
        <w:t>缔壹公司</w:t>
      </w:r>
      <w:r>
        <w:rPr>
          <w:rFonts w:hint="default" w:ascii="Times New Roman" w:hAnsi="Times New Roman" w:eastAsia="宋体" w:cs="Times New Roman"/>
          <w:color w:val="auto"/>
          <w:sz w:val="21"/>
          <w:szCs w:val="21"/>
        </w:rPr>
        <w:t>废水、废气的排污口均落实了《江苏省排污口设置及规范化整治管理办法》（苏环控[1997]122号）等</w:t>
      </w:r>
      <w:r>
        <w:rPr>
          <w:rFonts w:hint="default" w:ascii="Times New Roman" w:hAnsi="Times New Roman" w:eastAsia="宋体" w:cs="Times New Roman"/>
          <w:color w:val="auto"/>
          <w:sz w:val="21"/>
          <w:szCs w:val="21"/>
          <w:highlight w:val="none"/>
        </w:rPr>
        <w:t>文件的要求，设置了规范化的标识，废气采样孔按照规范进行设置。</w:t>
      </w:r>
      <w:r>
        <w:rPr>
          <w:rFonts w:hint="eastAsia" w:cs="Times New Roman"/>
          <w:color w:val="auto"/>
          <w:sz w:val="21"/>
          <w:szCs w:val="21"/>
          <w:highlight w:val="none"/>
          <w:lang w:val="en-US" w:eastAsia="zh-CN"/>
        </w:rPr>
        <w:t>具体排污口现场照片详见附图。</w:t>
      </w:r>
    </w:p>
    <w:p>
      <w:pPr>
        <w:keepNext w:val="0"/>
        <w:keepLines w:val="0"/>
        <w:pageBreakBefore w:val="0"/>
        <w:widowControl/>
        <w:tabs>
          <w:tab w:val="left" w:pos="1200"/>
        </w:tabs>
        <w:kinsoku/>
        <w:wordWrap/>
        <w:overflowPunct/>
        <w:topLinePunct w:val="0"/>
        <w:autoSpaceDE/>
        <w:autoSpaceDN/>
        <w:bidi w:val="0"/>
        <w:adjustRightInd w:val="0"/>
        <w:snapToGrid w:val="0"/>
        <w:spacing w:after="0" w:line="360" w:lineRule="auto"/>
        <w:ind w:firstLine="422" w:firstLineChars="200"/>
        <w:jc w:val="both"/>
        <w:textAlignment w:val="auto"/>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（1）废气排放口</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建设单位已设置</w:t>
      </w:r>
      <w:r>
        <w:rPr>
          <w:rFonts w:hint="eastAsia" w:eastAsia="宋体" w:cs="Times New Roman"/>
          <w:color w:val="auto"/>
          <w:sz w:val="21"/>
          <w:szCs w:val="21"/>
          <w:lang w:val="en-US" w:eastAsia="zh-CN"/>
        </w:rPr>
        <w:t>2</w:t>
      </w:r>
      <w:r>
        <w:rPr>
          <w:rFonts w:hint="default" w:ascii="Times New Roman" w:hAnsi="Times New Roman" w:eastAsia="宋体" w:cs="Times New Roman"/>
          <w:color w:val="auto"/>
          <w:sz w:val="21"/>
          <w:szCs w:val="21"/>
          <w:lang w:val="en-US" w:eastAsia="zh-CN"/>
        </w:rPr>
        <w:t>根排气筒，</w:t>
      </w:r>
      <w:r>
        <w:rPr>
          <w:rFonts w:hint="default" w:ascii="Times New Roman" w:hAnsi="Times New Roman" w:eastAsia="宋体" w:cs="Times New Roman"/>
          <w:color w:val="auto"/>
          <w:sz w:val="21"/>
          <w:szCs w:val="21"/>
        </w:rPr>
        <w:t>1#~</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#生产线混胶、涂胶、烘烤废气</w:t>
      </w:r>
      <w:r>
        <w:rPr>
          <w:rFonts w:hint="default" w:ascii="Times New Roman" w:hAnsi="Times New Roman" w:eastAsia="宋体" w:cs="Times New Roman"/>
          <w:color w:val="auto"/>
          <w:sz w:val="21"/>
          <w:szCs w:val="21"/>
          <w:lang w:val="en-US" w:eastAsia="zh-CN"/>
        </w:rPr>
        <w:t>经旋转式RTO装置处理后通过1根25米排气</w:t>
      </w:r>
      <w:r>
        <w:rPr>
          <w:rFonts w:hint="default" w:ascii="Times New Roman" w:hAnsi="Times New Roman" w:eastAsia="宋体" w:cs="Times New Roman"/>
          <w:color w:val="auto"/>
          <w:sz w:val="21"/>
          <w:szCs w:val="21"/>
          <w:highlight w:val="none"/>
          <w:lang w:val="en-US" w:eastAsia="zh-CN"/>
        </w:rPr>
        <w:t>筒（DA001）排放</w:t>
      </w:r>
      <w:r>
        <w:rPr>
          <w:rFonts w:hint="eastAsia"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#生产线天然气燃烧废气</w:t>
      </w:r>
      <w:r>
        <w:rPr>
          <w:rFonts w:hint="default" w:ascii="Times New Roman" w:hAnsi="Times New Roman" w:eastAsia="宋体" w:cs="Times New Roman"/>
          <w:color w:val="auto"/>
          <w:sz w:val="21"/>
          <w:szCs w:val="21"/>
          <w:highlight w:val="none"/>
          <w:lang w:val="en-US" w:eastAsia="zh-CN"/>
        </w:rPr>
        <w:t>由1根</w:t>
      </w:r>
      <w:r>
        <w:rPr>
          <w:rFonts w:hint="eastAsia" w:ascii="Times New Roman" w:hAnsi="Times New Roman" w:eastAsia="宋体" w:cs="Times New Roman"/>
          <w:color w:val="auto"/>
          <w:sz w:val="21"/>
          <w:szCs w:val="21"/>
          <w:highlight w:val="none"/>
          <w:lang w:val="en-US" w:eastAsia="zh-CN"/>
        </w:rPr>
        <w:t>15</w:t>
      </w:r>
      <w:r>
        <w:rPr>
          <w:rFonts w:hint="default" w:ascii="Times New Roman" w:hAnsi="Times New Roman" w:eastAsia="宋体" w:cs="Times New Roman"/>
          <w:color w:val="auto"/>
          <w:sz w:val="21"/>
          <w:szCs w:val="21"/>
          <w:highlight w:val="none"/>
          <w:lang w:val="en-US" w:eastAsia="zh-CN"/>
        </w:rPr>
        <w:t>米排气筒（DA00</w:t>
      </w:r>
      <w:r>
        <w:rPr>
          <w:rFonts w:hint="eastAsia"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）排放</w:t>
      </w:r>
      <w:r>
        <w:rPr>
          <w:rFonts w:hint="eastAsia" w:ascii="Times New Roman" w:hAnsi="Times New Roman" w:eastAsia="宋体" w:cs="Times New Roman"/>
          <w:color w:val="auto"/>
          <w:sz w:val="21"/>
          <w:szCs w:val="21"/>
          <w:lang w:val="en-US" w:eastAsia="zh-CN"/>
        </w:rPr>
        <w:t>；目前建设单位已按照要求搭设采样平台，分别在</w:t>
      </w:r>
      <w:r>
        <w:rPr>
          <w:rFonts w:hint="default" w:ascii="Times New Roman" w:hAnsi="Times New Roman" w:eastAsia="宋体" w:cs="Times New Roman"/>
          <w:color w:val="auto"/>
          <w:sz w:val="21"/>
          <w:szCs w:val="21"/>
          <w:lang w:val="en-US" w:eastAsia="zh-CN"/>
        </w:rPr>
        <w:t>转式RTO装置</w:t>
      </w:r>
      <w:r>
        <w:rPr>
          <w:rFonts w:hint="eastAsia" w:ascii="Times New Roman" w:hAnsi="Times New Roman" w:eastAsia="宋体" w:cs="Times New Roman"/>
          <w:color w:val="auto"/>
          <w:sz w:val="21"/>
          <w:szCs w:val="21"/>
          <w:lang w:val="en-US" w:eastAsia="zh-CN"/>
        </w:rPr>
        <w:t>设施进出口</w:t>
      </w:r>
      <w:r>
        <w:rPr>
          <w:rFonts w:hint="eastAsia" w:eastAsia="宋体" w:cs="Times New Roman"/>
          <w:color w:val="auto"/>
          <w:sz w:val="21"/>
          <w:szCs w:val="21"/>
          <w:lang w:val="en-US" w:eastAsia="zh-CN"/>
        </w:rPr>
        <w:t>以及</w:t>
      </w:r>
      <w:r>
        <w:rPr>
          <w:rFonts w:hint="default" w:ascii="Times New Roman" w:hAnsi="Times New Roman" w:eastAsia="宋体" w:cs="Times New Roman"/>
          <w:color w:val="auto"/>
          <w:sz w:val="21"/>
          <w:szCs w:val="21"/>
          <w:highlight w:val="none"/>
        </w:rPr>
        <w:t>天然气燃烧废气</w:t>
      </w:r>
      <w:r>
        <w:rPr>
          <w:rFonts w:hint="eastAsia" w:eastAsia="宋体" w:cs="Times New Roman"/>
          <w:color w:val="auto"/>
          <w:sz w:val="21"/>
          <w:szCs w:val="21"/>
          <w:highlight w:val="none"/>
          <w:lang w:val="en-US" w:eastAsia="zh-CN"/>
        </w:rPr>
        <w:t>出口</w:t>
      </w:r>
      <w:r>
        <w:rPr>
          <w:rFonts w:hint="eastAsia" w:ascii="Times New Roman" w:hAnsi="Times New Roman" w:eastAsia="宋体" w:cs="Times New Roman"/>
          <w:color w:val="auto"/>
          <w:sz w:val="21"/>
          <w:szCs w:val="21"/>
          <w:lang w:val="en-US" w:eastAsia="zh-CN"/>
        </w:rPr>
        <w:t>设置采样孔，并配有废气排口标识牌，具体详见附图。</w:t>
      </w:r>
    </w:p>
    <w:p>
      <w:pPr>
        <w:keepNext w:val="0"/>
        <w:keepLines w:val="0"/>
        <w:pageBreakBefore w:val="0"/>
        <w:widowControl/>
        <w:numPr>
          <w:ilvl w:val="0"/>
          <w:numId w:val="3"/>
        </w:numPr>
        <w:tabs>
          <w:tab w:val="left" w:pos="1200"/>
        </w:tabs>
        <w:kinsoku/>
        <w:wordWrap/>
        <w:overflowPunct/>
        <w:topLinePunct w:val="0"/>
        <w:autoSpaceDE/>
        <w:autoSpaceDN/>
        <w:bidi w:val="0"/>
        <w:adjustRightInd w:val="0"/>
        <w:snapToGrid w:val="0"/>
        <w:spacing w:after="0" w:line="360" w:lineRule="auto"/>
        <w:ind w:firstLine="422" w:firstLineChars="200"/>
        <w:jc w:val="both"/>
        <w:textAlignment w:val="auto"/>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废水排放口</w:t>
      </w:r>
    </w:p>
    <w:p>
      <w:pPr>
        <w:keepNext w:val="0"/>
        <w:keepLines w:val="0"/>
        <w:pageBreakBefore w:val="0"/>
        <w:widowControl/>
        <w:numPr>
          <w:numId w:val="0"/>
        </w:numPr>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本项目租赁</w:t>
      </w:r>
      <w:r>
        <w:rPr>
          <w:rFonts w:hint="eastAsia"/>
          <w:color w:val="auto"/>
          <w:sz w:val="21"/>
          <w:szCs w:val="21"/>
        </w:rPr>
        <w:t>江苏缔成特材科技有限公司</w:t>
      </w:r>
      <w:r>
        <w:rPr>
          <w:rFonts w:hint="eastAsia" w:ascii="Times New Roman" w:hAnsi="Times New Roman" w:eastAsia="宋体" w:cs="Times New Roman"/>
          <w:color w:val="auto"/>
          <w:sz w:val="21"/>
          <w:szCs w:val="21"/>
          <w:lang w:val="en-US" w:eastAsia="zh-CN"/>
        </w:rPr>
        <w:t>内现有闲置厂房，生活污水依托</w:t>
      </w:r>
      <w:r>
        <w:rPr>
          <w:rFonts w:hint="eastAsia"/>
          <w:color w:val="auto"/>
          <w:sz w:val="21"/>
          <w:szCs w:val="21"/>
        </w:rPr>
        <w:t>江苏缔成特材科技有限公司</w:t>
      </w:r>
      <w:r>
        <w:rPr>
          <w:rFonts w:hint="eastAsia" w:ascii="Times New Roman" w:hAnsi="Times New Roman" w:eastAsia="宋体" w:cs="Times New Roman"/>
          <w:color w:val="auto"/>
          <w:sz w:val="21"/>
          <w:szCs w:val="21"/>
          <w:lang w:val="en-US" w:eastAsia="zh-CN"/>
        </w:rPr>
        <w:t>污水排放口，排污口</w:t>
      </w:r>
      <w:r>
        <w:rPr>
          <w:rFonts w:hint="eastAsia" w:eastAsia="宋体" w:cs="Times New Roman"/>
          <w:color w:val="auto"/>
          <w:sz w:val="21"/>
          <w:szCs w:val="21"/>
          <w:lang w:val="en-US" w:eastAsia="zh-CN"/>
        </w:rPr>
        <w:t>位于厂区东北侧出口处，已配备废水排口标识牌。</w:t>
      </w:r>
    </w:p>
    <w:p>
      <w:pPr>
        <w:keepNext w:val="0"/>
        <w:keepLines w:val="0"/>
        <w:pageBreakBefore w:val="0"/>
        <w:widowControl/>
        <w:tabs>
          <w:tab w:val="left" w:pos="1200"/>
        </w:tabs>
        <w:kinsoku/>
        <w:wordWrap/>
        <w:overflowPunct/>
        <w:topLinePunct w:val="0"/>
        <w:autoSpaceDE/>
        <w:autoSpaceDN/>
        <w:bidi w:val="0"/>
        <w:adjustRightInd w:val="0"/>
        <w:snapToGrid w:val="0"/>
        <w:spacing w:after="0" w:line="360" w:lineRule="auto"/>
        <w:ind w:firstLine="422" w:firstLineChars="200"/>
        <w:jc w:val="both"/>
        <w:textAlignment w:val="auto"/>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（3）雨水排放口</w:t>
      </w:r>
    </w:p>
    <w:p>
      <w:pPr>
        <w:keepNext w:val="0"/>
        <w:keepLines w:val="0"/>
        <w:pageBreakBefore w:val="0"/>
        <w:widowControl/>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default"/>
          <w:color w:val="auto"/>
          <w:lang w:val="en-US"/>
        </w:rPr>
      </w:pPr>
      <w:r>
        <w:rPr>
          <w:rFonts w:hint="eastAsia" w:ascii="Times New Roman" w:hAnsi="Times New Roman" w:eastAsia="宋体" w:cs="Times New Roman"/>
          <w:color w:val="auto"/>
          <w:sz w:val="21"/>
          <w:szCs w:val="21"/>
          <w:lang w:val="en-US" w:eastAsia="zh-CN"/>
        </w:rPr>
        <w:t>本项目雨水排口依托</w:t>
      </w:r>
      <w:r>
        <w:rPr>
          <w:rFonts w:hint="eastAsia"/>
          <w:color w:val="auto"/>
          <w:sz w:val="21"/>
          <w:szCs w:val="21"/>
        </w:rPr>
        <w:t>江苏缔成特材科技有限公司</w:t>
      </w:r>
      <w:r>
        <w:rPr>
          <w:rFonts w:hint="eastAsia" w:ascii="Times New Roman" w:hAnsi="Times New Roman" w:eastAsia="宋体" w:cs="Times New Roman"/>
          <w:color w:val="auto"/>
          <w:sz w:val="21"/>
          <w:szCs w:val="21"/>
          <w:lang w:val="en-US" w:eastAsia="zh-CN"/>
        </w:rPr>
        <w:t>雨水排放口，雨水排口位于</w:t>
      </w:r>
      <w:r>
        <w:rPr>
          <w:rFonts w:hint="eastAsia" w:eastAsia="宋体" w:cs="Times New Roman"/>
          <w:color w:val="auto"/>
          <w:sz w:val="21"/>
          <w:szCs w:val="21"/>
          <w:lang w:val="en-US" w:eastAsia="zh-CN"/>
        </w:rPr>
        <w:t>厂区东北侧出口处，已配备雨水排口标识牌。</w:t>
      </w:r>
    </w:p>
    <w:p>
      <w:pPr>
        <w:keepNext w:val="0"/>
        <w:keepLines w:val="0"/>
        <w:pageBreakBefore w:val="0"/>
        <w:tabs>
          <w:tab w:val="left" w:pos="1200"/>
        </w:tabs>
        <w:kinsoku/>
        <w:wordWrap/>
        <w:overflowPunct/>
        <w:topLinePunct w:val="0"/>
        <w:bidi w:val="0"/>
        <w:adjustRightInd w:val="0"/>
        <w:snapToGrid w:val="0"/>
        <w:spacing w:after="0" w:line="360" w:lineRule="auto"/>
        <w:ind w:firstLine="422" w:firstLineChars="200"/>
        <w:jc w:val="both"/>
        <w:textAlignment w:val="auto"/>
        <w:rPr>
          <w:rFonts w:hint="default" w:ascii="Times New Roman" w:hAnsi="Times New Roman" w:eastAsia="宋体"/>
          <w:b/>
          <w:bCs/>
          <w:color w:val="auto"/>
          <w:sz w:val="21"/>
          <w:szCs w:val="21"/>
          <w:lang w:val="en-US" w:eastAsia="zh-CN"/>
        </w:rPr>
      </w:pPr>
      <w:r>
        <w:rPr>
          <w:rFonts w:hint="eastAsia" w:ascii="Times New Roman" w:hAnsi="Times New Roman" w:eastAsia="宋体"/>
          <w:b/>
          <w:bCs/>
          <w:color w:val="auto"/>
          <w:sz w:val="21"/>
          <w:szCs w:val="21"/>
          <w:lang w:eastAsia="zh-CN"/>
        </w:rPr>
        <w:t>（</w:t>
      </w:r>
      <w:r>
        <w:rPr>
          <w:rFonts w:hint="eastAsia" w:ascii="Times New Roman" w:hAnsi="Times New Roman" w:eastAsia="宋体"/>
          <w:b/>
          <w:bCs/>
          <w:color w:val="auto"/>
          <w:sz w:val="21"/>
          <w:szCs w:val="21"/>
          <w:lang w:val="en-US" w:eastAsia="zh-CN"/>
        </w:rPr>
        <w:t>4</w:t>
      </w:r>
      <w:r>
        <w:rPr>
          <w:rFonts w:hint="eastAsia" w:ascii="Times New Roman" w:hAnsi="Times New Roman" w:eastAsia="宋体"/>
          <w:b/>
          <w:bCs/>
          <w:color w:val="auto"/>
          <w:sz w:val="21"/>
          <w:szCs w:val="21"/>
          <w:lang w:eastAsia="zh-CN"/>
        </w:rPr>
        <w:t>）</w:t>
      </w:r>
      <w:r>
        <w:rPr>
          <w:rFonts w:hint="eastAsia" w:ascii="Times New Roman" w:hAnsi="Times New Roman" w:eastAsia="宋体"/>
          <w:b/>
          <w:bCs/>
          <w:color w:val="auto"/>
          <w:sz w:val="21"/>
          <w:szCs w:val="21"/>
          <w:lang w:val="en-US" w:eastAsia="zh-CN"/>
        </w:rPr>
        <w:t>监测设施情况</w:t>
      </w:r>
    </w:p>
    <w:p>
      <w:pPr>
        <w:keepNext w:val="0"/>
        <w:keepLines w:val="0"/>
        <w:pageBreakBefore w:val="0"/>
        <w:tabs>
          <w:tab w:val="left" w:pos="1200"/>
        </w:tabs>
        <w:kinsoku/>
        <w:wordWrap/>
        <w:overflowPunct/>
        <w:topLinePunct w:val="0"/>
        <w:bidi w:val="0"/>
        <w:adjustRightInd w:val="0"/>
        <w:snapToGrid w:val="0"/>
        <w:spacing w:after="0" w:line="360" w:lineRule="auto"/>
        <w:ind w:firstLine="420" w:firstLineChars="200"/>
        <w:jc w:val="both"/>
        <w:textAlignment w:val="auto"/>
        <w:rPr>
          <w:rFonts w:ascii="Times New Roman" w:hAnsi="Times New Roman" w:eastAsia="宋体"/>
          <w:color w:val="auto"/>
          <w:sz w:val="21"/>
          <w:szCs w:val="21"/>
        </w:rPr>
      </w:pPr>
      <w:r>
        <w:rPr>
          <w:rFonts w:ascii="Times New Roman" w:hAnsi="Times New Roman" w:eastAsia="宋体"/>
          <w:color w:val="auto"/>
          <w:sz w:val="21"/>
          <w:szCs w:val="21"/>
        </w:rPr>
        <w:t>根据环评报告内容，项目废水</w:t>
      </w:r>
      <w:r>
        <w:rPr>
          <w:rFonts w:hint="eastAsia" w:ascii="Times New Roman" w:hAnsi="Times New Roman" w:eastAsia="宋体"/>
          <w:color w:val="auto"/>
          <w:sz w:val="21"/>
          <w:szCs w:val="21"/>
          <w:lang w:eastAsia="zh-CN"/>
        </w:rPr>
        <w:t>、</w:t>
      </w:r>
      <w:r>
        <w:rPr>
          <w:rFonts w:hint="eastAsia" w:ascii="Times New Roman" w:hAnsi="Times New Roman" w:eastAsia="宋体"/>
          <w:color w:val="auto"/>
          <w:sz w:val="21"/>
          <w:szCs w:val="21"/>
          <w:lang w:val="en-US" w:eastAsia="zh-CN"/>
        </w:rPr>
        <w:t>废气</w:t>
      </w:r>
      <w:r>
        <w:rPr>
          <w:rFonts w:ascii="Times New Roman" w:hAnsi="Times New Roman" w:eastAsia="宋体"/>
          <w:color w:val="auto"/>
          <w:sz w:val="21"/>
          <w:szCs w:val="21"/>
        </w:rPr>
        <w:t>无需安装在线监测装置。</w:t>
      </w:r>
    </w:p>
    <w:p>
      <w:pPr>
        <w:pStyle w:val="11"/>
        <w:rPr>
          <w:rFonts w:hint="default"/>
          <w:lang w:val="en-US" w:eastAsia="zh-CN"/>
        </w:rPr>
      </w:pPr>
    </w:p>
    <w:p>
      <w:pPr>
        <w:pageBreakBefore w:val="0"/>
        <w:widowControl w:val="0"/>
        <w:kinsoku/>
        <w:wordWrap/>
        <w:overflowPunct/>
        <w:topLinePunct w:val="0"/>
        <w:autoSpaceDE w:val="0"/>
        <w:autoSpaceDN w:val="0"/>
        <w:bidi w:val="0"/>
        <w:adjustRightInd/>
        <w:snapToGrid/>
        <w:ind w:firstLine="0" w:firstLineChars="0"/>
        <w:textAlignment w:val="auto"/>
        <w:rPr>
          <w:rFonts w:hint="default" w:ascii="Times New Roman" w:hAnsi="Times New Roman" w:eastAsia="宋体" w:cs="Times New Roman"/>
          <w:color w:val="FF0000"/>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4"/>
        <w:keepNext/>
        <w:keepLines/>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25" w:name="_Toc4340"/>
      <w:r>
        <w:rPr>
          <w:rFonts w:hint="default" w:ascii="Times New Roman" w:hAnsi="Times New Roman" w:eastAsia="宋体" w:cs="Times New Roman"/>
          <w:color w:val="auto"/>
        </w:rPr>
        <w:t>4.3 环保设施投资及“三同时”落实情况</w:t>
      </w:r>
      <w:bookmarkEnd w:id="25"/>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验收项目总投资</w:t>
      </w:r>
      <w:r>
        <w:rPr>
          <w:rFonts w:hint="eastAsia" w:cs="Times New Roman"/>
          <w:color w:val="auto"/>
          <w:sz w:val="21"/>
          <w:szCs w:val="21"/>
          <w:lang w:val="en-US" w:eastAsia="zh-CN"/>
        </w:rPr>
        <w:t>2000</w:t>
      </w:r>
      <w:r>
        <w:rPr>
          <w:rFonts w:hint="default" w:ascii="Times New Roman" w:hAnsi="Times New Roman" w:eastAsia="宋体" w:cs="Times New Roman"/>
          <w:color w:val="auto"/>
          <w:sz w:val="21"/>
          <w:szCs w:val="21"/>
        </w:rPr>
        <w:t>万元，其中环保投资</w:t>
      </w:r>
      <w:r>
        <w:rPr>
          <w:rFonts w:hint="eastAsia" w:cs="Times New Roman"/>
          <w:color w:val="auto"/>
          <w:sz w:val="21"/>
          <w:szCs w:val="21"/>
          <w:lang w:val="en-US" w:eastAsia="zh-CN"/>
        </w:rPr>
        <w:t>300</w:t>
      </w:r>
      <w:r>
        <w:rPr>
          <w:rFonts w:hint="default" w:ascii="Times New Roman" w:hAnsi="Times New Roman" w:eastAsia="宋体" w:cs="Times New Roman"/>
          <w:color w:val="auto"/>
          <w:sz w:val="21"/>
          <w:szCs w:val="21"/>
        </w:rPr>
        <w:t>万元，环保投资占总投资的</w:t>
      </w:r>
      <w:r>
        <w:rPr>
          <w:rFonts w:hint="eastAsia" w:cs="Times New Roman"/>
          <w:color w:val="auto"/>
          <w:sz w:val="21"/>
          <w:szCs w:val="21"/>
          <w:lang w:val="en-US" w:eastAsia="zh-CN"/>
        </w:rPr>
        <w:t>15</w:t>
      </w:r>
      <w:r>
        <w:rPr>
          <w:rFonts w:hint="default" w:ascii="Times New Roman" w:hAnsi="Times New Roman" w:eastAsia="宋体" w:cs="Times New Roman"/>
          <w:color w:val="auto"/>
          <w:sz w:val="21"/>
          <w:szCs w:val="21"/>
        </w:rPr>
        <w:t>%。环保设施投资及“三同时”落实情况见表4-8。</w:t>
      </w:r>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表4-8  环保设施投资及“三同时”落实情况一览表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488"/>
        <w:gridCol w:w="1254"/>
        <w:gridCol w:w="1324"/>
        <w:gridCol w:w="3303"/>
        <w:gridCol w:w="1407"/>
        <w:gridCol w:w="3233"/>
        <w:gridCol w:w="1234"/>
        <w:gridCol w:w="7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tblHeader/>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项目名称</w:t>
            </w:r>
          </w:p>
        </w:tc>
        <w:tc>
          <w:tcPr>
            <w:tcW w:w="4466" w:type="pct"/>
            <w:gridSpan w:val="7"/>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imes New Roman" w:hAnsi="Times New Roman" w:eastAsia="宋体" w:cs="Times New Roman"/>
                <w:b/>
                <w:color w:val="auto"/>
                <w:sz w:val="21"/>
                <w:szCs w:val="21"/>
                <w:lang w:eastAsia="zh-CN"/>
              </w:rPr>
            </w:pPr>
            <w:r>
              <w:rPr>
                <w:rFonts w:hint="default" w:ascii="Times New Roman" w:hAnsi="Times New Roman" w:eastAsia="宋体" w:cs="Times New Roman"/>
                <w:b/>
                <w:color w:val="auto"/>
                <w:sz w:val="21"/>
                <w:szCs w:val="21"/>
                <w:lang w:eastAsia="zh-CN"/>
              </w:rPr>
              <w:t>缔壹电工科技（江苏）有限公司</w:t>
            </w:r>
            <w:r>
              <w:rPr>
                <w:rFonts w:hint="eastAsia" w:cs="Times New Roman"/>
                <w:b/>
                <w:color w:val="auto"/>
                <w:sz w:val="21"/>
                <w:szCs w:val="21"/>
                <w:lang w:eastAsia="zh-CN"/>
              </w:rPr>
              <w:t>缔壹电工科技锂电池胶带项目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tblHeader/>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类别</w:t>
            </w:r>
          </w:p>
        </w:tc>
        <w:tc>
          <w:tcPr>
            <w:tcW w:w="449"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污染源</w:t>
            </w:r>
          </w:p>
        </w:tc>
        <w:tc>
          <w:tcPr>
            <w:tcW w:w="47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污染物</w:t>
            </w:r>
          </w:p>
        </w:tc>
        <w:tc>
          <w:tcPr>
            <w:tcW w:w="118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bCs/>
                <w:color w:val="auto"/>
                <w:sz w:val="21"/>
                <w:szCs w:val="21"/>
              </w:rPr>
              <w:t>环评及批复中治理措施要求</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环评要求处理效果、执行标准或拟达标准</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实际建设情况</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项目环保投资</w:t>
            </w:r>
          </w:p>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（万元）</w:t>
            </w:r>
          </w:p>
        </w:tc>
        <w:tc>
          <w:tcPr>
            <w:tcW w:w="256"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完成时间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29" w:hRule="atLeast"/>
          <w:jc w:val="center"/>
        </w:trPr>
        <w:tc>
          <w:tcPr>
            <w:tcW w:w="533" w:type="pct"/>
            <w:vMerge w:val="restar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44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混胶、涂胶、烘烤</w:t>
            </w:r>
            <w:r>
              <w:rPr>
                <w:rFonts w:hint="eastAsia" w:ascii="Times New Roman" w:hAnsi="Times New Roman" w:eastAsia="宋体" w:cs="Times New Roman"/>
                <w:color w:val="auto"/>
                <w:sz w:val="21"/>
                <w:szCs w:val="21"/>
                <w:lang w:val="en-US" w:eastAsia="zh-CN"/>
              </w:rPr>
              <w:t>工序</w:t>
            </w:r>
          </w:p>
        </w:tc>
        <w:tc>
          <w:tcPr>
            <w:tcW w:w="47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kern w:val="0"/>
                <w:sz w:val="21"/>
                <w:szCs w:val="21"/>
                <w:lang w:val="en-US" w:eastAsia="zh-CN"/>
              </w:rPr>
              <w:t>乙酸乙酯、甲苯、甲醇、</w:t>
            </w:r>
            <w:r>
              <w:rPr>
                <w:rFonts w:hint="default" w:ascii="Times New Roman" w:hAnsi="Times New Roman" w:eastAsia="宋体" w:cs="Times New Roman"/>
                <w:b w:val="0"/>
                <w:bCs/>
                <w:color w:val="auto"/>
                <w:sz w:val="21"/>
                <w:szCs w:val="21"/>
                <w:lang w:val="en-US" w:eastAsia="zh-CN"/>
              </w:rPr>
              <w:t>非甲烷总烃</w:t>
            </w:r>
          </w:p>
        </w:tc>
        <w:tc>
          <w:tcPr>
            <w:tcW w:w="1183"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混胶、涂胶废气采用密闭收集；烘烤废气管道密闭收集。</w:t>
            </w:r>
            <w:r>
              <w:rPr>
                <w:color w:val="auto"/>
                <w:sz w:val="21"/>
                <w:szCs w:val="21"/>
              </w:rPr>
              <w:t>有机废气收集后经旋转式RTO热力燃烧装置处理后通过</w:t>
            </w:r>
            <w:r>
              <w:rPr>
                <w:rFonts w:hint="eastAsia"/>
                <w:color w:val="auto"/>
                <w:sz w:val="21"/>
                <w:szCs w:val="21"/>
                <w:lang w:val="en-US" w:eastAsia="zh-CN"/>
              </w:rPr>
              <w:t>1根</w:t>
            </w:r>
            <w:r>
              <w:rPr>
                <w:color w:val="auto"/>
                <w:sz w:val="21"/>
                <w:szCs w:val="21"/>
              </w:rPr>
              <w:t>25米高排气筒</w:t>
            </w:r>
            <w:r>
              <w:rPr>
                <w:rFonts w:hint="eastAsia"/>
                <w:color w:val="auto"/>
                <w:sz w:val="21"/>
                <w:szCs w:val="21"/>
                <w:lang w:eastAsia="zh-CN"/>
              </w:rPr>
              <w:t>（</w:t>
            </w:r>
            <w:r>
              <w:rPr>
                <w:rFonts w:hint="default" w:ascii="Times New Roman" w:hAnsi="Times New Roman" w:eastAsia="宋体" w:cs="Times New Roman"/>
                <w:color w:val="auto"/>
                <w:sz w:val="21"/>
                <w:szCs w:val="21"/>
              </w:rPr>
              <w:t>DA00</w:t>
            </w:r>
            <w:r>
              <w:rPr>
                <w:rFonts w:hint="eastAsia" w:ascii="Times New Roman" w:hAnsi="Times New Roman" w:cs="Times New Roman"/>
                <w:color w:val="auto"/>
                <w:sz w:val="21"/>
                <w:szCs w:val="21"/>
                <w:lang w:val="en-US" w:eastAsia="zh-CN"/>
              </w:rPr>
              <w:t>1</w:t>
            </w:r>
            <w:r>
              <w:rPr>
                <w:rFonts w:hint="eastAsia"/>
                <w:color w:val="auto"/>
                <w:sz w:val="21"/>
                <w:szCs w:val="21"/>
                <w:lang w:eastAsia="zh-CN"/>
              </w:rPr>
              <w:t>）</w:t>
            </w:r>
            <w:r>
              <w:rPr>
                <w:color w:val="auto"/>
                <w:sz w:val="21"/>
                <w:szCs w:val="21"/>
              </w:rPr>
              <w:t>排放</w:t>
            </w:r>
          </w:p>
        </w:tc>
        <w:tc>
          <w:tcPr>
            <w:tcW w:w="50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达标排放</w:t>
            </w:r>
          </w:p>
        </w:tc>
        <w:tc>
          <w:tcPr>
            <w:tcW w:w="115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混胶、涂胶废气采用密闭收集；烘烤废气管道密闭收集。</w:t>
            </w:r>
            <w:r>
              <w:rPr>
                <w:color w:val="auto"/>
                <w:sz w:val="21"/>
                <w:szCs w:val="21"/>
              </w:rPr>
              <w:t>有机废气收集后经旋转式RTO热力燃烧装置处理后通过</w:t>
            </w:r>
            <w:r>
              <w:rPr>
                <w:rFonts w:hint="eastAsia"/>
                <w:color w:val="auto"/>
                <w:sz w:val="21"/>
                <w:szCs w:val="21"/>
                <w:lang w:val="en-US" w:eastAsia="zh-CN"/>
              </w:rPr>
              <w:t>1根</w:t>
            </w:r>
            <w:r>
              <w:rPr>
                <w:color w:val="auto"/>
                <w:sz w:val="21"/>
                <w:szCs w:val="21"/>
              </w:rPr>
              <w:t>25米高排气筒</w:t>
            </w:r>
            <w:r>
              <w:rPr>
                <w:rFonts w:hint="eastAsia"/>
                <w:color w:val="auto"/>
                <w:sz w:val="21"/>
                <w:szCs w:val="21"/>
                <w:lang w:eastAsia="zh-CN"/>
              </w:rPr>
              <w:t>（</w:t>
            </w:r>
            <w:r>
              <w:rPr>
                <w:rFonts w:hint="default" w:ascii="Times New Roman" w:hAnsi="Times New Roman" w:eastAsia="宋体" w:cs="Times New Roman"/>
                <w:color w:val="auto"/>
                <w:sz w:val="21"/>
                <w:szCs w:val="21"/>
              </w:rPr>
              <w:t>DA00</w:t>
            </w:r>
            <w:r>
              <w:rPr>
                <w:rFonts w:hint="eastAsia" w:ascii="Times New Roman" w:hAnsi="Times New Roman" w:cs="Times New Roman"/>
                <w:color w:val="auto"/>
                <w:sz w:val="21"/>
                <w:szCs w:val="21"/>
                <w:lang w:val="en-US" w:eastAsia="zh-CN"/>
              </w:rPr>
              <w:t>1</w:t>
            </w:r>
            <w:r>
              <w:rPr>
                <w:rFonts w:hint="eastAsia"/>
                <w:color w:val="auto"/>
                <w:sz w:val="21"/>
                <w:szCs w:val="21"/>
                <w:lang w:eastAsia="zh-CN"/>
              </w:rPr>
              <w:t>）</w:t>
            </w:r>
            <w:r>
              <w:rPr>
                <w:color w:val="auto"/>
                <w:sz w:val="21"/>
                <w:szCs w:val="21"/>
              </w:rPr>
              <w:t>排放</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225</w:t>
            </w:r>
          </w:p>
        </w:tc>
        <w:tc>
          <w:tcPr>
            <w:tcW w:w="256" w:type="pct"/>
            <w:vMerge w:val="restar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与项目同步设计、同时施工、同时投产使用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704" w:hRule="atLeast"/>
          <w:jc w:val="center"/>
        </w:trPr>
        <w:tc>
          <w:tcPr>
            <w:tcW w:w="533"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eastAsia" w:cs="Times New Roman"/>
                <w:color w:val="auto"/>
                <w:sz w:val="21"/>
                <w:szCs w:val="21"/>
                <w:lang w:val="en-US" w:eastAsia="zh-CN" w:bidi="ar"/>
              </w:rPr>
              <w:t>导热油炉房</w:t>
            </w:r>
          </w:p>
        </w:tc>
        <w:tc>
          <w:tcPr>
            <w:tcW w:w="47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eastAsia"/>
                <w:color w:val="auto"/>
                <w:sz w:val="21"/>
                <w:szCs w:val="21"/>
                <w:lang w:val="en-US" w:eastAsia="zh-CN"/>
              </w:rPr>
              <w:t>烟尘、SO</w:t>
            </w:r>
            <w:r>
              <w:rPr>
                <w:rFonts w:hint="eastAsia"/>
                <w:color w:val="auto"/>
                <w:sz w:val="21"/>
                <w:szCs w:val="21"/>
                <w:vertAlign w:val="subscript"/>
                <w:lang w:val="en-US" w:eastAsia="zh-CN"/>
              </w:rPr>
              <w:t>2</w:t>
            </w:r>
            <w:r>
              <w:rPr>
                <w:rFonts w:hint="eastAsia"/>
                <w:color w:val="auto"/>
                <w:sz w:val="21"/>
                <w:szCs w:val="21"/>
                <w:lang w:val="en-US" w:eastAsia="zh-CN"/>
              </w:rPr>
              <w:t>、NO</w:t>
            </w:r>
            <w:r>
              <w:rPr>
                <w:rFonts w:hint="eastAsia"/>
                <w:color w:val="auto"/>
                <w:sz w:val="21"/>
                <w:szCs w:val="21"/>
                <w:vertAlign w:val="subscript"/>
                <w:lang w:val="en-US" w:eastAsia="zh-CN"/>
              </w:rPr>
              <w:t>X</w:t>
            </w:r>
          </w:p>
        </w:tc>
        <w:tc>
          <w:tcPr>
            <w:tcW w:w="1183"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eastAsia" w:cs="Times New Roman"/>
                <w:color w:val="auto"/>
                <w:sz w:val="21"/>
                <w:szCs w:val="21"/>
                <w:lang w:val="en-US" w:eastAsia="zh-CN" w:bidi="ar"/>
              </w:rPr>
              <w:t>导热油炉</w:t>
            </w:r>
            <w:r>
              <w:rPr>
                <w:rFonts w:hint="eastAsia" w:cs="Times New Roman"/>
                <w:color w:val="auto"/>
                <w:sz w:val="21"/>
                <w:szCs w:val="21"/>
                <w:lang w:val="en-US" w:eastAsia="zh-CN"/>
              </w:rPr>
              <w:t>采用低氮燃烧技术，</w:t>
            </w:r>
            <w:r>
              <w:rPr>
                <w:rFonts w:hint="default" w:ascii="Times New Roman" w:hAnsi="Times New Roman" w:eastAsia="宋体" w:cs="Times New Roman"/>
                <w:color w:val="auto"/>
                <w:sz w:val="21"/>
                <w:szCs w:val="21"/>
              </w:rPr>
              <w:t>燃烧废气</w:t>
            </w:r>
            <w:r>
              <w:rPr>
                <w:rFonts w:hint="default" w:ascii="Times New Roman" w:hAnsi="Times New Roman" w:eastAsia="宋体" w:cs="Times New Roman"/>
                <w:color w:val="auto"/>
                <w:sz w:val="21"/>
                <w:szCs w:val="21"/>
                <w:lang w:val="en-US" w:eastAsia="zh-CN"/>
              </w:rPr>
              <w:t>经</w:t>
            </w:r>
            <w:r>
              <w:rPr>
                <w:rFonts w:hint="default" w:ascii="Times New Roman" w:hAnsi="Times New Roman" w:eastAsia="宋体" w:cs="Times New Roman"/>
                <w:color w:val="auto"/>
                <w:sz w:val="21"/>
                <w:szCs w:val="21"/>
              </w:rPr>
              <w:t>管道密闭收集</w:t>
            </w:r>
            <w:r>
              <w:rPr>
                <w:rFonts w:hint="default" w:ascii="Times New Roman" w:hAnsi="Times New Roman" w:eastAsia="宋体" w:cs="Times New Roman"/>
                <w:color w:val="auto"/>
                <w:sz w:val="21"/>
                <w:szCs w:val="21"/>
                <w:lang w:val="en-US" w:eastAsia="zh-CN"/>
              </w:rPr>
              <w:t>后通过</w:t>
            </w:r>
            <w:r>
              <w:rPr>
                <w:rFonts w:hint="eastAsia" w:ascii="Times New Roman" w:hAnsi="Times New Roman" w:cs="Times New Roman"/>
                <w:color w:val="auto"/>
                <w:sz w:val="21"/>
                <w:szCs w:val="21"/>
                <w:lang w:val="en-US" w:eastAsia="zh-CN"/>
              </w:rPr>
              <w:t>1</w:t>
            </w:r>
            <w:r>
              <w:rPr>
                <w:rFonts w:hint="default" w:ascii="Times New Roman" w:hAnsi="Times New Roman" w:eastAsia="宋体" w:cs="Times New Roman"/>
                <w:color w:val="auto"/>
                <w:sz w:val="21"/>
                <w:szCs w:val="21"/>
                <w:lang w:val="en-US" w:eastAsia="zh-CN"/>
              </w:rPr>
              <w:t>根</w:t>
            </w:r>
            <w:r>
              <w:rPr>
                <w:rFonts w:hint="eastAsia" w:cs="Times New Roman"/>
                <w:color w:val="auto"/>
                <w:sz w:val="21"/>
                <w:szCs w:val="21"/>
                <w:lang w:val="en-US" w:eastAsia="zh-CN"/>
              </w:rPr>
              <w:t>25</w:t>
            </w:r>
            <w:r>
              <w:rPr>
                <w:rFonts w:hint="default" w:ascii="Times New Roman" w:hAnsi="Times New Roman" w:eastAsia="宋体" w:cs="Times New Roman"/>
                <w:color w:val="auto"/>
                <w:sz w:val="21"/>
                <w:szCs w:val="21"/>
                <w:lang w:val="en-US" w:eastAsia="zh-CN"/>
              </w:rPr>
              <w:t>米排气筒</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DA00</w:t>
            </w:r>
            <w:r>
              <w:rPr>
                <w:rFonts w:hint="eastAsia" w:ascii="Times New Roman" w:hAnsi="Times New Roman" w:cs="Times New Roman"/>
                <w:color w:val="auto"/>
                <w:sz w:val="21"/>
                <w:szCs w:val="21"/>
                <w:lang w:val="en-US" w:eastAsia="zh-CN"/>
              </w:rPr>
              <w:t>2</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排放</w:t>
            </w:r>
          </w:p>
        </w:tc>
        <w:tc>
          <w:tcPr>
            <w:tcW w:w="50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达标排放</w:t>
            </w:r>
          </w:p>
        </w:tc>
        <w:tc>
          <w:tcPr>
            <w:tcW w:w="115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燃烧废气</w:t>
            </w:r>
            <w:r>
              <w:rPr>
                <w:rFonts w:hint="default" w:ascii="Times New Roman" w:hAnsi="Times New Roman" w:eastAsia="宋体" w:cs="Times New Roman"/>
                <w:color w:val="auto"/>
                <w:sz w:val="21"/>
                <w:szCs w:val="21"/>
                <w:lang w:val="en-US" w:eastAsia="zh-CN"/>
              </w:rPr>
              <w:t>经</w:t>
            </w:r>
            <w:r>
              <w:rPr>
                <w:rFonts w:hint="default" w:ascii="Times New Roman" w:hAnsi="Times New Roman" w:eastAsia="宋体" w:cs="Times New Roman"/>
                <w:color w:val="auto"/>
                <w:sz w:val="21"/>
                <w:szCs w:val="21"/>
              </w:rPr>
              <w:t>管道密闭收集</w:t>
            </w:r>
            <w:r>
              <w:rPr>
                <w:rFonts w:hint="default" w:ascii="Times New Roman" w:hAnsi="Times New Roman" w:eastAsia="宋体" w:cs="Times New Roman"/>
                <w:color w:val="auto"/>
                <w:sz w:val="21"/>
                <w:szCs w:val="21"/>
                <w:lang w:val="en-US" w:eastAsia="zh-CN"/>
              </w:rPr>
              <w:t>后通过</w:t>
            </w:r>
            <w:r>
              <w:rPr>
                <w:rFonts w:hint="eastAsia" w:ascii="Times New Roman" w:hAnsi="Times New Roman" w:cs="Times New Roman"/>
                <w:color w:val="auto"/>
                <w:sz w:val="21"/>
                <w:szCs w:val="21"/>
                <w:lang w:val="en-US" w:eastAsia="zh-CN"/>
              </w:rPr>
              <w:t>1</w:t>
            </w:r>
            <w:r>
              <w:rPr>
                <w:rFonts w:hint="default" w:ascii="Times New Roman" w:hAnsi="Times New Roman" w:eastAsia="宋体" w:cs="Times New Roman"/>
                <w:color w:val="auto"/>
                <w:sz w:val="21"/>
                <w:szCs w:val="21"/>
                <w:lang w:val="en-US" w:eastAsia="zh-CN"/>
              </w:rPr>
              <w:t>根</w:t>
            </w:r>
            <w:r>
              <w:rPr>
                <w:rFonts w:hint="eastAsia" w:ascii="Times New Roman" w:hAnsi="Times New Roman" w:cs="Times New Roman"/>
                <w:color w:val="auto"/>
                <w:sz w:val="21"/>
                <w:szCs w:val="21"/>
                <w:lang w:val="en-US" w:eastAsia="zh-CN"/>
              </w:rPr>
              <w:t>15</w:t>
            </w:r>
            <w:r>
              <w:rPr>
                <w:rFonts w:hint="default" w:ascii="Times New Roman" w:hAnsi="Times New Roman" w:eastAsia="宋体" w:cs="Times New Roman"/>
                <w:color w:val="auto"/>
                <w:sz w:val="21"/>
                <w:szCs w:val="21"/>
                <w:lang w:val="en-US" w:eastAsia="zh-CN"/>
              </w:rPr>
              <w:t>米排气筒</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DA00</w:t>
            </w:r>
            <w:r>
              <w:rPr>
                <w:rFonts w:hint="eastAsia" w:ascii="Times New Roman" w:hAnsi="Times New Roman" w:cs="Times New Roman"/>
                <w:color w:val="auto"/>
                <w:sz w:val="21"/>
                <w:szCs w:val="21"/>
                <w:lang w:val="en-US" w:eastAsia="zh-CN"/>
              </w:rPr>
              <w:t>2</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排放</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w:t>
            </w:r>
          </w:p>
        </w:tc>
        <w:tc>
          <w:tcPr>
            <w:tcW w:w="449"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生活污水</w:t>
            </w:r>
          </w:p>
        </w:tc>
        <w:tc>
          <w:tcPr>
            <w:tcW w:w="47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COD、SS、氨氮、总磷</w:t>
            </w:r>
          </w:p>
        </w:tc>
        <w:tc>
          <w:tcPr>
            <w:tcW w:w="1183"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生活污水</w:t>
            </w:r>
            <w:r>
              <w:rPr>
                <w:rFonts w:hint="eastAsia" w:ascii="Times New Roman" w:hAnsi="Times New Roman" w:eastAsia="宋体" w:cs="Times New Roman"/>
                <w:color w:val="auto"/>
                <w:sz w:val="21"/>
                <w:szCs w:val="21"/>
                <w:lang w:val="en-US" w:eastAsia="zh-CN"/>
              </w:rPr>
              <w:t>经化粪池预处理后接管至金坛区第二污水处理厂集中处理</w:t>
            </w:r>
            <w:r>
              <w:rPr>
                <w:rFonts w:hint="eastAsia" w:cs="Times New Roman"/>
                <w:color w:val="auto"/>
                <w:sz w:val="21"/>
                <w:szCs w:val="21"/>
                <w:lang w:val="en-US" w:eastAsia="zh-CN"/>
              </w:rPr>
              <w:t>，依托缔成公司化粪池</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达接管标准</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rPr>
            </w:pPr>
            <w:r>
              <w:rPr>
                <w:rFonts w:hint="eastAsia" w:cs="Times New Roman"/>
                <w:color w:val="auto"/>
                <w:sz w:val="21"/>
                <w:szCs w:val="21"/>
                <w:lang w:val="en-US" w:eastAsia="zh-CN"/>
              </w:rPr>
              <w:t>生活污水</w:t>
            </w:r>
            <w:r>
              <w:rPr>
                <w:rFonts w:hint="eastAsia" w:ascii="Times New Roman" w:hAnsi="Times New Roman" w:eastAsia="宋体" w:cs="Times New Roman"/>
                <w:color w:val="auto"/>
                <w:sz w:val="21"/>
                <w:szCs w:val="21"/>
                <w:lang w:val="en-US" w:eastAsia="zh-CN"/>
              </w:rPr>
              <w:t>经化粪池预处理后接管至金坛区第二污水处理厂集中处理</w:t>
            </w:r>
            <w:r>
              <w:rPr>
                <w:rFonts w:hint="eastAsia" w:cs="Times New Roman"/>
                <w:color w:val="auto"/>
                <w:sz w:val="21"/>
                <w:szCs w:val="21"/>
                <w:lang w:val="en-US" w:eastAsia="zh-CN"/>
              </w:rPr>
              <w:t>，依托缔成公司化粪池</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w:t>
            </w:r>
          </w:p>
        </w:tc>
        <w:tc>
          <w:tcPr>
            <w:tcW w:w="449"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设备噪声</w:t>
            </w:r>
          </w:p>
        </w:tc>
        <w:tc>
          <w:tcPr>
            <w:tcW w:w="47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18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ascii="Times New Roman" w:hAnsi="Times New Roman"/>
                <w:bCs/>
                <w:color w:val="auto"/>
                <w:sz w:val="21"/>
                <w:szCs w:val="21"/>
              </w:rPr>
              <w:t>选用低噪声设备；</w:t>
            </w:r>
            <w:r>
              <w:rPr>
                <w:rFonts w:ascii="Times New Roman" w:hAnsi="Times New Roman"/>
                <w:color w:val="auto"/>
                <w:sz w:val="21"/>
                <w:szCs w:val="21"/>
              </w:rPr>
              <w:t>设备减振、厂房隔音</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达GB12348-2008中</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级标准</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ascii="Times New Roman" w:hAnsi="Times New Roman"/>
                <w:bCs/>
                <w:color w:val="auto"/>
                <w:sz w:val="21"/>
                <w:szCs w:val="21"/>
              </w:rPr>
              <w:t>选用低噪声设备；</w:t>
            </w:r>
            <w:r>
              <w:rPr>
                <w:rFonts w:ascii="Times New Roman" w:hAnsi="Times New Roman"/>
                <w:color w:val="auto"/>
                <w:sz w:val="21"/>
                <w:szCs w:val="21"/>
              </w:rPr>
              <w:t>设备减振、厂房隔音</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533" w:type="pct"/>
            <w:vMerge w:val="restar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固废</w:t>
            </w:r>
          </w:p>
        </w:tc>
        <w:tc>
          <w:tcPr>
            <w:tcW w:w="449"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危险废物</w:t>
            </w:r>
          </w:p>
        </w:tc>
        <w:tc>
          <w:tcPr>
            <w:tcW w:w="47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废包装桶</w:t>
            </w:r>
          </w:p>
        </w:tc>
        <w:tc>
          <w:tcPr>
            <w:tcW w:w="118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1</w:t>
            </w:r>
            <w:r>
              <w:rPr>
                <w:rFonts w:hint="default" w:ascii="Times New Roman" w:hAnsi="Times New Roman" w:eastAsia="宋体" w:cs="Times New Roman"/>
                <w:color w:val="auto"/>
                <w:sz w:val="21"/>
                <w:szCs w:val="21"/>
              </w:rPr>
              <w:t>座危废仓库</w:t>
            </w:r>
            <w:r>
              <w:rPr>
                <w:rFonts w:hint="eastAsia" w:cs="Times New Roman"/>
                <w:color w:val="auto"/>
                <w:sz w:val="21"/>
                <w:szCs w:val="21"/>
                <w:lang w:val="en-US" w:eastAsia="zh-CN"/>
              </w:rPr>
              <w:t>50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p>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危废收集后委托有资质单位处置</w:t>
            </w:r>
          </w:p>
        </w:tc>
        <w:tc>
          <w:tcPr>
            <w:tcW w:w="504" w:type="pct"/>
            <w:vMerge w:val="restar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零排放</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新建一座</w:t>
            </w:r>
            <w:r>
              <w:rPr>
                <w:rFonts w:hint="eastAsia" w:cs="Times New Roman"/>
                <w:color w:val="auto"/>
                <w:sz w:val="21"/>
                <w:szCs w:val="21"/>
                <w:lang w:val="en-US" w:eastAsia="zh-CN"/>
              </w:rPr>
              <w:t>5</w:t>
            </w:r>
            <w:r>
              <w:rPr>
                <w:rFonts w:hint="default" w:ascii="Times New Roman" w:hAnsi="Times New Roman" w:eastAsia="宋体" w:cs="Times New Roman"/>
                <w:color w:val="auto"/>
                <w:sz w:val="21"/>
                <w:szCs w:val="21"/>
              </w:rPr>
              <w:t>0m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color w:val="auto"/>
                <w:sz w:val="21"/>
                <w:szCs w:val="21"/>
              </w:rPr>
              <w:t>危险废物暂存仓库</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项目危险废</w:t>
            </w:r>
            <w:r>
              <w:rPr>
                <w:rFonts w:hint="default" w:ascii="Times New Roman" w:hAnsi="Times New Roman" w:eastAsia="宋体" w:cs="Times New Roman"/>
                <w:color w:val="auto"/>
                <w:sz w:val="21"/>
                <w:szCs w:val="21"/>
                <w:highlight w:val="none"/>
              </w:rPr>
              <w:t>物委托常州普达环保清洗有限公司处置，目</w:t>
            </w:r>
            <w:r>
              <w:rPr>
                <w:rFonts w:hint="default" w:ascii="Times New Roman" w:hAnsi="Times New Roman" w:eastAsia="宋体" w:cs="Times New Roman"/>
                <w:color w:val="auto"/>
                <w:sz w:val="21"/>
                <w:szCs w:val="21"/>
              </w:rPr>
              <w:t>前已签署危废协议</w:t>
            </w:r>
          </w:p>
        </w:tc>
        <w:tc>
          <w:tcPr>
            <w:tcW w:w="442" w:type="pct"/>
            <w:vMerge w:val="restar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533"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9"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一般固废</w:t>
            </w:r>
          </w:p>
        </w:tc>
        <w:tc>
          <w:tcPr>
            <w:tcW w:w="47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废边角料</w:t>
            </w:r>
          </w:p>
        </w:tc>
        <w:tc>
          <w:tcPr>
            <w:tcW w:w="118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外售</w:t>
            </w:r>
            <w:r>
              <w:rPr>
                <w:rFonts w:hint="eastAsia" w:ascii="Times New Roman" w:hAnsi="Times New Roman" w:eastAsia="宋体" w:cs="Times New Roman"/>
                <w:color w:val="auto"/>
                <w:sz w:val="21"/>
                <w:szCs w:val="21"/>
                <w:highlight w:val="none"/>
                <w:lang w:val="en-US" w:eastAsia="zh-CN"/>
              </w:rPr>
              <w:t>物资回收单位回收利用</w:t>
            </w:r>
          </w:p>
        </w:tc>
        <w:tc>
          <w:tcPr>
            <w:tcW w:w="504"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项目设置1座</w:t>
            </w:r>
            <w:r>
              <w:rPr>
                <w:rFonts w:hint="eastAsia" w:cs="Times New Roman"/>
                <w:color w:val="auto"/>
                <w:sz w:val="21"/>
                <w:szCs w:val="21"/>
                <w:highlight w:val="none"/>
                <w:lang w:val="en-US" w:eastAsia="zh-CN"/>
              </w:rPr>
              <w:t>30</w:t>
            </w:r>
            <w:r>
              <w:rPr>
                <w:rFonts w:hint="default" w:ascii="Times New Roman" w:hAnsi="Times New Roman" w:eastAsia="宋体" w:cs="Times New Roman"/>
                <w:color w:val="auto"/>
                <w:sz w:val="21"/>
                <w:szCs w:val="21"/>
                <w:highlight w:val="none"/>
              </w:rPr>
              <w:t>m</w:t>
            </w:r>
            <w:r>
              <w:rPr>
                <w:rFonts w:hint="default" w:ascii="Times New Roman" w:hAnsi="Times New Roman" w:eastAsia="宋体" w:cs="Times New Roman"/>
                <w:color w:val="auto"/>
                <w:sz w:val="21"/>
                <w:szCs w:val="21"/>
                <w:highlight w:val="none"/>
                <w:vertAlign w:val="superscript"/>
              </w:rPr>
              <w:t>2</w:t>
            </w:r>
            <w:r>
              <w:rPr>
                <w:rFonts w:hint="default" w:ascii="Times New Roman" w:hAnsi="Times New Roman" w:eastAsia="宋体" w:cs="Times New Roman"/>
                <w:color w:val="auto"/>
                <w:sz w:val="21"/>
                <w:szCs w:val="21"/>
                <w:highlight w:val="none"/>
              </w:rPr>
              <w:t>一般固废仓库，一般固废</w:t>
            </w:r>
            <w:r>
              <w:rPr>
                <w:rFonts w:hint="eastAsia" w:cs="Times New Roman"/>
                <w:b w:val="0"/>
                <w:bCs w:val="0"/>
                <w:color w:val="auto"/>
                <w:sz w:val="21"/>
                <w:szCs w:val="21"/>
                <w:highlight w:val="none"/>
                <w:lang w:val="en-US" w:eastAsia="zh-CN"/>
              </w:rPr>
              <w:t>委托常州市碧沙环保科技有限公司回收处置</w:t>
            </w:r>
          </w:p>
        </w:tc>
        <w:tc>
          <w:tcPr>
            <w:tcW w:w="442"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9"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生活垃圾</w:t>
            </w:r>
          </w:p>
        </w:tc>
        <w:tc>
          <w:tcPr>
            <w:tcW w:w="47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生活垃圾</w:t>
            </w:r>
          </w:p>
        </w:tc>
        <w:tc>
          <w:tcPr>
            <w:tcW w:w="118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交由环卫部门处置</w:t>
            </w:r>
          </w:p>
        </w:tc>
        <w:tc>
          <w:tcPr>
            <w:tcW w:w="504"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生活垃圾委托环卫处置</w:t>
            </w:r>
          </w:p>
        </w:tc>
        <w:tc>
          <w:tcPr>
            <w:tcW w:w="442"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事故应急措施</w:t>
            </w:r>
          </w:p>
        </w:tc>
        <w:tc>
          <w:tcPr>
            <w:tcW w:w="2106" w:type="pct"/>
            <w:gridSpan w:val="3"/>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依托缔成公司10</w:t>
            </w:r>
            <w:r>
              <w:rPr>
                <w:rFonts w:hint="default" w:ascii="Times New Roman" w:hAnsi="Times New Roman" w:eastAsia="宋体" w:cs="Times New Roman"/>
                <w:color w:val="auto"/>
                <w:sz w:val="21"/>
                <w:szCs w:val="21"/>
              </w:rPr>
              <w:t>0m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事故池1座，拟建项目风险防范设备等风险防范措施，并制定事故预防措施、风险应急预案、监管、建立制度等。</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确保事故发生时对环境的影响较小</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依托缔成公司10</w:t>
            </w:r>
            <w:r>
              <w:rPr>
                <w:rFonts w:hint="default" w:ascii="Times New Roman" w:hAnsi="Times New Roman" w:eastAsia="宋体" w:cs="Times New Roman"/>
                <w:color w:val="auto"/>
                <w:sz w:val="21"/>
                <w:szCs w:val="21"/>
              </w:rPr>
              <w:t>0m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的事故池1座，公司已制定突发环境事件应急预案并取得备案，已开展应急演练</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5</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环境管理（机构、监测能力）</w:t>
            </w:r>
          </w:p>
        </w:tc>
        <w:tc>
          <w:tcPr>
            <w:tcW w:w="2106" w:type="pct"/>
            <w:gridSpan w:val="3"/>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ascii="Times New Roman" w:hAnsi="Times New Roman"/>
                <w:bCs/>
                <w:color w:val="auto"/>
                <w:sz w:val="21"/>
                <w:szCs w:val="21"/>
              </w:rPr>
              <w:t>设立专门的环境管理机构和专职或兼职环保人员，负责环境保护监督管理工作</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实现有效环境管理</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项目已成立安环部门，制定环境管理计划</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清污分流、排污口规范化设置（流量计、在线监测仪表等）</w:t>
            </w:r>
          </w:p>
        </w:tc>
        <w:tc>
          <w:tcPr>
            <w:tcW w:w="2106" w:type="pct"/>
            <w:gridSpan w:val="3"/>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废水排口、排气筒、危废仓库、高噪声设备处等处应按照规范设置标识，醒目处树立环保图形标志牌。拟建项目新增</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根排气筒，各排气筒均应设置环保图形标志牌，设置便于采样监测的平台、采样孔；</w:t>
            </w:r>
            <w:r>
              <w:rPr>
                <w:rFonts w:hint="eastAsia" w:cs="Times New Roman"/>
                <w:color w:val="auto"/>
                <w:sz w:val="21"/>
                <w:szCs w:val="21"/>
                <w:lang w:val="en-US" w:eastAsia="zh-CN"/>
              </w:rPr>
              <w:t>依托现有</w:t>
            </w:r>
            <w:r>
              <w:rPr>
                <w:rFonts w:hint="default" w:ascii="Times New Roman" w:hAnsi="Times New Roman" w:eastAsia="宋体" w:cs="Times New Roman"/>
                <w:color w:val="auto"/>
                <w:sz w:val="21"/>
                <w:szCs w:val="21"/>
              </w:rPr>
              <w:t>1处污水排放口</w:t>
            </w:r>
            <w:r>
              <w:rPr>
                <w:rFonts w:hint="eastAsia" w:cs="Times New Roman"/>
                <w:color w:val="auto"/>
                <w:sz w:val="21"/>
                <w:szCs w:val="21"/>
                <w:lang w:val="en-US" w:eastAsia="zh-CN"/>
              </w:rPr>
              <w:t>和1</w:t>
            </w:r>
            <w:r>
              <w:rPr>
                <w:rFonts w:hint="default" w:ascii="Times New Roman" w:hAnsi="Times New Roman" w:eastAsia="宋体" w:cs="Times New Roman"/>
                <w:color w:val="auto"/>
                <w:sz w:val="21"/>
                <w:szCs w:val="21"/>
              </w:rPr>
              <w:t>个雨水排放口。</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实现有效监管</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验收项目设置</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根废气排放口，</w:t>
            </w:r>
            <w:r>
              <w:rPr>
                <w:rFonts w:hint="eastAsia" w:cs="Times New Roman"/>
                <w:color w:val="auto"/>
                <w:sz w:val="21"/>
                <w:szCs w:val="21"/>
                <w:lang w:val="en-US" w:eastAsia="zh-CN"/>
              </w:rPr>
              <w:t>依托</w:t>
            </w:r>
            <w:r>
              <w:rPr>
                <w:rFonts w:hint="default" w:ascii="Times New Roman" w:hAnsi="Times New Roman" w:eastAsia="宋体" w:cs="Times New Roman"/>
                <w:color w:val="auto"/>
                <w:sz w:val="21"/>
                <w:szCs w:val="21"/>
              </w:rPr>
              <w:t>1个污水总排口</w:t>
            </w:r>
            <w:r>
              <w:rPr>
                <w:rFonts w:hint="eastAsia" w:cs="Times New Roman"/>
                <w:color w:val="auto"/>
                <w:sz w:val="21"/>
                <w:szCs w:val="21"/>
                <w:lang w:val="en-US" w:eastAsia="zh-CN"/>
              </w:rPr>
              <w:t>和1</w:t>
            </w:r>
            <w:r>
              <w:rPr>
                <w:rFonts w:hint="default" w:ascii="Times New Roman" w:hAnsi="Times New Roman" w:eastAsia="宋体" w:cs="Times New Roman"/>
                <w:color w:val="auto"/>
                <w:sz w:val="21"/>
                <w:szCs w:val="21"/>
              </w:rPr>
              <w:t>个雨水排口，目前所有排口按规定设置环保图形标志牌，设置便于采样监测的平台、采样孔</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6</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“以新带老”措施</w:t>
            </w:r>
          </w:p>
        </w:tc>
        <w:tc>
          <w:tcPr>
            <w:tcW w:w="2106" w:type="pct"/>
            <w:gridSpan w:val="3"/>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总量控制</w:t>
            </w:r>
          </w:p>
        </w:tc>
        <w:tc>
          <w:tcPr>
            <w:tcW w:w="2106" w:type="pct"/>
            <w:gridSpan w:val="3"/>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废水总量控制指标为COD、</w:t>
            </w:r>
            <w:r>
              <w:rPr>
                <w:rFonts w:hint="eastAsia" w:cs="Times New Roman"/>
                <w:color w:val="auto"/>
                <w:sz w:val="21"/>
                <w:szCs w:val="21"/>
                <w:lang w:val="en-US" w:eastAsia="zh-CN"/>
              </w:rPr>
              <w:t>SS、</w:t>
            </w:r>
            <w:r>
              <w:rPr>
                <w:rFonts w:hint="default" w:ascii="Times New Roman" w:hAnsi="Times New Roman" w:eastAsia="宋体" w:cs="Times New Roman"/>
                <w:color w:val="auto"/>
                <w:sz w:val="21"/>
                <w:szCs w:val="21"/>
              </w:rPr>
              <w:t>氨氮、TP、TN；废气为乙酸乙酯</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甲苯</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甲醇</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非甲烷总烃</w:t>
            </w:r>
            <w:r>
              <w:rPr>
                <w:rFonts w:hint="eastAsia" w:cs="Times New Roman"/>
                <w:color w:val="auto"/>
                <w:sz w:val="21"/>
                <w:szCs w:val="21"/>
                <w:lang w:eastAsia="zh-CN"/>
              </w:rPr>
              <w:t>、</w:t>
            </w:r>
            <w:r>
              <w:rPr>
                <w:rFonts w:hint="eastAsia"/>
                <w:color w:val="auto"/>
                <w:sz w:val="21"/>
                <w:szCs w:val="21"/>
                <w:lang w:val="en-US" w:eastAsia="zh-CN"/>
              </w:rPr>
              <w:t>颗粒物、SO</w:t>
            </w:r>
            <w:r>
              <w:rPr>
                <w:rFonts w:hint="eastAsia"/>
                <w:color w:val="auto"/>
                <w:sz w:val="21"/>
                <w:szCs w:val="21"/>
                <w:vertAlign w:val="subscript"/>
                <w:lang w:val="en-US" w:eastAsia="zh-CN"/>
              </w:rPr>
              <w:t>2</w:t>
            </w:r>
            <w:r>
              <w:rPr>
                <w:rFonts w:hint="eastAsia"/>
                <w:color w:val="auto"/>
                <w:sz w:val="21"/>
                <w:szCs w:val="21"/>
                <w:lang w:val="en-US" w:eastAsia="zh-CN"/>
              </w:rPr>
              <w:t>、NO</w:t>
            </w:r>
            <w:r>
              <w:rPr>
                <w:rFonts w:hint="eastAsia"/>
                <w:color w:val="auto"/>
                <w:sz w:val="21"/>
                <w:szCs w:val="21"/>
                <w:vertAlign w:val="subscript"/>
                <w:lang w:val="en-US" w:eastAsia="zh-CN"/>
              </w:rPr>
              <w:t>X</w:t>
            </w:r>
            <w:r>
              <w:rPr>
                <w:rFonts w:hint="default" w:ascii="Times New Roman" w:hAnsi="Times New Roman" w:eastAsia="宋体" w:cs="Times New Roman"/>
                <w:color w:val="auto"/>
                <w:sz w:val="21"/>
                <w:szCs w:val="21"/>
              </w:rPr>
              <w:t>，在扬州经济技术开发区范围内平衡。</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项目污染物排放总量未突破环评总量</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区域解决问题</w:t>
            </w:r>
          </w:p>
        </w:tc>
        <w:tc>
          <w:tcPr>
            <w:tcW w:w="2106" w:type="pct"/>
            <w:gridSpan w:val="3"/>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卫生防护距离设置</w:t>
            </w:r>
          </w:p>
        </w:tc>
        <w:tc>
          <w:tcPr>
            <w:tcW w:w="2106" w:type="pct"/>
            <w:gridSpan w:val="3"/>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拟建项目</w:t>
            </w:r>
            <w:bookmarkStart w:id="26" w:name="_Hlk118879447"/>
            <w:r>
              <w:rPr>
                <w:rFonts w:ascii="Times New Roman" w:hAnsi="Times New Roman"/>
                <w:color w:val="auto"/>
                <w:sz w:val="21"/>
                <w:szCs w:val="21"/>
              </w:rPr>
              <w:t>需设置卫生防护距离从生产车间外延100m的</w:t>
            </w:r>
            <w:r>
              <w:rPr>
                <w:rFonts w:hint="eastAsia" w:ascii="Times New Roman" w:hAnsi="Times New Roman"/>
                <w:color w:val="auto"/>
                <w:sz w:val="21"/>
                <w:szCs w:val="21"/>
              </w:rPr>
              <w:t>距离</w:t>
            </w:r>
            <w:r>
              <w:rPr>
                <w:rFonts w:hint="default" w:ascii="Times New Roman" w:hAnsi="Times New Roman" w:eastAsia="宋体" w:cs="Times New Roman"/>
                <w:color w:val="auto"/>
                <w:sz w:val="21"/>
                <w:szCs w:val="21"/>
              </w:rPr>
              <w:t>。该范围内无居住区等环境保护目标。</w:t>
            </w:r>
            <w:bookmarkEnd w:id="26"/>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项目卫生防护距离内无居住区等环境保护目标</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256" w:type="pct"/>
            <w:vMerge w:val="continue"/>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33"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合计</w:t>
            </w:r>
          </w:p>
        </w:tc>
        <w:tc>
          <w:tcPr>
            <w:tcW w:w="2106" w:type="pct"/>
            <w:gridSpan w:val="3"/>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504"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158"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442"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300</w:t>
            </w:r>
          </w:p>
        </w:tc>
        <w:tc>
          <w:tcPr>
            <w:tcW w:w="256" w:type="pct"/>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bl>
    <w:p>
      <w:pPr>
        <w:pStyle w:val="6"/>
        <w:rPr>
          <w:rFonts w:hint="default" w:ascii="Times New Roman" w:hAnsi="Times New Roman" w:eastAsia="宋体" w:cs="Times New Roman"/>
          <w:color w:val="FF0000"/>
        </w:rPr>
      </w:pPr>
    </w:p>
    <w:p>
      <w:pPr>
        <w:pStyle w:val="6"/>
        <w:rPr>
          <w:rFonts w:hint="default" w:ascii="Times New Roman" w:hAnsi="Times New Roman" w:eastAsia="宋体" w:cs="Times New Roman"/>
          <w:color w:val="FF0000"/>
        </w:rPr>
        <w:sectPr>
          <w:pgSz w:w="16838" w:h="11906" w:orient="landscape"/>
          <w:pgMar w:top="1440" w:right="1440" w:bottom="1440" w:left="1440" w:header="851" w:footer="992" w:gutter="0"/>
          <w:pgBorders>
            <w:top w:val="none" w:sz="0" w:space="0"/>
            <w:left w:val="none" w:sz="0" w:space="0"/>
            <w:bottom w:val="none" w:sz="0" w:space="0"/>
            <w:right w:val="none" w:sz="0" w:space="0"/>
          </w:pgBorders>
          <w:cols w:space="0" w:num="1"/>
          <w:docGrid w:type="lines" w:linePitch="392" w:charSpace="0"/>
        </w:sectPr>
      </w:pPr>
    </w:p>
    <w:p>
      <w:pPr>
        <w:pStyle w:val="3"/>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27" w:name="_Toc8805"/>
      <w:r>
        <w:rPr>
          <w:rFonts w:hint="default" w:ascii="Times New Roman" w:hAnsi="Times New Roman" w:eastAsia="宋体" w:cs="Times New Roman"/>
          <w:color w:val="auto"/>
        </w:rPr>
        <w:t>5 报告书主要结论与建议及审批部门审批决定</w:t>
      </w:r>
      <w:bookmarkEnd w:id="27"/>
    </w:p>
    <w:p>
      <w:pPr>
        <w:pStyle w:val="4"/>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28" w:name="_Toc2259"/>
      <w:r>
        <w:rPr>
          <w:rFonts w:hint="default" w:ascii="Times New Roman" w:hAnsi="Times New Roman" w:eastAsia="宋体" w:cs="Times New Roman"/>
          <w:color w:val="auto"/>
        </w:rPr>
        <w:t>5.1 环境影响报告书主要结论与建议</w:t>
      </w:r>
      <w:bookmarkEnd w:id="28"/>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缔壹电工科技（江苏）有限公司</w:t>
      </w:r>
      <w:r>
        <w:rPr>
          <w:rFonts w:hint="eastAsia" w:cs="Times New Roman"/>
          <w:color w:val="auto"/>
          <w:sz w:val="21"/>
          <w:szCs w:val="21"/>
          <w:lang w:eastAsia="zh-CN"/>
        </w:rPr>
        <w:t>缔壹电工科技锂电池胶带项目</w:t>
      </w:r>
      <w:r>
        <w:rPr>
          <w:rFonts w:hint="default" w:ascii="Times New Roman" w:hAnsi="Times New Roman" w:eastAsia="宋体" w:cs="Times New Roman"/>
          <w:color w:val="auto"/>
          <w:sz w:val="21"/>
          <w:szCs w:val="21"/>
        </w:rPr>
        <w:t>环境影响报告书结论与建议章节中对废气、废水、固体废物及噪声污染防治设施的内容如下：</w:t>
      </w:r>
    </w:p>
    <w:p>
      <w:pPr>
        <w:pStyle w:val="29"/>
        <w:keepNext w:val="0"/>
        <w:keepLines w:val="0"/>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表5-1  环境影响报告书结论与建议章节污染防治设施内容摘录</w:t>
      </w:r>
    </w:p>
    <w:tbl>
      <w:tblPr>
        <w:tblStyle w:val="25"/>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3908"/>
        <w:gridCol w:w="375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0" w:type="dxa"/>
            <w:tcBorders>
              <w:bottom w:val="single" w:color="auto" w:sz="12" w:space="0"/>
            </w:tcBorders>
          </w:tcPr>
          <w:p>
            <w:pPr>
              <w:pStyle w:val="28"/>
              <w:spacing w:line="240" w:lineRule="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类别</w:t>
            </w:r>
          </w:p>
        </w:tc>
        <w:tc>
          <w:tcPr>
            <w:tcW w:w="3908" w:type="dxa"/>
            <w:tcBorders>
              <w:bottom w:val="single" w:color="auto" w:sz="12" w:space="0"/>
            </w:tcBorders>
          </w:tcPr>
          <w:p>
            <w:pPr>
              <w:pStyle w:val="28"/>
              <w:spacing w:line="240" w:lineRule="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环评报告书结论与建议内容摘录</w:t>
            </w:r>
          </w:p>
        </w:tc>
        <w:tc>
          <w:tcPr>
            <w:tcW w:w="3753" w:type="dxa"/>
            <w:tcBorders>
              <w:bottom w:val="single" w:color="auto" w:sz="12" w:space="0"/>
            </w:tcBorders>
          </w:tcPr>
          <w:p>
            <w:pPr>
              <w:pStyle w:val="28"/>
              <w:spacing w:line="240" w:lineRule="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落实情况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tcBorders>
              <w:top w:val="single" w:color="auto" w:sz="12" w:space="0"/>
            </w:tcBorders>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3908" w:type="dxa"/>
            <w:tcBorders>
              <w:top w:val="single" w:color="auto" w:sz="12" w:space="0"/>
            </w:tcBorders>
            <w:vAlign w:val="center"/>
          </w:tcPr>
          <w:p>
            <w:pPr>
              <w:pStyle w:val="28"/>
              <w:numPr>
                <w:ilvl w:val="0"/>
                <w:numId w:val="4"/>
              </w:numPr>
              <w:spacing w:line="240" w:lineRule="auto"/>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混胶、涂胶废气采用密闭收集；烘烤废气管道密闭收集。有机废气收集后经旋转式RTO热力燃烧装置处理后通过2根25米高排气筒（DA001、DA002）排放</w:t>
            </w:r>
            <w:r>
              <w:rPr>
                <w:rFonts w:hint="eastAsia" w:cs="Times New Roman"/>
                <w:color w:val="auto"/>
                <w:sz w:val="21"/>
                <w:szCs w:val="21"/>
                <w:lang w:eastAsia="zh-CN"/>
              </w:rPr>
              <w:t>；</w:t>
            </w:r>
          </w:p>
          <w:p>
            <w:pPr>
              <w:pStyle w:val="28"/>
              <w:numPr>
                <w:ilvl w:val="0"/>
                <w:numId w:val="4"/>
              </w:numPr>
              <w:spacing w:line="240" w:lineRule="auto"/>
              <w:jc w:val="both"/>
              <w:rPr>
                <w:rFonts w:hint="eastAsia"/>
                <w:color w:val="auto"/>
                <w:sz w:val="21"/>
                <w:szCs w:val="21"/>
                <w:lang w:val="en-US" w:eastAsia="zh-CN"/>
              </w:rPr>
            </w:pPr>
            <w:r>
              <w:rPr>
                <w:rFonts w:hint="default" w:ascii="Times New Roman" w:hAnsi="Times New Roman" w:eastAsia="宋体" w:cs="Times New Roman"/>
                <w:color w:val="auto"/>
                <w:sz w:val="21"/>
                <w:szCs w:val="21"/>
              </w:rPr>
              <w:t>导热油炉燃烧废气经管道密闭收集后通过2根25米排气筒（DA003、DA004）排放</w:t>
            </w:r>
          </w:p>
        </w:tc>
        <w:tc>
          <w:tcPr>
            <w:tcW w:w="3753" w:type="dxa"/>
            <w:tcBorders>
              <w:top w:val="single" w:color="auto" w:sz="12" w:space="0"/>
            </w:tcBorders>
            <w:vAlign w:val="center"/>
          </w:tcPr>
          <w:p>
            <w:pPr>
              <w:pStyle w:val="28"/>
              <w:numPr>
                <w:ilvl w:val="0"/>
                <w:numId w:val="5"/>
              </w:numPr>
              <w:spacing w:line="240" w:lineRule="auto"/>
              <w:jc w:val="both"/>
              <w:rPr>
                <w:rFonts w:hint="eastAsia" w:cs="Times New Roman"/>
                <w:color w:val="auto"/>
                <w:sz w:val="21"/>
                <w:szCs w:val="21"/>
                <w:lang w:val="en-US" w:eastAsia="zh-CN"/>
              </w:rPr>
            </w:pPr>
            <w:r>
              <w:rPr>
                <w:rFonts w:hint="eastAsia" w:cs="Times New Roman"/>
                <w:color w:val="auto"/>
                <w:sz w:val="21"/>
                <w:szCs w:val="21"/>
                <w:lang w:val="en-US" w:eastAsia="zh-CN"/>
              </w:rPr>
              <w:t>混胶、涂胶废气采用密闭收集；烘烤废气管道密闭收集。有机废气收集后经旋转式RTO热力燃烧装置处理后通过1根25米高排气筒（DA001）排放</w:t>
            </w:r>
          </w:p>
          <w:p>
            <w:pPr>
              <w:pStyle w:val="28"/>
              <w:numPr>
                <w:ilvl w:val="0"/>
                <w:numId w:val="0"/>
              </w:numPr>
              <w:spacing w:line="240" w:lineRule="auto"/>
              <w:jc w:val="both"/>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2、导热油炉燃烧废气经管道密闭收集后通过1根15米排气筒（DA002）排放，经验收监测数据可知，项目废气均满足相应排放标准限值要求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410" w:type="dxa"/>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w:t>
            </w:r>
          </w:p>
        </w:tc>
        <w:tc>
          <w:tcPr>
            <w:tcW w:w="3908" w:type="dxa"/>
            <w:vAlign w:val="center"/>
          </w:tcPr>
          <w:p>
            <w:pPr>
              <w:pStyle w:val="28"/>
              <w:spacing w:line="240" w:lineRule="auto"/>
              <w:jc w:val="left"/>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生活污水</w:t>
            </w:r>
            <w:r>
              <w:rPr>
                <w:rFonts w:hint="eastAsia" w:ascii="Times New Roman" w:hAnsi="Times New Roman" w:eastAsia="宋体" w:cs="Times New Roman"/>
                <w:color w:val="auto"/>
                <w:sz w:val="21"/>
                <w:szCs w:val="21"/>
                <w:lang w:val="en-US" w:eastAsia="zh-CN"/>
              </w:rPr>
              <w:t>经化粪池预处理后接管至金坛区第二污水处理厂集中处理</w:t>
            </w:r>
            <w:r>
              <w:rPr>
                <w:rFonts w:hint="eastAsia" w:cs="Times New Roman"/>
                <w:color w:val="auto"/>
                <w:sz w:val="21"/>
                <w:szCs w:val="21"/>
                <w:lang w:val="en-US" w:eastAsia="zh-CN"/>
              </w:rPr>
              <w:t>，依托缔成公司化粪池</w:t>
            </w:r>
          </w:p>
        </w:tc>
        <w:tc>
          <w:tcPr>
            <w:tcW w:w="375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both"/>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雨污分流，雨水通过雨水管网排入尧塘河；</w:t>
            </w:r>
            <w:r>
              <w:rPr>
                <w:rFonts w:hint="default" w:ascii="Times New Roman" w:hAnsi="Times New Roman" w:eastAsia="宋体" w:cs="Times New Roman"/>
                <w:color w:val="auto"/>
                <w:sz w:val="21"/>
                <w:szCs w:val="21"/>
                <w:highlight w:val="none"/>
              </w:rPr>
              <w:t>生活污水经化粪池处理后通过市政污水管网进入金坛区第二污水处理厂</w:t>
            </w:r>
            <w:r>
              <w:rPr>
                <w:rFonts w:hint="eastAsia"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经验收监测数据可知，项目生活污水排放满足</w:t>
            </w:r>
            <w:r>
              <w:rPr>
                <w:rFonts w:hint="eastAsia" w:ascii="Times New Roman" w:hAnsi="Times New Roman" w:eastAsia="宋体" w:cs="Times New Roman"/>
                <w:color w:val="auto"/>
                <w:sz w:val="21"/>
                <w:szCs w:val="21"/>
                <w:lang w:val="en-US" w:eastAsia="zh-CN"/>
              </w:rPr>
              <w:t>金坛区第二污水处理厂接管限值要求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pStyle w:val="28"/>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固体废物</w:t>
            </w:r>
          </w:p>
        </w:tc>
        <w:tc>
          <w:tcPr>
            <w:tcW w:w="3908" w:type="dxa"/>
            <w:vAlign w:val="center"/>
          </w:tcPr>
          <w:p>
            <w:pPr>
              <w:pStyle w:val="28"/>
              <w:spacing w:line="240" w:lineRule="auto"/>
              <w:jc w:val="both"/>
              <w:rPr>
                <w:rFonts w:hint="default" w:ascii="Times New Roman" w:hAnsi="Times New Roman" w:eastAsia="宋体" w:cs="Times New Roman"/>
                <w:color w:val="auto"/>
                <w:sz w:val="21"/>
                <w:szCs w:val="21"/>
                <w:lang w:val="en-US"/>
              </w:rPr>
            </w:pPr>
            <w:r>
              <w:rPr>
                <w:rFonts w:hint="eastAsia" w:cs="Times New Roman"/>
                <w:color w:val="auto"/>
                <w:sz w:val="21"/>
                <w:szCs w:val="21"/>
                <w:lang w:val="en-US" w:eastAsia="zh-CN"/>
              </w:rPr>
              <w:t>本项目产生的一般固废为废边角料，暂存于一般固废仓库（1座，30m</w:t>
            </w:r>
            <w:r>
              <w:rPr>
                <w:rFonts w:hint="eastAsia" w:cs="Times New Roman"/>
                <w:color w:val="auto"/>
                <w:sz w:val="21"/>
                <w:szCs w:val="21"/>
                <w:vertAlign w:val="superscript"/>
                <w:lang w:val="en-US" w:eastAsia="zh-CN"/>
              </w:rPr>
              <w:t>3</w:t>
            </w:r>
            <w:r>
              <w:rPr>
                <w:rFonts w:hint="eastAsia" w:cs="Times New Roman"/>
                <w:color w:val="auto"/>
                <w:sz w:val="21"/>
                <w:szCs w:val="21"/>
                <w:lang w:val="en-US" w:eastAsia="zh-CN"/>
              </w:rPr>
              <w:t>），外售回收处置；危险废物为废包装桶，暂存于危废仓库（1座，50m</w:t>
            </w:r>
            <w:r>
              <w:rPr>
                <w:rFonts w:hint="eastAsia" w:cs="Times New Roman"/>
                <w:color w:val="auto"/>
                <w:sz w:val="21"/>
                <w:szCs w:val="21"/>
                <w:vertAlign w:val="superscript"/>
                <w:lang w:val="en-US" w:eastAsia="zh-CN"/>
              </w:rPr>
              <w:t>3</w:t>
            </w:r>
            <w:r>
              <w:rPr>
                <w:rFonts w:hint="eastAsia" w:cs="Times New Roman"/>
                <w:color w:val="auto"/>
                <w:sz w:val="21"/>
                <w:szCs w:val="21"/>
                <w:lang w:val="en-US" w:eastAsia="zh-CN"/>
              </w:rPr>
              <w:t>），委托有资质单位处置；生活垃圾暂存于垃圾桶（若干），委托环卫清运。</w:t>
            </w:r>
          </w:p>
        </w:tc>
        <w:tc>
          <w:tcPr>
            <w:tcW w:w="3753" w:type="dxa"/>
            <w:vAlign w:val="center"/>
          </w:tcPr>
          <w:p>
            <w:pPr>
              <w:pStyle w:val="28"/>
              <w:spacing w:line="240" w:lineRule="auto"/>
              <w:jc w:val="left"/>
              <w:rPr>
                <w:rFonts w:hint="default" w:ascii="Times New Roman" w:hAnsi="Times New Roman" w:eastAsia="宋体" w:cs="Times New Roman"/>
                <w:color w:val="auto"/>
                <w:sz w:val="21"/>
                <w:szCs w:val="21"/>
                <w:lang w:val="en-US"/>
              </w:rPr>
            </w:pPr>
            <w:r>
              <w:rPr>
                <w:rFonts w:hint="eastAsia" w:cs="Times New Roman"/>
                <w:color w:val="auto"/>
                <w:sz w:val="21"/>
                <w:szCs w:val="21"/>
                <w:lang w:val="en-US" w:eastAsia="zh-CN"/>
              </w:rPr>
              <w:t>本项目产生的一般固废为废边角料，暂存于一般固废仓</w:t>
            </w:r>
            <w:r>
              <w:rPr>
                <w:rFonts w:hint="eastAsia" w:cs="Times New Roman"/>
                <w:color w:val="auto"/>
                <w:sz w:val="21"/>
                <w:szCs w:val="21"/>
                <w:highlight w:val="none"/>
                <w:lang w:val="en-US" w:eastAsia="zh-CN"/>
              </w:rPr>
              <w:t>库（1座，30m</w:t>
            </w:r>
            <w:r>
              <w:rPr>
                <w:rFonts w:hint="eastAsia" w:cs="Times New Roman"/>
                <w:color w:val="auto"/>
                <w:sz w:val="21"/>
                <w:szCs w:val="21"/>
                <w:highlight w:val="none"/>
                <w:vertAlign w:val="superscript"/>
                <w:lang w:val="en-US" w:eastAsia="zh-CN"/>
              </w:rPr>
              <w:t>3</w:t>
            </w:r>
            <w:r>
              <w:rPr>
                <w:rFonts w:hint="eastAsia" w:cs="Times New Roman"/>
                <w:color w:val="auto"/>
                <w:sz w:val="21"/>
                <w:szCs w:val="21"/>
                <w:highlight w:val="none"/>
                <w:lang w:val="en-US" w:eastAsia="zh-CN"/>
              </w:rPr>
              <w:t>），</w:t>
            </w:r>
            <w:r>
              <w:rPr>
                <w:rFonts w:hint="eastAsia" w:cs="Times New Roman"/>
                <w:b w:val="0"/>
                <w:bCs w:val="0"/>
                <w:color w:val="auto"/>
                <w:sz w:val="21"/>
                <w:szCs w:val="21"/>
                <w:highlight w:val="none"/>
                <w:lang w:val="en-US" w:eastAsia="zh-CN"/>
              </w:rPr>
              <w:t>委托常州市碧沙环保科技有限公司回收处置</w:t>
            </w:r>
            <w:r>
              <w:rPr>
                <w:rFonts w:hint="eastAsia" w:cs="Times New Roman"/>
                <w:color w:val="auto"/>
                <w:sz w:val="21"/>
                <w:szCs w:val="21"/>
                <w:highlight w:val="none"/>
                <w:lang w:val="en-US" w:eastAsia="zh-CN"/>
              </w:rPr>
              <w:t>；危险废物为废包装桶，暂存于危废仓库（1座，50m</w:t>
            </w:r>
            <w:r>
              <w:rPr>
                <w:rFonts w:hint="eastAsia" w:cs="Times New Roman"/>
                <w:color w:val="auto"/>
                <w:sz w:val="21"/>
                <w:szCs w:val="21"/>
                <w:highlight w:val="none"/>
                <w:vertAlign w:val="superscript"/>
                <w:lang w:val="en-US" w:eastAsia="zh-CN"/>
              </w:rPr>
              <w:t>3</w:t>
            </w:r>
            <w:r>
              <w:rPr>
                <w:rFonts w:hint="eastAsia" w:cs="Times New Roman"/>
                <w:color w:val="auto"/>
                <w:sz w:val="21"/>
                <w:szCs w:val="21"/>
                <w:highlight w:val="none"/>
                <w:lang w:val="en-US" w:eastAsia="zh-CN"/>
              </w:rPr>
              <w:t>），委托常州普达环保清洗有限公司处置；生活垃圾暂存于垃圾桶（若干），委托环</w:t>
            </w:r>
            <w:r>
              <w:rPr>
                <w:rFonts w:hint="eastAsia" w:cs="Times New Roman"/>
                <w:color w:val="auto"/>
                <w:sz w:val="21"/>
                <w:szCs w:val="21"/>
                <w:lang w:val="en-US" w:eastAsia="zh-CN"/>
              </w:rPr>
              <w:t>卫清运。项目固废均得到有效处置，不外排。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pStyle w:val="28"/>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w:t>
            </w:r>
          </w:p>
        </w:tc>
        <w:tc>
          <w:tcPr>
            <w:tcW w:w="3908" w:type="dxa"/>
          </w:tcPr>
          <w:p>
            <w:pPr>
              <w:pStyle w:val="28"/>
              <w:spacing w:line="240" w:lineRule="auto"/>
              <w:jc w:val="left"/>
              <w:rPr>
                <w:rFonts w:hint="default" w:ascii="Times New Roman" w:hAnsi="Times New Roman" w:eastAsia="宋体" w:cs="Times New Roman"/>
                <w:color w:val="auto"/>
                <w:sz w:val="21"/>
                <w:szCs w:val="21"/>
              </w:rPr>
            </w:pPr>
            <w:r>
              <w:rPr>
                <w:rFonts w:ascii="Times New Roman" w:hAnsi="Times New Roman"/>
                <w:bCs/>
                <w:color w:val="auto"/>
                <w:sz w:val="21"/>
                <w:szCs w:val="21"/>
              </w:rPr>
              <w:t>选用低噪声设备；</w:t>
            </w:r>
            <w:r>
              <w:rPr>
                <w:rFonts w:ascii="Times New Roman" w:hAnsi="Times New Roman"/>
                <w:color w:val="auto"/>
                <w:sz w:val="21"/>
                <w:szCs w:val="21"/>
              </w:rPr>
              <w:t>设备减振、厂房隔音</w:t>
            </w:r>
            <w:r>
              <w:rPr>
                <w:rFonts w:hint="eastAsia"/>
                <w:color w:val="auto"/>
                <w:sz w:val="21"/>
                <w:szCs w:val="21"/>
                <w:lang w:eastAsia="zh-CN"/>
              </w:rPr>
              <w:t>，</w:t>
            </w:r>
            <w:r>
              <w:rPr>
                <w:rFonts w:hint="default" w:ascii="Times New Roman" w:hAnsi="Times New Roman" w:eastAsia="宋体" w:cs="Times New Roman"/>
                <w:color w:val="auto"/>
                <w:sz w:val="21"/>
                <w:szCs w:val="21"/>
              </w:rPr>
              <w:t>本项目厂界噪声能够满足《工业企业厂界环境噪声排放标准》（GB12348-2008）中</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类标准要求</w:t>
            </w:r>
          </w:p>
        </w:tc>
        <w:tc>
          <w:tcPr>
            <w:tcW w:w="3753" w:type="dxa"/>
            <w:vAlign w:val="center"/>
          </w:tcPr>
          <w:p>
            <w:pPr>
              <w:pStyle w:val="28"/>
              <w:spacing w:line="240" w:lineRule="auto"/>
              <w:jc w:val="left"/>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经验收监测数据可知，项目厂界噪声排放满足</w:t>
            </w:r>
            <w:r>
              <w:rPr>
                <w:rFonts w:hint="default" w:ascii="Times New Roman" w:hAnsi="Times New Roman" w:eastAsia="宋体" w:cs="Times New Roman"/>
                <w:color w:val="auto"/>
                <w:sz w:val="21"/>
                <w:szCs w:val="21"/>
              </w:rPr>
              <w:t>《工业企业厂界环境噪声排放标准》（GB12348-2008）中</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类标准要求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pStyle w:val="28"/>
              <w:spacing w:line="240" w:lineRule="auto"/>
              <w:jc w:val="center"/>
              <w:rPr>
                <w:rFonts w:hint="eastAsia" w:ascii="Times New Roman" w:hAnsi="Times New Roman" w:eastAsia="宋体" w:cs="Times New Roman"/>
                <w:color w:val="auto"/>
                <w:sz w:val="21"/>
                <w:szCs w:val="21"/>
                <w:lang w:val="en-US" w:eastAsia="zh-CN"/>
              </w:rPr>
            </w:pPr>
            <w:bookmarkStart w:id="29" w:name="_Toc11385"/>
            <w:r>
              <w:rPr>
                <w:rFonts w:hint="eastAsia" w:cs="Times New Roman"/>
                <w:color w:val="auto"/>
                <w:sz w:val="21"/>
                <w:szCs w:val="21"/>
                <w:lang w:val="en-US" w:eastAsia="zh-CN"/>
              </w:rPr>
              <w:t>风险</w:t>
            </w:r>
          </w:p>
        </w:tc>
        <w:tc>
          <w:tcPr>
            <w:tcW w:w="3908" w:type="dxa"/>
            <w:vAlign w:val="center"/>
          </w:tcPr>
          <w:p>
            <w:pPr>
              <w:widowControl/>
              <w:spacing w:line="240" w:lineRule="auto"/>
              <w:ind w:left="0" w:leftChars="0" w:firstLine="0" w:firstLineChars="0"/>
              <w:jc w:val="left"/>
              <w:rPr>
                <w:rFonts w:ascii="Times New Roman" w:hAnsi="Times New Roman"/>
                <w:bCs/>
                <w:color w:val="auto"/>
                <w:sz w:val="21"/>
                <w:szCs w:val="21"/>
              </w:rPr>
            </w:pPr>
            <w:r>
              <w:rPr>
                <w:color w:val="auto"/>
                <w:kern w:val="0"/>
                <w:sz w:val="21"/>
                <w:szCs w:val="21"/>
              </w:rPr>
              <w:t>企业应该认真做好各项风险防范措施，完善生产设施以及生产管理制度，储运、生产过程应该严格操作，杜绝风险事故。严格履行风险应急预案，一旦发生突发事故，企业除了根据内部制定和履行最快最有效的应急预案自救外，及时取得临近公司援助，应立即报当地环保部门。在上级环保部门到达之后，要从大局考虑，服从环保部门的领导，共同协商统一部署，将污染事故降低到最小。</w:t>
            </w:r>
          </w:p>
        </w:tc>
        <w:tc>
          <w:tcPr>
            <w:tcW w:w="3753" w:type="dxa"/>
            <w:vAlign w:val="center"/>
          </w:tcPr>
          <w:p>
            <w:pPr>
              <w:pStyle w:val="28"/>
              <w:spacing w:line="240" w:lineRule="auto"/>
              <w:jc w:val="both"/>
              <w:rPr>
                <w:rFonts w:hint="eastAsia" w:ascii="Times New Roman" w:hAnsi="Times New Roman"/>
                <w:color w:val="auto"/>
                <w:sz w:val="21"/>
                <w:szCs w:val="21"/>
                <w:lang w:val="en-US" w:eastAsia="zh-CN"/>
              </w:rPr>
            </w:pPr>
            <w:r>
              <w:rPr>
                <w:rFonts w:hint="default" w:ascii="Times New Roman" w:hAnsi="Times New Roman" w:eastAsia="宋体" w:cs="Times New Roman"/>
                <w:color w:val="auto"/>
                <w:sz w:val="21"/>
                <w:szCs w:val="21"/>
              </w:rPr>
              <w:t>项目储运工程设置了相应的环境风险防范措施，</w:t>
            </w:r>
            <w:r>
              <w:rPr>
                <w:rFonts w:hint="eastAsia" w:cs="Times New Roman"/>
                <w:color w:val="auto"/>
                <w:sz w:val="21"/>
                <w:szCs w:val="21"/>
                <w:lang w:val="en-US" w:eastAsia="zh-CN"/>
              </w:rPr>
              <w:t>危化品</w:t>
            </w:r>
            <w:r>
              <w:rPr>
                <w:rFonts w:hint="default" w:ascii="Times New Roman" w:hAnsi="Times New Roman" w:eastAsia="宋体" w:cs="Times New Roman"/>
                <w:color w:val="auto"/>
                <w:sz w:val="21"/>
                <w:szCs w:val="21"/>
              </w:rPr>
              <w:t>库</w:t>
            </w:r>
            <w:r>
              <w:rPr>
                <w:rFonts w:hint="eastAsia" w:cs="Times New Roman"/>
                <w:color w:val="auto"/>
                <w:sz w:val="21"/>
                <w:szCs w:val="21"/>
                <w:lang w:val="en-US" w:eastAsia="zh-CN"/>
              </w:rPr>
              <w:t>设置了浓度报警器及收容设施，危废库按要求</w:t>
            </w:r>
            <w:r>
              <w:rPr>
                <w:rFonts w:ascii="Times New Roman" w:hAnsi="Times New Roman"/>
                <w:color w:val="auto"/>
                <w:sz w:val="21"/>
                <w:szCs w:val="21"/>
              </w:rPr>
              <w:t>做好“四防”（防风、防雨、防晒、防渗漏）</w:t>
            </w:r>
            <w:r>
              <w:rPr>
                <w:rFonts w:hint="eastAsia" w:ascii="Times New Roman" w:hAnsi="Times New Roman"/>
                <w:color w:val="auto"/>
                <w:sz w:val="21"/>
                <w:szCs w:val="21"/>
                <w:lang w:eastAsia="zh-CN"/>
              </w:rPr>
              <w:t>，</w:t>
            </w:r>
            <w:r>
              <w:rPr>
                <w:rFonts w:hint="eastAsia" w:ascii="Times New Roman" w:hAnsi="Times New Roman"/>
                <w:color w:val="auto"/>
                <w:sz w:val="21"/>
                <w:szCs w:val="21"/>
                <w:lang w:val="en-US" w:eastAsia="zh-CN"/>
              </w:rPr>
              <w:t>配备视频监控设施及相应的应急物资如灭火器等；</w:t>
            </w:r>
          </w:p>
          <w:p>
            <w:pPr>
              <w:pStyle w:val="28"/>
              <w:spacing w:line="240" w:lineRule="auto"/>
              <w:jc w:val="both"/>
              <w:rPr>
                <w:rFonts w:hint="eastAsia" w:ascii="Times New Roman" w:hAnsi="Times New Roman" w:eastAsia="宋体" w:cs="Times New Roman"/>
                <w:color w:val="auto"/>
                <w:sz w:val="21"/>
                <w:szCs w:val="21"/>
                <w:lang w:val="en-US" w:eastAsia="zh-CN"/>
              </w:rPr>
            </w:pPr>
            <w:r>
              <w:rPr>
                <w:rFonts w:hint="eastAsia"/>
                <w:color w:val="auto"/>
                <w:sz w:val="21"/>
                <w:szCs w:val="21"/>
              </w:rPr>
              <w:t>江苏缔成特材科技有限公司</w:t>
            </w:r>
            <w:r>
              <w:rPr>
                <w:rFonts w:hint="default" w:ascii="Times New Roman" w:hAnsi="Times New Roman" w:eastAsia="宋体" w:cs="Times New Roman"/>
                <w:color w:val="auto"/>
                <w:sz w:val="21"/>
                <w:szCs w:val="21"/>
              </w:rPr>
              <w:t>厂区设置了1座容积为</w:t>
            </w:r>
            <w:r>
              <w:rPr>
                <w:rFonts w:hint="eastAsia" w:cs="Times New Roman"/>
                <w:color w:val="auto"/>
                <w:sz w:val="21"/>
                <w:szCs w:val="21"/>
                <w:lang w:val="en-US" w:eastAsia="zh-CN"/>
              </w:rPr>
              <w:t>100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的地下式事故池及配套的切换阀门</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本项目依托该事故池；</w:t>
            </w:r>
          </w:p>
          <w:p>
            <w:pPr>
              <w:pStyle w:val="28"/>
              <w:spacing w:line="240" w:lineRule="auto"/>
              <w:jc w:val="both"/>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公司正在编制突发环境事件应急预案，并建立应急管理制度。</w:t>
            </w:r>
          </w:p>
          <w:p>
            <w:pPr>
              <w:pStyle w:val="28"/>
              <w:spacing w:line="240" w:lineRule="auto"/>
              <w:jc w:val="both"/>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综上，本项目风险在可控范围内。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pStyle w:val="28"/>
              <w:spacing w:line="240" w:lineRule="auto"/>
              <w:jc w:val="center"/>
              <w:rPr>
                <w:rFonts w:hint="default" w:cs="Times New Roman"/>
                <w:color w:val="auto"/>
                <w:sz w:val="21"/>
                <w:szCs w:val="21"/>
                <w:lang w:val="en-US" w:eastAsia="zh-CN"/>
              </w:rPr>
            </w:pPr>
            <w:r>
              <w:rPr>
                <w:rFonts w:hint="eastAsia" w:cs="Times New Roman"/>
                <w:color w:val="auto"/>
                <w:sz w:val="21"/>
                <w:szCs w:val="21"/>
                <w:lang w:val="en-US" w:eastAsia="zh-CN"/>
              </w:rPr>
              <w:t>卫生防护距离</w:t>
            </w:r>
          </w:p>
        </w:tc>
        <w:tc>
          <w:tcPr>
            <w:tcW w:w="3908" w:type="dxa"/>
            <w:vAlign w:val="center"/>
          </w:tcPr>
          <w:p>
            <w:pPr>
              <w:widowControl/>
              <w:spacing w:line="240" w:lineRule="auto"/>
              <w:ind w:left="0" w:leftChars="0" w:firstLine="0" w:firstLineChars="0"/>
              <w:jc w:val="left"/>
              <w:rPr>
                <w:color w:val="auto"/>
                <w:kern w:val="0"/>
                <w:sz w:val="21"/>
                <w:szCs w:val="21"/>
              </w:rPr>
            </w:pPr>
            <w:r>
              <w:rPr>
                <w:rFonts w:ascii="Times New Roman" w:hAnsi="Times New Roman"/>
                <w:color w:val="auto"/>
                <w:sz w:val="21"/>
                <w:szCs w:val="21"/>
              </w:rPr>
              <w:t>设置卫生防护距离从生产车间外延100m的</w:t>
            </w:r>
            <w:r>
              <w:rPr>
                <w:rFonts w:hint="eastAsia" w:ascii="Times New Roman" w:hAnsi="Times New Roman"/>
                <w:color w:val="auto"/>
                <w:sz w:val="21"/>
                <w:szCs w:val="21"/>
              </w:rPr>
              <w:t>距离</w:t>
            </w:r>
          </w:p>
        </w:tc>
        <w:tc>
          <w:tcPr>
            <w:tcW w:w="3753" w:type="dxa"/>
            <w:vAlign w:val="center"/>
          </w:tcPr>
          <w:p>
            <w:pPr>
              <w:pStyle w:val="28"/>
              <w:spacing w:line="240" w:lineRule="auto"/>
              <w:jc w:val="both"/>
              <w:rPr>
                <w:rFonts w:hint="default" w:ascii="Times New Roman" w:hAnsi="Times New Roman" w:eastAsia="宋体" w:cs="Times New Roman"/>
                <w:color w:val="auto"/>
                <w:sz w:val="21"/>
                <w:szCs w:val="21"/>
                <w:lang w:val="en-US" w:eastAsia="zh-CN"/>
              </w:rPr>
            </w:pPr>
            <w:r>
              <w:rPr>
                <w:rFonts w:ascii="Times New Roman" w:hAnsi="Times New Roman"/>
                <w:color w:val="auto"/>
                <w:sz w:val="21"/>
                <w:szCs w:val="21"/>
              </w:rPr>
              <w:t>设置卫生防护距离从生产车间外延100m的</w:t>
            </w:r>
            <w:r>
              <w:rPr>
                <w:rFonts w:hint="eastAsia" w:ascii="Times New Roman" w:hAnsi="Times New Roman"/>
                <w:color w:val="auto"/>
                <w:sz w:val="21"/>
                <w:szCs w:val="21"/>
              </w:rPr>
              <w:t>距离</w:t>
            </w:r>
            <w:r>
              <w:rPr>
                <w:rFonts w:hint="eastAsia"/>
                <w:color w:val="auto"/>
                <w:sz w:val="21"/>
                <w:szCs w:val="21"/>
                <w:lang w:eastAsia="zh-CN"/>
              </w:rPr>
              <w:t>，</w:t>
            </w:r>
            <w:r>
              <w:rPr>
                <w:rFonts w:hint="eastAsia"/>
                <w:color w:val="auto"/>
                <w:sz w:val="21"/>
                <w:szCs w:val="21"/>
                <w:lang w:val="en-US" w:eastAsia="zh-CN"/>
              </w:rPr>
              <w:t>卫生防护距离无居民等敏感点</w:t>
            </w:r>
          </w:p>
        </w:tc>
      </w:tr>
    </w:tbl>
    <w:p>
      <w:pPr>
        <w:pStyle w:val="4"/>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5.2 审批部门审批决定</w:t>
      </w:r>
      <w:bookmarkEnd w:id="29"/>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缔壹电工科技（ 江苏）有限公司：</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你单位报批的</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缔壹电工科技</w:t>
      </w:r>
      <w:r>
        <w:rPr>
          <w:rFonts w:hint="eastAsia" w:cs="Times New Roman"/>
          <w:color w:val="auto"/>
          <w:sz w:val="21"/>
          <w:szCs w:val="21"/>
          <w:lang w:val="en-US" w:eastAsia="zh-CN"/>
        </w:rPr>
        <w:t>锂电池</w:t>
      </w:r>
      <w:r>
        <w:rPr>
          <w:rFonts w:hint="default" w:ascii="Times New Roman" w:hAnsi="Times New Roman" w:eastAsia="宋体" w:cs="Times New Roman"/>
          <w:color w:val="auto"/>
          <w:sz w:val="21"/>
          <w:szCs w:val="21"/>
        </w:rPr>
        <w:t>胶带项目</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环境影响报告书</w:t>
      </w:r>
      <w:r>
        <w:rPr>
          <w:rFonts w:hint="eastAsia" w:cs="Times New Roman"/>
          <w:color w:val="auto"/>
          <w:sz w:val="21"/>
          <w:szCs w:val="21"/>
          <w:lang w:val="en-US" w:eastAsia="zh-CN"/>
        </w:rPr>
        <w:t>已</w:t>
      </w:r>
      <w:r>
        <w:rPr>
          <w:rFonts w:hint="default" w:ascii="Times New Roman" w:hAnsi="Times New Roman" w:eastAsia="宋体" w:cs="Times New Roman"/>
          <w:color w:val="auto"/>
          <w:sz w:val="21"/>
          <w:szCs w:val="21"/>
        </w:rPr>
        <w:t>收悉。经研究</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批复如下：</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一、根据报告书分析、结论及评估意见，在切实落实各项污染防治措施和风险防范措施的前提下，从环保角度同意该项目在拟建地址（常州市金坛经济开发区金胜东路218号）建设，项目总投资5000万元</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租用江苏缔成特材料科技有限公司闲置厂房，购置涂胶机、精密</w:t>
      </w:r>
      <w:r>
        <w:rPr>
          <w:rFonts w:hint="eastAsia" w:cs="Times New Roman"/>
          <w:color w:val="auto"/>
          <w:sz w:val="21"/>
          <w:szCs w:val="21"/>
          <w:lang w:val="en-US" w:eastAsia="zh-CN"/>
        </w:rPr>
        <w:t>分切</w:t>
      </w:r>
      <w:r>
        <w:rPr>
          <w:rFonts w:hint="default" w:ascii="Times New Roman" w:hAnsi="Times New Roman" w:eastAsia="宋体" w:cs="Times New Roman"/>
          <w:color w:val="auto"/>
          <w:sz w:val="21"/>
          <w:szCs w:val="21"/>
        </w:rPr>
        <w:t>机等主辅设备从事生产，项目建成后将形成年产</w:t>
      </w:r>
      <w:r>
        <w:rPr>
          <w:rFonts w:hint="eastAsia" w:cs="Times New Roman"/>
          <w:color w:val="auto"/>
          <w:sz w:val="21"/>
          <w:szCs w:val="21"/>
          <w:lang w:val="en-US" w:eastAsia="zh-CN"/>
        </w:rPr>
        <w:t>锂电池</w:t>
      </w:r>
      <w:r>
        <w:rPr>
          <w:rFonts w:hint="default" w:ascii="Times New Roman" w:hAnsi="Times New Roman" w:eastAsia="宋体" w:cs="Times New Roman"/>
          <w:color w:val="auto"/>
          <w:sz w:val="21"/>
          <w:szCs w:val="21"/>
        </w:rPr>
        <w:t>用胶带21600万平方米。</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二、项目建设应严格执行环保“三同时”制度，认真落实报告书提出的各项污染防治措施，并着重做到以下几点：</w:t>
      </w:r>
    </w:p>
    <w:p>
      <w:pPr>
        <w:keepNext w:val="0"/>
        <w:keepLines w:val="0"/>
        <w:pageBreakBefore w:val="0"/>
        <w:widowControl w:val="0"/>
        <w:kinsoku/>
        <w:wordWrap/>
        <w:overflowPunct/>
        <w:topLinePunct w:val="0"/>
        <w:autoSpaceDE w:val="0"/>
        <w:autoSpaceDN w:val="0"/>
        <w:bidi w:val="0"/>
        <w:adjustRightInd/>
        <w:snapToGrid w:val="0"/>
        <w:spacing w:line="360" w:lineRule="auto"/>
        <w:ind w:left="0" w:leftChars="0" w:firstLine="420"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( 1 )项目在设计</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施工、投运期间应将环保要求纳入具体工作中，设立专门人员负责环保工作，制定相应的环保规章制度并予以落实。</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( 2 )严格按照你单位申报的生产工艺流程进行生产，不得在建设地址从事未经审批的工艺及产品生产。</w:t>
      </w:r>
    </w:p>
    <w:p>
      <w:pPr>
        <w:keepNext w:val="0"/>
        <w:keepLines w:val="0"/>
        <w:pageBreakBefore w:val="0"/>
        <w:widowControl w:val="0"/>
        <w:kinsoku/>
        <w:wordWrap/>
        <w:overflowPunct/>
        <w:topLinePunct w:val="0"/>
        <w:autoSpaceDE w:val="0"/>
        <w:autoSpaceDN w:val="0"/>
        <w:bidi w:val="0"/>
        <w:adjustRightInd/>
        <w:snapToGrid w:val="0"/>
        <w:spacing w:line="360" w:lineRule="auto"/>
        <w:ind w:left="0" w:leftChars="0" w:firstLine="420"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( 3 )按“雨污分流”的原则</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建设厂区雨污管网</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本项目不得有生产性废水排放，生活污水经预处理达接管标准后进入常州市金坛区第二污水处理厂集中处理。</w:t>
      </w:r>
    </w:p>
    <w:p>
      <w:pPr>
        <w:keepNext w:val="0"/>
        <w:keepLines w:val="0"/>
        <w:pageBreakBefore w:val="0"/>
        <w:widowControl w:val="0"/>
        <w:kinsoku/>
        <w:wordWrap/>
        <w:overflowPunct/>
        <w:topLinePunct w:val="0"/>
        <w:autoSpaceDE w:val="0"/>
        <w:autoSpaceDN w:val="0"/>
        <w:bidi w:val="0"/>
        <w:adjustRightInd/>
        <w:snapToGrid w:val="0"/>
        <w:spacing w:line="360" w:lineRule="auto"/>
        <w:ind w:left="0" w:leftChars="0"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rPr>
        <w:t>( 4 ) 工程设计中， 进一步优化废气处理方案，确保各类工艺废气的收集、处理效率及排气筒高度等达到环评提出的要求。加强生产管理，减少无组织废气对周围环境的影响。废气中甲苯、甲醇执行《大气污染物综合排放标准》( DB 32/ 4041- 2021 )中表1</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表3标准限值；</w:t>
      </w:r>
      <w:r>
        <w:rPr>
          <w:rFonts w:hint="eastAsia" w:cs="Times New Roman"/>
          <w:color w:val="auto"/>
          <w:sz w:val="21"/>
          <w:szCs w:val="21"/>
          <w:lang w:val="en-US" w:eastAsia="zh-CN"/>
        </w:rPr>
        <w:t>VOC</w:t>
      </w:r>
      <w:r>
        <w:rPr>
          <w:rFonts w:hint="eastAsia" w:cs="Times New Roman"/>
          <w:color w:val="auto"/>
          <w:sz w:val="21"/>
          <w:szCs w:val="21"/>
          <w:vertAlign w:val="subscript"/>
          <w:lang w:val="en-US" w:eastAsia="zh-CN"/>
        </w:rPr>
        <w:t>S</w:t>
      </w:r>
      <w:r>
        <w:rPr>
          <w:rFonts w:hint="default" w:ascii="Times New Roman" w:hAnsi="Times New Roman" w:eastAsia="宋体" w:cs="Times New Roman"/>
          <w:color w:val="auto"/>
          <w:sz w:val="21"/>
          <w:szCs w:val="21"/>
        </w:rPr>
        <w:t>排放执行《合成树脂工业污染物排放标准》( GB</w:t>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rPr>
        <w:t>31572- 2015 ) 中表5、表9非甲烧总经标准限值；天然气燃烧废气中颗粒物、S0</w:t>
      </w:r>
      <w:r>
        <w:rPr>
          <w:rFonts w:hint="default" w:ascii="Times New Roman" w:hAnsi="Times New Roman" w:eastAsia="宋体" w:cs="Times New Roman"/>
          <w:color w:val="auto"/>
          <w:sz w:val="21"/>
          <w:szCs w:val="21"/>
          <w:vertAlign w:val="subscript"/>
        </w:rPr>
        <w:t>2</w:t>
      </w:r>
      <w:r>
        <w:rPr>
          <w:rFonts w:hint="default" w:ascii="Times New Roman" w:hAnsi="Times New Roman" w:eastAsia="宋体" w:cs="Times New Roman"/>
          <w:color w:val="auto"/>
          <w:sz w:val="21"/>
          <w:szCs w:val="21"/>
        </w:rPr>
        <w:t>执行《锅炉大气污染物排放标准》 ( GB13271</w:t>
      </w:r>
      <w:r>
        <w:rPr>
          <w:rFonts w:hint="eastAsia" w:cs="Times New Roman"/>
          <w:color w:val="auto"/>
          <w:sz w:val="21"/>
          <w:szCs w:val="21"/>
          <w:lang w:val="en-US" w:eastAsia="zh-CN"/>
        </w:rPr>
        <w:t>-</w:t>
      </w:r>
      <w:r>
        <w:rPr>
          <w:rFonts w:hint="default" w:ascii="Times New Roman" w:hAnsi="Times New Roman" w:eastAsia="宋体" w:cs="Times New Roman"/>
          <w:color w:val="auto"/>
          <w:sz w:val="21"/>
          <w:szCs w:val="21"/>
        </w:rPr>
        <w:t>2014 )中表3排放限值，NOx执行《长三角地区2019- 2020年秋冬季大气污染综合治理攻</w:t>
      </w:r>
      <w:r>
        <w:rPr>
          <w:rFonts w:hint="default" w:ascii="Times New Roman" w:hAnsi="Times New Roman" w:eastAsia="宋体" w:cs="Times New Roman"/>
          <w:color w:val="auto"/>
          <w:sz w:val="21"/>
          <w:szCs w:val="21"/>
          <w:highlight w:val="none"/>
        </w:rPr>
        <w:t xml:space="preserve">坚行动方案》中的限值即&lt; </w:t>
      </w:r>
      <w:r>
        <w:rPr>
          <w:rFonts w:hint="eastAsia" w:cs="Times New Roman"/>
          <w:color w:val="auto"/>
          <w:sz w:val="21"/>
          <w:szCs w:val="21"/>
          <w:highlight w:val="none"/>
          <w:lang w:val="en-US" w:eastAsia="zh-CN"/>
        </w:rPr>
        <w:t>50</w:t>
      </w:r>
      <w:r>
        <w:rPr>
          <w:rFonts w:hint="default" w:ascii="Times New Roman" w:hAnsi="Times New Roman" w:eastAsia="宋体" w:cs="Times New Roman"/>
          <w:color w:val="auto"/>
          <w:sz w:val="21"/>
          <w:szCs w:val="21"/>
          <w:highlight w:val="none"/>
        </w:rPr>
        <w:t>mg/m</w:t>
      </w:r>
      <w:r>
        <w:rPr>
          <w:rFonts w:hint="default" w:ascii="Times New Roman" w:hAnsi="Times New Roman" w:eastAsia="宋体" w:cs="Times New Roman"/>
          <w:color w:val="auto"/>
          <w:sz w:val="21"/>
          <w:szCs w:val="21"/>
          <w:highlight w:val="none"/>
          <w:vertAlign w:val="superscript"/>
        </w:rPr>
        <w:t>3</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厂区内</w:t>
      </w:r>
      <w:r>
        <w:rPr>
          <w:rFonts w:hint="eastAsia" w:cs="Times New Roman"/>
          <w:color w:val="auto"/>
          <w:sz w:val="21"/>
          <w:szCs w:val="21"/>
          <w:highlight w:val="none"/>
          <w:lang w:val="en-US" w:eastAsia="zh-CN"/>
        </w:rPr>
        <w:t>非甲烷总烃</w:t>
      </w:r>
      <w:r>
        <w:rPr>
          <w:rFonts w:hint="default" w:ascii="Times New Roman" w:hAnsi="Times New Roman" w:eastAsia="宋体" w:cs="Times New Roman"/>
          <w:color w:val="auto"/>
          <w:sz w:val="21"/>
          <w:szCs w:val="21"/>
          <w:highlight w:val="none"/>
        </w:rPr>
        <w:t>无组织排放执行</w:t>
      </w:r>
      <w:r>
        <w:rPr>
          <w:color w:val="auto"/>
          <w:kern w:val="0"/>
          <w:sz w:val="21"/>
          <w:szCs w:val="21"/>
          <w:highlight w:val="none"/>
        </w:rPr>
        <w:t>《大气污染物综合排放标准》（DB32/4041-2021）表2中标准中排放限值</w:t>
      </w:r>
      <w:r>
        <w:rPr>
          <w:rFonts w:hint="default" w:ascii="Times New Roman" w:hAnsi="Times New Roman" w:eastAsia="宋体" w:cs="Times New Roman"/>
          <w:color w:val="auto"/>
          <w:sz w:val="21"/>
          <w:szCs w:val="21"/>
          <w:highlight w:val="none"/>
        </w:rPr>
        <w:t>； 硫化氢执行《 恶臭污染物排放标准》( GB14554-93)中表1表2标准限值。</w:t>
      </w:r>
    </w:p>
    <w:p>
      <w:pPr>
        <w:keepNext w:val="0"/>
        <w:keepLines w:val="0"/>
        <w:pageBreakBefore w:val="0"/>
        <w:widowControl w:val="0"/>
        <w:kinsoku/>
        <w:wordWrap/>
        <w:overflowPunct/>
        <w:topLinePunct w:val="0"/>
        <w:autoSpaceDE w:val="0"/>
        <w:autoSpaceDN w:val="0"/>
        <w:bidi w:val="0"/>
        <w:adjustRightInd/>
        <w:snapToGrid w:val="0"/>
        <w:spacing w:line="360" w:lineRule="auto"/>
        <w:ind w:left="0" w:leftChars="0"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( 5 )合理布局车间和设备，选用低噪声设备，加强对设备的维护和保养，采取有效的减震、隔声等降噪措施，减小噪声对周边环境的影响，确保厂界噪声达到《工业企业厂界环境噪声排放标准》( GB12348- 2008)中</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类标准；周边敏感点噪声执行《工业企业厂界环境噪声排放标准</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 GB12348-2008)中2类标准。</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( 6 ) 按固废＂减量化、资源化、无害化” 处置原则，落实各类固废的收集、贮存和综合利用措施，实现“零排放”，并按《一般工</w:t>
      </w:r>
      <w:r>
        <w:rPr>
          <w:rFonts w:hint="default" w:ascii="Times New Roman" w:hAnsi="Times New Roman" w:eastAsia="宋体" w:cs="Times New Roman"/>
          <w:color w:val="auto"/>
          <w:sz w:val="21"/>
          <w:szCs w:val="21"/>
        </w:rPr>
        <w:t>业固体废物贮存和填埋污染控制标准》( GB18599- 2020)、《危险废物贮存污染控制标准》(GB18597-2001)及修改</w:t>
      </w:r>
      <w:r>
        <w:rPr>
          <w:rFonts w:hint="default" w:ascii="Times New Roman" w:hAnsi="Times New Roman" w:eastAsia="宋体" w:cs="Times New Roman"/>
          <w:color w:val="auto"/>
          <w:sz w:val="21"/>
          <w:szCs w:val="21"/>
          <w:highlight w:val="none"/>
        </w:rPr>
        <w:t>单和《省生态环境厅关于进一步加强危险废物污染防治工作的实施意见》（苏环办(2019)327号）的要求规范建设一般工业固废及危废暂存场所。</w:t>
      </w:r>
    </w:p>
    <w:p>
      <w:pPr>
        <w:keepNext w:val="0"/>
        <w:keepLines w:val="0"/>
        <w:pageBreakBefore w:val="0"/>
        <w:widowControl w:val="0"/>
        <w:kinsoku/>
        <w:wordWrap/>
        <w:overflowPunct/>
        <w:topLinePunct w:val="0"/>
        <w:autoSpaceDE w:val="0"/>
        <w:autoSpaceDN w:val="0"/>
        <w:bidi w:val="0"/>
        <w:adjustRightInd/>
        <w:snapToGrid w:val="0"/>
        <w:spacing w:line="360" w:lineRule="auto"/>
        <w:ind w:left="0" w:leftChars="0"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本项目产生的危废</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HW06、HWl l、HW13、HW16、HW17、HW26、HW49</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委托有资质单位处理</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并在投产前签订处置协议；生活垃圾送由环卫部门统一收集处理。所有固体废物实现“零排放"' 防止造成二次污染。</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( 7 )重视安全生产，落实环评提出的各项环境风险防范措施、制定环境应急预案，并定期演练，防止原料储运及生产过程中事故发生及事故性排放。</w:t>
      </w:r>
    </w:p>
    <w:p>
      <w:pPr>
        <w:keepNext w:val="0"/>
        <w:keepLines w:val="0"/>
        <w:pageBreakBefore w:val="0"/>
        <w:widowControl w:val="0"/>
        <w:kinsoku/>
        <w:wordWrap/>
        <w:overflowPunct/>
        <w:topLinePunct w:val="0"/>
        <w:autoSpaceDE w:val="0"/>
        <w:autoSpaceDN w:val="0"/>
        <w:bidi w:val="0"/>
        <w:adjustRightInd/>
        <w:snapToGrid w:val="0"/>
        <w:spacing w:line="360" w:lineRule="auto"/>
        <w:ind w:left="0" w:leftChars="0"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( 8 )按《江苏省排污口设置及规范化整治管理办法》（苏环控(1997)122号）的规定设置各类排污口和标识。</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( 9 ) 落实报告书中提出的全厂以生产车间、污水处理站外扩100米设置卫生防护距离。今后该范围内不得规划、新建住宅、学校、医院等环境敏感目标。</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rPr>
        <w:t>三、该项目实施后，污染物排放量必须满足我局核定</w:t>
      </w:r>
      <w:r>
        <w:rPr>
          <w:rFonts w:hint="default" w:ascii="Times New Roman" w:hAnsi="Times New Roman" w:eastAsia="宋体" w:cs="Times New Roman"/>
          <w:color w:val="auto"/>
          <w:sz w:val="21"/>
          <w:szCs w:val="21"/>
        </w:rPr>
        <w:t>的总量控制指标。</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四、项目建设运营期间，由常州市生态环境综合行政执法局金坛分局会同江苏金坛经济开发区管理委员会监督管理。</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五、项目的环保设施必须与主体工程同时设计、同时施工、同时运行。项目竣工后，须按排污许可相关规定申请排污许可证，并组织项目竣工环境保护验收，验收合格后方可投入生产。</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六、本项目开工建设之前，需按规定开展节能评估和审查，并取得节能审查机关出具的节能审查意见。</w:t>
      </w:r>
    </w:p>
    <w:p>
      <w:pPr>
        <w:keepNext w:val="0"/>
        <w:keepLines w:val="0"/>
        <w:pageBreakBefore w:val="0"/>
        <w:widowControl w:val="0"/>
        <w:kinsoku/>
        <w:wordWrap/>
        <w:overflowPunct/>
        <w:topLinePunct w:val="0"/>
        <w:autoSpaceDE w:val="0"/>
        <w:autoSpaceDN w:val="0"/>
        <w:bidi w:val="0"/>
        <w:adjustRightInd/>
        <w:snapToGrid w:val="0"/>
        <w:spacing w:line="360" w:lineRule="auto"/>
        <w:jc w:val="both"/>
        <w:textAlignment w:val="auto"/>
        <w:rPr>
          <w:rFonts w:hint="default"/>
          <w:color w:val="auto"/>
          <w:sz w:val="21"/>
          <w:szCs w:val="21"/>
        </w:rPr>
      </w:pPr>
      <w:r>
        <w:rPr>
          <w:rFonts w:hint="default" w:ascii="Times New Roman" w:hAnsi="Times New Roman" w:eastAsia="宋体" w:cs="Times New Roman"/>
          <w:color w:val="auto"/>
          <w:sz w:val="21"/>
          <w:szCs w:val="21"/>
        </w:rPr>
        <w:t>七、项目批准后，建设项目的性质、规模、地点、采用的生产工艺或者防治污染、防止生态破坏的措施发生重大变动的， 或自批准之日满5年方开工建设</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建设单位应当重新报批（审核）建设项目的环境影响评价文件。</w:t>
      </w:r>
    </w:p>
    <w:p>
      <w:pPr>
        <w:pStyle w:val="4"/>
        <w:keepNext/>
        <w:keepLines/>
        <w:pageBreakBefore w:val="0"/>
        <w:widowControl w:val="0"/>
        <w:kinsoku/>
        <w:wordWrap/>
        <w:overflowPunct/>
        <w:topLinePunct w:val="0"/>
        <w:autoSpaceDE w:val="0"/>
        <w:autoSpaceDN w:val="0"/>
        <w:bidi w:val="0"/>
        <w:adjustRightInd/>
        <w:snapToGrid/>
        <w:spacing w:beforeLines="0" w:afterLines="0"/>
        <w:textAlignment w:val="auto"/>
        <w:rPr>
          <w:rFonts w:hint="default" w:ascii="Times New Roman" w:hAnsi="Times New Roman" w:eastAsia="宋体" w:cs="Times New Roman"/>
          <w:color w:val="auto"/>
        </w:rPr>
      </w:pPr>
      <w:bookmarkStart w:id="30" w:name="_Toc1831"/>
      <w:r>
        <w:rPr>
          <w:rFonts w:hint="default" w:ascii="Times New Roman" w:hAnsi="Times New Roman" w:eastAsia="宋体" w:cs="Times New Roman"/>
          <w:color w:val="auto"/>
        </w:rPr>
        <w:t>5.3 与环评批复对照分析</w:t>
      </w:r>
      <w:bookmarkEnd w:id="30"/>
    </w:p>
    <w:p>
      <w:pPr>
        <w:ind w:firstLine="482"/>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表5.3-1 项目实际建设与环评批复情况对照</w:t>
      </w:r>
    </w:p>
    <w:tbl>
      <w:tblPr>
        <w:tblStyle w:val="24"/>
        <w:tblW w:w="490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28" w:type="dxa"/>
          <w:left w:w="108" w:type="dxa"/>
          <w:bottom w:w="0" w:type="dxa"/>
          <w:right w:w="108" w:type="dxa"/>
        </w:tblCellMar>
      </w:tblPr>
      <w:tblGrid>
        <w:gridCol w:w="1065"/>
        <w:gridCol w:w="3522"/>
        <w:gridCol w:w="3360"/>
        <w:gridCol w:w="112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
                <w:bCs w:val="0"/>
                <w:color w:val="auto"/>
                <w:sz w:val="21"/>
                <w:szCs w:val="21"/>
              </w:rPr>
            </w:pPr>
            <w:r>
              <w:rPr>
                <w:rFonts w:hint="default" w:ascii="Times New Roman" w:hAnsi="Times New Roman"/>
                <w:b/>
                <w:bCs w:val="0"/>
                <w:color w:val="auto"/>
                <w:sz w:val="21"/>
                <w:szCs w:val="21"/>
              </w:rPr>
              <w:t>序号</w:t>
            </w:r>
          </w:p>
        </w:tc>
        <w:tc>
          <w:tcPr>
            <w:tcW w:w="1941"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
                <w:bCs w:val="0"/>
                <w:color w:val="auto"/>
                <w:sz w:val="21"/>
                <w:szCs w:val="21"/>
                <w:highlight w:val="none"/>
              </w:rPr>
            </w:pPr>
            <w:r>
              <w:rPr>
                <w:rFonts w:hint="default" w:ascii="Times New Roman" w:hAnsi="Times New Roman"/>
                <w:b/>
                <w:bCs w:val="0"/>
                <w:color w:val="auto"/>
                <w:sz w:val="21"/>
                <w:szCs w:val="21"/>
                <w:highlight w:val="none"/>
              </w:rPr>
              <w:t>环评批复要求</w:t>
            </w:r>
          </w:p>
        </w:tc>
        <w:tc>
          <w:tcPr>
            <w:tcW w:w="1852"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
                <w:bCs w:val="0"/>
                <w:color w:val="auto"/>
                <w:sz w:val="21"/>
                <w:szCs w:val="21"/>
                <w:highlight w:val="none"/>
              </w:rPr>
            </w:pPr>
            <w:r>
              <w:rPr>
                <w:rFonts w:hint="default" w:ascii="Times New Roman" w:hAnsi="Times New Roman"/>
                <w:b/>
                <w:bCs w:val="0"/>
                <w:color w:val="auto"/>
                <w:sz w:val="21"/>
                <w:szCs w:val="21"/>
                <w:highlight w:val="none"/>
              </w:rPr>
              <w:t>实际建设落实情况</w:t>
            </w:r>
          </w:p>
        </w:tc>
        <w:tc>
          <w:tcPr>
            <w:tcW w:w="619" w:type="pct"/>
            <w:tcBorders>
              <w:righ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
                <w:bCs w:val="0"/>
                <w:color w:val="auto"/>
                <w:sz w:val="21"/>
                <w:szCs w:val="21"/>
              </w:rPr>
            </w:pPr>
            <w:r>
              <w:rPr>
                <w:rFonts w:hint="default" w:ascii="Times New Roman" w:hAnsi="Times New Roman"/>
                <w:b/>
                <w:bCs w:val="0"/>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1</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一、根据报告书分析、结论及评估意见，在切实落实各项污染防治措施和风险防范措施的前提下，从环保角度同意该项目在拟建地址（常州市金坛经济开发区金胜东路218号）建设，项目总投资5000万元</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租用江苏缔成特材料科技有限公司闲置厂房，购置涂胶机、精密</w:t>
            </w:r>
            <w:r>
              <w:rPr>
                <w:rFonts w:hint="eastAsia" w:cs="Times New Roman"/>
                <w:color w:val="auto"/>
                <w:sz w:val="21"/>
                <w:szCs w:val="21"/>
                <w:lang w:val="en-US" w:eastAsia="zh-CN"/>
              </w:rPr>
              <w:t>分切</w:t>
            </w:r>
            <w:r>
              <w:rPr>
                <w:rFonts w:hint="default" w:ascii="Times New Roman" w:hAnsi="Times New Roman" w:eastAsia="宋体" w:cs="Times New Roman"/>
                <w:color w:val="auto"/>
                <w:sz w:val="21"/>
                <w:szCs w:val="21"/>
              </w:rPr>
              <w:t>机等主辅设备从事生产，项目建成后将形成年产</w:t>
            </w:r>
            <w:r>
              <w:rPr>
                <w:rFonts w:hint="eastAsia" w:cs="Times New Roman"/>
                <w:color w:val="auto"/>
                <w:sz w:val="21"/>
                <w:szCs w:val="21"/>
                <w:lang w:val="en-US" w:eastAsia="zh-CN"/>
              </w:rPr>
              <w:t>锂电池</w:t>
            </w:r>
            <w:r>
              <w:rPr>
                <w:rFonts w:hint="default" w:ascii="Times New Roman" w:hAnsi="Times New Roman" w:eastAsia="宋体" w:cs="Times New Roman"/>
                <w:color w:val="auto"/>
                <w:sz w:val="21"/>
                <w:szCs w:val="21"/>
              </w:rPr>
              <w:t>用胶带21600万平方米。</w:t>
            </w:r>
          </w:p>
        </w:tc>
        <w:tc>
          <w:tcPr>
            <w:tcW w:w="1852"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lang w:val="en-US" w:eastAsia="zh-CN"/>
              </w:rPr>
            </w:pPr>
            <w:r>
              <w:rPr>
                <w:rFonts w:hint="eastAsia"/>
                <w:b w:val="0"/>
                <w:bCs/>
                <w:sz w:val="21"/>
                <w:szCs w:val="21"/>
                <w:lang w:val="en-US" w:eastAsia="zh-CN"/>
              </w:rPr>
              <w:t>项目</w:t>
            </w:r>
            <w:r>
              <w:rPr>
                <w:rFonts w:hint="eastAsia" w:ascii="Times New Roman" w:hAnsi="Times New Roman" w:eastAsia="宋体"/>
                <w:b w:val="0"/>
                <w:bCs/>
                <w:sz w:val="21"/>
                <w:szCs w:val="21"/>
              </w:rPr>
              <w:t>已根据《报告</w:t>
            </w:r>
            <w:r>
              <w:rPr>
                <w:rFonts w:hint="eastAsia"/>
                <w:b w:val="0"/>
                <w:bCs/>
                <w:sz w:val="21"/>
                <w:szCs w:val="21"/>
                <w:lang w:val="en-US" w:eastAsia="zh-CN"/>
              </w:rPr>
              <w:t>书</w:t>
            </w:r>
            <w:r>
              <w:rPr>
                <w:rFonts w:hint="eastAsia" w:ascii="Times New Roman" w:hAnsi="Times New Roman" w:eastAsia="宋体"/>
                <w:b w:val="0"/>
                <w:bCs/>
                <w:sz w:val="21"/>
                <w:szCs w:val="21"/>
              </w:rPr>
              <w:t>》分析、结论及</w:t>
            </w:r>
            <w:r>
              <w:rPr>
                <w:rFonts w:hint="eastAsia"/>
                <w:b w:val="0"/>
                <w:bCs/>
                <w:sz w:val="21"/>
                <w:szCs w:val="21"/>
                <w:lang w:val="en-US" w:eastAsia="zh-CN"/>
              </w:rPr>
              <w:t>评估意见</w:t>
            </w:r>
            <w:r>
              <w:rPr>
                <w:rFonts w:hint="eastAsia" w:ascii="Times New Roman" w:hAnsi="Times New Roman" w:eastAsia="宋体"/>
                <w:b w:val="0"/>
                <w:bCs/>
                <w:sz w:val="21"/>
                <w:szCs w:val="21"/>
              </w:rPr>
              <w:t>落实各项污染防治措施和风险防范措施，</w:t>
            </w:r>
            <w:r>
              <w:rPr>
                <w:rFonts w:ascii="Times New Roman" w:hAnsi="Times New Roman" w:eastAsia="宋体"/>
                <w:b w:val="0"/>
                <w:bCs/>
                <w:sz w:val="21"/>
                <w:szCs w:val="21"/>
              </w:rPr>
              <w:t>建设地点位于</w:t>
            </w:r>
            <w:r>
              <w:rPr>
                <w:rFonts w:hint="default" w:ascii="Times New Roman" w:hAnsi="Times New Roman" w:eastAsia="宋体" w:cs="Times New Roman"/>
                <w:color w:val="auto"/>
                <w:sz w:val="21"/>
                <w:szCs w:val="21"/>
              </w:rPr>
              <w:t>常州市金坛经济开发区金胜东路218号</w:t>
            </w:r>
            <w:r>
              <w:rPr>
                <w:rFonts w:hint="eastAsia" w:ascii="Times New Roman" w:hAnsi="Times New Roman" w:eastAsia="宋体"/>
                <w:b w:val="0"/>
                <w:bCs/>
                <w:sz w:val="21"/>
                <w:szCs w:val="21"/>
              </w:rPr>
              <w:t>，租用</w:t>
            </w:r>
            <w:r>
              <w:rPr>
                <w:rFonts w:hint="default" w:ascii="Times New Roman" w:hAnsi="Times New Roman" w:eastAsia="宋体" w:cs="Times New Roman"/>
                <w:color w:val="auto"/>
                <w:sz w:val="21"/>
                <w:szCs w:val="21"/>
              </w:rPr>
              <w:t>江苏缔成特材料科技有限公司闲置厂房</w:t>
            </w:r>
            <w:r>
              <w:rPr>
                <w:rFonts w:hint="eastAsia" w:ascii="Times New Roman" w:hAnsi="Times New Roman" w:eastAsia="宋体"/>
                <w:b w:val="0"/>
                <w:bCs/>
                <w:sz w:val="21"/>
                <w:szCs w:val="21"/>
              </w:rPr>
              <w:t>，项目</w:t>
            </w:r>
            <w:r>
              <w:rPr>
                <w:rFonts w:hint="eastAsia" w:ascii="Times New Roman" w:hAnsi="Times New Roman" w:eastAsia="宋体"/>
                <w:b w:val="0"/>
                <w:bCs/>
                <w:sz w:val="21"/>
                <w:szCs w:val="21"/>
                <w:lang w:val="en-US" w:eastAsia="zh-CN"/>
              </w:rPr>
              <w:t>为阶段验收，目前</w:t>
            </w:r>
            <w:r>
              <w:rPr>
                <w:rFonts w:hint="eastAsia" w:ascii="Times New Roman" w:hAnsi="Times New Roman" w:eastAsia="宋体"/>
                <w:b w:val="0"/>
                <w:bCs/>
                <w:sz w:val="21"/>
                <w:szCs w:val="21"/>
              </w:rPr>
              <w:t>已具备年产</w:t>
            </w:r>
            <w:r>
              <w:rPr>
                <w:rFonts w:hint="eastAsia" w:cs="Times New Roman"/>
                <w:color w:val="auto"/>
                <w:sz w:val="21"/>
                <w:szCs w:val="21"/>
                <w:lang w:val="en-US" w:eastAsia="zh-CN"/>
              </w:rPr>
              <w:t>锂电池</w:t>
            </w:r>
            <w:r>
              <w:rPr>
                <w:rFonts w:hint="default" w:ascii="Times New Roman" w:hAnsi="Times New Roman" w:eastAsia="宋体" w:cs="Times New Roman"/>
                <w:color w:val="auto"/>
                <w:sz w:val="21"/>
                <w:szCs w:val="21"/>
              </w:rPr>
              <w:t>用胶带</w:t>
            </w:r>
            <w:r>
              <w:rPr>
                <w:rFonts w:hint="eastAsia" w:cs="Times New Roman"/>
                <w:color w:val="auto"/>
                <w:sz w:val="21"/>
                <w:szCs w:val="21"/>
                <w:lang w:val="en-US" w:eastAsia="zh-CN"/>
              </w:rPr>
              <w:t>4800</w:t>
            </w:r>
            <w:r>
              <w:rPr>
                <w:rFonts w:hint="default" w:ascii="Times New Roman" w:hAnsi="Times New Roman" w:eastAsia="宋体" w:cs="Times New Roman"/>
                <w:color w:val="auto"/>
                <w:sz w:val="21"/>
                <w:szCs w:val="21"/>
              </w:rPr>
              <w:t>万平方米</w:t>
            </w:r>
            <w:r>
              <w:rPr>
                <w:rFonts w:hint="eastAsia" w:ascii="Times New Roman" w:hAnsi="Times New Roman" w:eastAsia="宋体" w:cs="Times New Roman"/>
                <w:b w:val="0"/>
                <w:bCs/>
                <w:color w:val="auto"/>
                <w:sz w:val="21"/>
                <w:szCs w:val="21"/>
                <w:lang w:val="en-US" w:eastAsia="zh-CN"/>
              </w:rPr>
              <w:t>生产规模。</w:t>
            </w:r>
          </w:p>
        </w:tc>
        <w:tc>
          <w:tcPr>
            <w:tcW w:w="619" w:type="pct"/>
            <w:tcBorders>
              <w:righ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rPr>
            </w:pPr>
            <w:r>
              <w:rPr>
                <w:rFonts w:hint="default" w:ascii="Times New Roman" w:hAnsi="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2</w:t>
            </w:r>
          </w:p>
        </w:tc>
        <w:tc>
          <w:tcPr>
            <w:tcW w:w="1941"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项目在设计</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施工、投运期间应将环保要求纳入具体工作中，设立专门人员负责环保工作，制定相应的环保规章制度并予以落实。</w:t>
            </w:r>
          </w:p>
        </w:tc>
        <w:tc>
          <w:tcPr>
            <w:tcW w:w="1852"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rPr>
            </w:pPr>
            <w:r>
              <w:rPr>
                <w:rFonts w:hint="default" w:ascii="Times New Roman" w:hAnsi="Times New Roman" w:eastAsia="宋体" w:cs="Times New Roman"/>
                <w:b w:val="0"/>
                <w:bCs/>
                <w:color w:val="auto"/>
                <w:kern w:val="2"/>
                <w:sz w:val="21"/>
                <w:szCs w:val="21"/>
              </w:rPr>
              <w:t>项目在设计</w:t>
            </w:r>
            <w:r>
              <w:rPr>
                <w:rFonts w:hint="default" w:ascii="Times New Roman" w:hAnsi="Times New Roman" w:eastAsia="宋体" w:cs="Times New Roman"/>
                <w:b w:val="0"/>
                <w:bCs/>
                <w:color w:val="auto"/>
                <w:kern w:val="2"/>
                <w:sz w:val="21"/>
                <w:szCs w:val="21"/>
                <w:lang w:eastAsia="zh-CN"/>
              </w:rPr>
              <w:t>、</w:t>
            </w:r>
            <w:r>
              <w:rPr>
                <w:rFonts w:hint="default" w:ascii="Times New Roman" w:hAnsi="Times New Roman" w:eastAsia="宋体" w:cs="Times New Roman"/>
                <w:b w:val="0"/>
                <w:bCs/>
                <w:color w:val="auto"/>
                <w:kern w:val="2"/>
                <w:sz w:val="21"/>
                <w:szCs w:val="21"/>
              </w:rPr>
              <w:t>施工</w:t>
            </w:r>
            <w:r>
              <w:rPr>
                <w:rFonts w:hint="default" w:ascii="Times New Roman" w:hAnsi="Times New Roman" w:eastAsia="宋体" w:cs="Times New Roman"/>
                <w:b w:val="0"/>
                <w:bCs/>
                <w:color w:val="auto"/>
                <w:kern w:val="2"/>
                <w:sz w:val="21"/>
                <w:szCs w:val="21"/>
                <w:lang w:eastAsia="zh-CN"/>
              </w:rPr>
              <w:t>、</w:t>
            </w:r>
            <w:r>
              <w:rPr>
                <w:rFonts w:hint="default" w:ascii="Times New Roman" w:hAnsi="Times New Roman" w:eastAsia="宋体" w:cs="Times New Roman"/>
                <w:b w:val="0"/>
                <w:bCs/>
                <w:color w:val="auto"/>
                <w:kern w:val="2"/>
                <w:sz w:val="21"/>
                <w:szCs w:val="21"/>
              </w:rPr>
              <w:t>投运期间</w:t>
            </w:r>
            <w:r>
              <w:rPr>
                <w:rFonts w:hint="eastAsia" w:ascii="Times New Roman" w:hAnsi="Times New Roman" w:eastAsia="宋体" w:cs="Times New Roman"/>
                <w:b w:val="0"/>
                <w:bCs/>
                <w:color w:val="auto"/>
                <w:kern w:val="2"/>
                <w:sz w:val="21"/>
                <w:szCs w:val="21"/>
                <w:lang w:val="en-US" w:eastAsia="zh-CN"/>
              </w:rPr>
              <w:t>已</w:t>
            </w:r>
            <w:r>
              <w:rPr>
                <w:rFonts w:hint="default" w:ascii="Times New Roman" w:hAnsi="Times New Roman" w:eastAsia="宋体" w:cs="Times New Roman"/>
                <w:b w:val="0"/>
                <w:bCs/>
                <w:color w:val="auto"/>
                <w:kern w:val="2"/>
                <w:sz w:val="21"/>
                <w:szCs w:val="21"/>
              </w:rPr>
              <w:t>设立</w:t>
            </w:r>
            <w:r>
              <w:rPr>
                <w:rFonts w:hint="eastAsia" w:ascii="Times New Roman" w:hAnsi="Times New Roman" w:eastAsia="宋体" w:cs="Times New Roman"/>
                <w:b w:val="0"/>
                <w:bCs/>
                <w:color w:val="auto"/>
                <w:kern w:val="2"/>
                <w:sz w:val="21"/>
                <w:szCs w:val="21"/>
                <w:lang w:val="en-US" w:eastAsia="zh-CN"/>
              </w:rPr>
              <w:t>专业环安人员负责</w:t>
            </w:r>
            <w:r>
              <w:rPr>
                <w:rFonts w:hint="default" w:ascii="Times New Roman" w:hAnsi="Times New Roman" w:eastAsia="宋体" w:cs="Times New Roman"/>
                <w:b w:val="0"/>
                <w:bCs/>
                <w:color w:val="auto"/>
                <w:kern w:val="2"/>
                <w:sz w:val="21"/>
                <w:szCs w:val="21"/>
              </w:rPr>
              <w:t>环保工作</w:t>
            </w:r>
            <w:r>
              <w:rPr>
                <w:rFonts w:hint="default" w:ascii="Times New Roman" w:hAnsi="Times New Roman" w:eastAsia="宋体" w:cs="Times New Roman"/>
                <w:b w:val="0"/>
                <w:bCs/>
                <w:color w:val="auto"/>
                <w:kern w:val="2"/>
                <w:sz w:val="21"/>
                <w:szCs w:val="21"/>
                <w:lang w:eastAsia="zh-CN"/>
              </w:rPr>
              <w:t>，</w:t>
            </w:r>
            <w:r>
              <w:rPr>
                <w:rFonts w:hint="eastAsia" w:ascii="Times New Roman" w:hAnsi="Times New Roman" w:eastAsia="宋体" w:cs="Times New Roman"/>
                <w:b w:val="0"/>
                <w:bCs/>
                <w:color w:val="auto"/>
                <w:kern w:val="2"/>
                <w:sz w:val="21"/>
                <w:szCs w:val="21"/>
                <w:lang w:val="en-US" w:eastAsia="zh-CN"/>
              </w:rPr>
              <w:t>已</w:t>
            </w:r>
            <w:r>
              <w:rPr>
                <w:rFonts w:hint="default" w:ascii="Times New Roman" w:hAnsi="Times New Roman" w:eastAsia="宋体" w:cs="Times New Roman"/>
                <w:b w:val="0"/>
                <w:bCs/>
                <w:color w:val="auto"/>
                <w:kern w:val="2"/>
                <w:sz w:val="21"/>
                <w:szCs w:val="21"/>
              </w:rPr>
              <w:t>制定相应的环保规章制度并予以落实。</w:t>
            </w:r>
          </w:p>
        </w:tc>
        <w:tc>
          <w:tcPr>
            <w:tcW w:w="619" w:type="pct"/>
            <w:tcBorders>
              <w:righ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rPr>
            </w:pPr>
            <w:r>
              <w:rPr>
                <w:rFonts w:hint="default" w:ascii="Times New Roman" w:hAnsi="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3</w:t>
            </w:r>
          </w:p>
        </w:tc>
        <w:tc>
          <w:tcPr>
            <w:tcW w:w="1941"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严格按照你单位申报的生产工艺流程进行生产，不得在建设地址从事未经审批的工艺及产品生产。</w:t>
            </w:r>
          </w:p>
        </w:tc>
        <w:tc>
          <w:tcPr>
            <w:tcW w:w="1852"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lang w:val="en-US" w:eastAsia="zh-CN"/>
              </w:rPr>
            </w:pPr>
            <w:r>
              <w:rPr>
                <w:rFonts w:hint="eastAsia" w:ascii="Times New Roman" w:hAnsi="Times New Roman" w:eastAsia="宋体"/>
                <w:b w:val="0"/>
                <w:bCs/>
                <w:color w:val="000000"/>
                <w:kern w:val="2"/>
                <w:sz w:val="21"/>
                <w:szCs w:val="21"/>
              </w:rPr>
              <w:t>项目生产工艺流程严格按照《报告</w:t>
            </w:r>
            <w:r>
              <w:rPr>
                <w:rFonts w:hint="eastAsia"/>
                <w:b w:val="0"/>
                <w:bCs/>
                <w:color w:val="000000"/>
                <w:kern w:val="2"/>
                <w:sz w:val="21"/>
                <w:szCs w:val="21"/>
                <w:lang w:val="en-US" w:eastAsia="zh-CN"/>
              </w:rPr>
              <w:t>书</w:t>
            </w:r>
            <w:r>
              <w:rPr>
                <w:rFonts w:hint="eastAsia" w:ascii="Times New Roman" w:hAnsi="Times New Roman" w:eastAsia="宋体"/>
                <w:b w:val="0"/>
                <w:bCs/>
                <w:color w:val="000000"/>
                <w:kern w:val="2"/>
                <w:sz w:val="21"/>
                <w:szCs w:val="21"/>
              </w:rPr>
              <w:t>》中进行生产，未从事未经审批的工艺及产品生产。</w:t>
            </w:r>
          </w:p>
        </w:tc>
        <w:tc>
          <w:tcPr>
            <w:tcW w:w="619" w:type="pct"/>
            <w:tcBorders>
              <w:righ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rPr>
            </w:pPr>
            <w:r>
              <w:rPr>
                <w:rFonts w:hint="default" w:ascii="Times New Roman" w:hAnsi="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4</w:t>
            </w:r>
          </w:p>
        </w:tc>
        <w:tc>
          <w:tcPr>
            <w:tcW w:w="1941"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按“雨污分流”的原则</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建设厂区雨污管网</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本项目不得有生产性废水排放，生活污水经预处理达接管标准后进入常州市金坛区第二污水处理厂集中处理。</w:t>
            </w:r>
          </w:p>
        </w:tc>
        <w:tc>
          <w:tcPr>
            <w:tcW w:w="1852"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eastAsia" w:ascii="Times New Roman" w:hAnsi="Times New Roman"/>
                <w:bCs/>
                <w:color w:val="auto"/>
                <w:sz w:val="21"/>
                <w:szCs w:val="21"/>
                <w:lang w:val="en-US" w:eastAsia="zh-CN"/>
              </w:rPr>
            </w:pPr>
            <w:r>
              <w:rPr>
                <w:rFonts w:hint="eastAsia" w:ascii="Times New Roman" w:hAnsi="Times New Roman" w:eastAsia="宋体"/>
                <w:b w:val="0"/>
                <w:bCs/>
                <w:color w:val="000000"/>
                <w:sz w:val="21"/>
                <w:szCs w:val="21"/>
              </w:rPr>
              <w:t>项目</w:t>
            </w:r>
            <w:r>
              <w:rPr>
                <w:rFonts w:hint="eastAsia"/>
                <w:b w:val="0"/>
                <w:bCs/>
                <w:color w:val="000000"/>
                <w:sz w:val="21"/>
                <w:szCs w:val="21"/>
                <w:lang w:val="en-US" w:eastAsia="zh-CN"/>
              </w:rPr>
              <w:t>所在地已</w:t>
            </w:r>
            <w:r>
              <w:rPr>
                <w:rFonts w:hint="eastAsia" w:ascii="Times New Roman" w:hAnsi="Times New Roman" w:eastAsia="宋体"/>
                <w:b w:val="0"/>
                <w:bCs/>
                <w:color w:val="000000"/>
                <w:sz w:val="21"/>
                <w:szCs w:val="21"/>
              </w:rPr>
              <w:t>按照“雨污分流”建设厂区雨污管网，实行雨污分流。雨水经雨水管网收集后排入市政雨水管网；生活污水经化粪池预处理后接管金坛区第二污水处理厂集中处理</w:t>
            </w:r>
          </w:p>
        </w:tc>
        <w:tc>
          <w:tcPr>
            <w:tcW w:w="619" w:type="pct"/>
            <w:tcBorders>
              <w:righ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rPr>
            </w:pPr>
            <w:r>
              <w:rPr>
                <w:rFonts w:hint="default" w:ascii="Times New Roman" w:hAnsi="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5</w:t>
            </w:r>
          </w:p>
        </w:tc>
        <w:tc>
          <w:tcPr>
            <w:tcW w:w="1941"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highlight w:val="none"/>
              </w:rPr>
            </w:pPr>
            <w:r>
              <w:rPr>
                <w:rFonts w:hint="default" w:ascii="Times New Roman" w:hAnsi="Times New Roman" w:eastAsia="宋体" w:cs="Times New Roman"/>
                <w:color w:val="auto"/>
                <w:sz w:val="21"/>
                <w:szCs w:val="21"/>
                <w:highlight w:val="none"/>
              </w:rPr>
              <w:t>工程设计中， 进一步优化废气处理方案，确保各类工艺废气的收集、处理效率及排气筒高度等达到环评提出的要求。加强生产管理，减少无组织废气对周围环境的影响。废气中甲苯、甲醇执行《大气污染物综合排放标准》( DB 32/ 4041- 2021 )中表1</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表3标准限值；</w:t>
            </w:r>
            <w:r>
              <w:rPr>
                <w:rFonts w:hint="eastAsia" w:cs="Times New Roman"/>
                <w:color w:val="auto"/>
                <w:sz w:val="21"/>
                <w:szCs w:val="21"/>
                <w:highlight w:val="none"/>
                <w:lang w:val="en-US" w:eastAsia="zh-CN"/>
              </w:rPr>
              <w:t>VOC</w:t>
            </w:r>
            <w:r>
              <w:rPr>
                <w:rFonts w:hint="eastAsia" w:cs="Times New Roman"/>
                <w:color w:val="auto"/>
                <w:sz w:val="21"/>
                <w:szCs w:val="21"/>
                <w:highlight w:val="none"/>
                <w:vertAlign w:val="subscript"/>
                <w:lang w:val="en-US" w:eastAsia="zh-CN"/>
              </w:rPr>
              <w:t>S</w:t>
            </w:r>
            <w:r>
              <w:rPr>
                <w:rFonts w:hint="default" w:ascii="Times New Roman" w:hAnsi="Times New Roman" w:eastAsia="宋体" w:cs="Times New Roman"/>
                <w:color w:val="auto"/>
                <w:sz w:val="21"/>
                <w:szCs w:val="21"/>
                <w:highlight w:val="none"/>
              </w:rPr>
              <w:t>排放执行《合成树脂工业污染物排放标准》( GB31572- 2015 ) 中表5、表9非甲烧总经标准限值；天然气燃烧废气中颗粒物、S0</w:t>
            </w:r>
            <w:r>
              <w:rPr>
                <w:rFonts w:hint="default" w:ascii="Times New Roman" w:hAnsi="Times New Roman" w:eastAsia="宋体" w:cs="Times New Roman"/>
                <w:color w:val="auto"/>
                <w:sz w:val="21"/>
                <w:szCs w:val="21"/>
                <w:highlight w:val="none"/>
                <w:vertAlign w:val="subscript"/>
              </w:rPr>
              <w:t>2</w:t>
            </w:r>
            <w:r>
              <w:rPr>
                <w:rFonts w:hint="default" w:ascii="Times New Roman" w:hAnsi="Times New Roman" w:eastAsia="宋体" w:cs="Times New Roman"/>
                <w:color w:val="auto"/>
                <w:sz w:val="21"/>
                <w:szCs w:val="21"/>
                <w:highlight w:val="none"/>
              </w:rPr>
              <w:t>执行《锅炉大气污染物排放标准》 ( GB13271</w:t>
            </w:r>
            <w:r>
              <w:rPr>
                <w:rFonts w:hint="eastAsia"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 xml:space="preserve">2014 )中表3排放限值，NOx执行《长三角地区2019- 2020年秋冬季大气污染综合治理攻坚行动方案》中的限值即&lt; </w:t>
            </w:r>
            <w:r>
              <w:rPr>
                <w:rFonts w:hint="eastAsia" w:cs="Times New Roman"/>
                <w:color w:val="auto"/>
                <w:sz w:val="21"/>
                <w:szCs w:val="21"/>
                <w:highlight w:val="none"/>
                <w:lang w:val="en-US" w:eastAsia="zh-CN"/>
              </w:rPr>
              <w:t>50</w:t>
            </w:r>
            <w:r>
              <w:rPr>
                <w:rFonts w:hint="default" w:ascii="Times New Roman" w:hAnsi="Times New Roman" w:eastAsia="宋体" w:cs="Times New Roman"/>
                <w:color w:val="auto"/>
                <w:sz w:val="21"/>
                <w:szCs w:val="21"/>
                <w:highlight w:val="none"/>
              </w:rPr>
              <w:t>mg/m</w:t>
            </w:r>
            <w:r>
              <w:rPr>
                <w:rFonts w:hint="default" w:ascii="Times New Roman" w:hAnsi="Times New Roman" w:eastAsia="宋体" w:cs="Times New Roman"/>
                <w:color w:val="auto"/>
                <w:sz w:val="21"/>
                <w:szCs w:val="21"/>
                <w:highlight w:val="none"/>
                <w:vertAlign w:val="superscript"/>
              </w:rPr>
              <w:t>3</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厂区内</w:t>
            </w:r>
            <w:r>
              <w:rPr>
                <w:rFonts w:hint="eastAsia" w:cs="Times New Roman"/>
                <w:color w:val="auto"/>
                <w:sz w:val="21"/>
                <w:szCs w:val="21"/>
                <w:highlight w:val="none"/>
                <w:lang w:val="en-US" w:eastAsia="zh-CN"/>
              </w:rPr>
              <w:t>非甲烷总烃</w:t>
            </w:r>
            <w:r>
              <w:rPr>
                <w:rFonts w:hint="default" w:ascii="Times New Roman" w:hAnsi="Times New Roman" w:eastAsia="宋体" w:cs="Times New Roman"/>
                <w:color w:val="auto"/>
                <w:sz w:val="21"/>
                <w:szCs w:val="21"/>
                <w:highlight w:val="none"/>
              </w:rPr>
              <w:t>无组织排放执行</w:t>
            </w:r>
            <w:r>
              <w:rPr>
                <w:color w:val="auto"/>
                <w:kern w:val="0"/>
                <w:sz w:val="21"/>
                <w:szCs w:val="21"/>
                <w:highlight w:val="none"/>
              </w:rPr>
              <w:t>《大气污染物综合排放标准》（DB32/4041-2021）表2中标准中排放限值</w:t>
            </w:r>
            <w:r>
              <w:rPr>
                <w:rFonts w:hint="default" w:ascii="Times New Roman" w:hAnsi="Times New Roman" w:eastAsia="宋体" w:cs="Times New Roman"/>
                <w:color w:val="auto"/>
                <w:sz w:val="21"/>
                <w:szCs w:val="21"/>
                <w:highlight w:val="none"/>
              </w:rPr>
              <w:t>； 硫化氢执行《 恶臭污染物排放标准》( GB14554-93)中表1表2标准限值。</w:t>
            </w:r>
          </w:p>
        </w:tc>
        <w:tc>
          <w:tcPr>
            <w:tcW w:w="1852" w:type="pct"/>
            <w:noWrap w:val="0"/>
            <w:vAlign w:val="center"/>
          </w:tcPr>
          <w:p>
            <w:pPr>
              <w:pStyle w:val="28"/>
              <w:numPr>
                <w:ilvl w:val="0"/>
                <w:numId w:val="0"/>
              </w:numPr>
              <w:spacing w:line="240" w:lineRule="auto"/>
              <w:jc w:val="both"/>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项目</w:t>
            </w:r>
            <w:r>
              <w:rPr>
                <w:rFonts w:hint="default" w:ascii="Times New Roman" w:hAnsi="Times New Roman" w:eastAsia="宋体" w:cs="Times New Roman"/>
                <w:color w:val="auto"/>
                <w:sz w:val="21"/>
                <w:szCs w:val="21"/>
                <w:highlight w:val="none"/>
              </w:rPr>
              <w:t>混胶、涂胶废气采用密闭收集；烘烤废气管道密闭收集。</w:t>
            </w:r>
            <w:r>
              <w:rPr>
                <w:color w:val="auto"/>
                <w:sz w:val="21"/>
                <w:szCs w:val="21"/>
                <w:highlight w:val="none"/>
              </w:rPr>
              <w:t>有机废气收集后经旋转式RTO热力燃烧装置处理</w:t>
            </w:r>
            <w:r>
              <w:rPr>
                <w:rFonts w:hint="eastAsia"/>
                <w:color w:val="auto"/>
                <w:sz w:val="21"/>
                <w:szCs w:val="21"/>
                <w:highlight w:val="none"/>
              </w:rPr>
              <w:t>后通过1根</w:t>
            </w:r>
            <w:r>
              <w:rPr>
                <w:rFonts w:hint="eastAsia"/>
                <w:color w:val="auto"/>
                <w:sz w:val="21"/>
                <w:szCs w:val="21"/>
                <w:highlight w:val="none"/>
                <w:lang w:val="en-US" w:eastAsia="zh-CN"/>
              </w:rPr>
              <w:t>25</w:t>
            </w:r>
            <w:r>
              <w:rPr>
                <w:rFonts w:hint="eastAsia"/>
                <w:color w:val="auto"/>
                <w:sz w:val="21"/>
                <w:szCs w:val="21"/>
                <w:highlight w:val="none"/>
              </w:rPr>
              <w:t>米高排气筒（DA001）排放</w:t>
            </w:r>
            <w:r>
              <w:rPr>
                <w:rFonts w:hint="eastAsia"/>
                <w:color w:val="auto"/>
                <w:sz w:val="21"/>
                <w:szCs w:val="21"/>
                <w:highlight w:val="none"/>
                <w:lang w:eastAsia="zh-CN"/>
              </w:rPr>
              <w:t>；</w:t>
            </w:r>
            <w:r>
              <w:rPr>
                <w:rFonts w:hint="eastAsia" w:cs="Times New Roman"/>
                <w:color w:val="auto"/>
                <w:sz w:val="21"/>
                <w:szCs w:val="21"/>
                <w:highlight w:val="none"/>
                <w:lang w:val="en-US" w:eastAsia="zh-CN" w:bidi="ar"/>
              </w:rPr>
              <w:t>导热油炉</w:t>
            </w:r>
            <w:r>
              <w:rPr>
                <w:rFonts w:hint="eastAsia" w:cs="Times New Roman"/>
                <w:color w:val="auto"/>
                <w:sz w:val="21"/>
                <w:szCs w:val="21"/>
                <w:highlight w:val="none"/>
                <w:lang w:val="en-US" w:eastAsia="zh-CN"/>
              </w:rPr>
              <w:t>采用低氮燃烧技术，</w:t>
            </w:r>
            <w:r>
              <w:rPr>
                <w:rFonts w:hint="default" w:ascii="Times New Roman" w:hAnsi="Times New Roman" w:eastAsia="宋体" w:cs="Times New Roman"/>
                <w:color w:val="auto"/>
                <w:sz w:val="21"/>
                <w:szCs w:val="21"/>
                <w:highlight w:val="none"/>
              </w:rPr>
              <w:t>燃烧废气</w:t>
            </w:r>
            <w:r>
              <w:rPr>
                <w:rFonts w:hint="default" w:ascii="Times New Roman" w:hAnsi="Times New Roman" w:eastAsia="宋体" w:cs="Times New Roman"/>
                <w:color w:val="auto"/>
                <w:sz w:val="21"/>
                <w:szCs w:val="21"/>
                <w:highlight w:val="none"/>
                <w:lang w:val="en-US" w:eastAsia="zh-CN"/>
              </w:rPr>
              <w:t>经</w:t>
            </w:r>
            <w:r>
              <w:rPr>
                <w:rFonts w:hint="default" w:ascii="Times New Roman" w:hAnsi="Times New Roman" w:eastAsia="宋体" w:cs="Times New Roman"/>
                <w:color w:val="auto"/>
                <w:sz w:val="21"/>
                <w:szCs w:val="21"/>
                <w:highlight w:val="none"/>
              </w:rPr>
              <w:t>管道密闭收集</w:t>
            </w:r>
            <w:r>
              <w:rPr>
                <w:rFonts w:hint="default" w:ascii="Times New Roman" w:hAnsi="Times New Roman" w:eastAsia="宋体" w:cs="Times New Roman"/>
                <w:color w:val="auto"/>
                <w:sz w:val="21"/>
                <w:szCs w:val="21"/>
                <w:highlight w:val="none"/>
                <w:lang w:val="en-US" w:eastAsia="zh-CN"/>
              </w:rPr>
              <w:t>后通过</w:t>
            </w:r>
            <w:r>
              <w:rPr>
                <w:rFonts w:hint="eastAsia" w:ascii="Times New Roman" w:hAnsi="Times New Roman"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根</w:t>
            </w:r>
            <w:r>
              <w:rPr>
                <w:rFonts w:hint="eastAsia" w:cs="Times New Roman"/>
                <w:color w:val="auto"/>
                <w:sz w:val="21"/>
                <w:szCs w:val="21"/>
                <w:highlight w:val="none"/>
                <w:lang w:val="en-US" w:eastAsia="zh-CN"/>
              </w:rPr>
              <w:t>15</w:t>
            </w:r>
            <w:r>
              <w:rPr>
                <w:rFonts w:hint="default" w:ascii="Times New Roman" w:hAnsi="Times New Roman" w:eastAsia="宋体" w:cs="Times New Roman"/>
                <w:color w:val="auto"/>
                <w:sz w:val="21"/>
                <w:szCs w:val="21"/>
                <w:highlight w:val="none"/>
                <w:lang w:val="en-US" w:eastAsia="zh-CN"/>
              </w:rPr>
              <w:t>米排气筒</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DA00</w:t>
            </w:r>
            <w:r>
              <w:rPr>
                <w:rFonts w:hint="eastAsia" w:ascii="Times New Roman" w:hAnsi="Times New Roman"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排放</w:t>
            </w:r>
            <w:r>
              <w:rPr>
                <w:rFonts w:hint="eastAsia" w:cs="Times New Roman"/>
                <w:color w:val="auto"/>
                <w:sz w:val="21"/>
                <w:szCs w:val="21"/>
                <w:highlight w:val="none"/>
                <w:lang w:val="en-US" w:eastAsia="zh-CN"/>
              </w:rPr>
              <w:t>。</w:t>
            </w:r>
          </w:p>
          <w:p>
            <w:pPr>
              <w:pStyle w:val="1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jc w:val="both"/>
              <w:textAlignment w:val="auto"/>
              <w:rPr>
                <w:color w:val="auto"/>
                <w:kern w:val="0"/>
                <w:sz w:val="21"/>
                <w:szCs w:val="21"/>
                <w:highlight w:val="none"/>
              </w:rPr>
            </w:pPr>
            <w:r>
              <w:rPr>
                <w:rFonts w:hint="eastAsia" w:cs="Times New Roman"/>
                <w:color w:val="auto"/>
                <w:sz w:val="21"/>
                <w:szCs w:val="21"/>
                <w:highlight w:val="none"/>
                <w:lang w:val="en-US" w:eastAsia="zh-CN"/>
              </w:rPr>
              <w:t>根据验收检测数据可知，</w:t>
            </w:r>
            <w:r>
              <w:rPr>
                <w:rFonts w:hint="default" w:ascii="Times New Roman" w:hAnsi="Times New Roman" w:eastAsia="宋体" w:cs="Times New Roman"/>
                <w:color w:val="auto"/>
                <w:sz w:val="21"/>
                <w:szCs w:val="21"/>
                <w:highlight w:val="none"/>
              </w:rPr>
              <w:t>废气中甲苯、甲醇</w:t>
            </w:r>
            <w:r>
              <w:rPr>
                <w:rFonts w:hint="eastAsia" w:cs="Times New Roman"/>
                <w:color w:val="auto"/>
                <w:sz w:val="21"/>
                <w:szCs w:val="21"/>
                <w:highlight w:val="none"/>
                <w:lang w:val="en-US" w:eastAsia="zh-CN"/>
              </w:rPr>
              <w:t>有组织和厂界无组织排放满足</w:t>
            </w:r>
            <w:r>
              <w:rPr>
                <w:rFonts w:hint="default" w:ascii="Times New Roman" w:hAnsi="Times New Roman" w:eastAsia="宋体" w:cs="Times New Roman"/>
                <w:color w:val="auto"/>
                <w:sz w:val="21"/>
                <w:szCs w:val="21"/>
                <w:highlight w:val="none"/>
              </w:rPr>
              <w:t>《大气污染物综合排放标准》( DB 32/ 4041- 2021 )中表1</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表3标准限值</w:t>
            </w:r>
            <w:r>
              <w:rPr>
                <w:rFonts w:hint="eastAsia" w:cs="Times New Roman"/>
                <w:color w:val="auto"/>
                <w:sz w:val="21"/>
                <w:szCs w:val="21"/>
                <w:highlight w:val="none"/>
                <w:lang w:eastAsia="zh-CN"/>
              </w:rPr>
              <w:t>；</w:t>
            </w:r>
            <w:r>
              <w:rPr>
                <w:rFonts w:hint="eastAsia"/>
                <w:color w:val="auto"/>
                <w:kern w:val="0"/>
                <w:sz w:val="21"/>
                <w:szCs w:val="21"/>
                <w:highlight w:val="none"/>
                <w:lang w:val="en-US" w:eastAsia="zh-CN"/>
              </w:rPr>
              <w:t>非甲烷总烃</w:t>
            </w:r>
            <w:r>
              <w:rPr>
                <w:rFonts w:hint="eastAsia" w:cs="Times New Roman"/>
                <w:color w:val="auto"/>
                <w:sz w:val="21"/>
                <w:szCs w:val="21"/>
                <w:highlight w:val="none"/>
                <w:lang w:val="en-US" w:eastAsia="zh-CN"/>
              </w:rPr>
              <w:t>有组织和厂界无组织排放满足</w:t>
            </w:r>
            <w:r>
              <w:rPr>
                <w:color w:val="auto"/>
                <w:kern w:val="0"/>
                <w:sz w:val="21"/>
                <w:szCs w:val="21"/>
                <w:highlight w:val="none"/>
              </w:rPr>
              <w:t>《</w:t>
            </w:r>
            <w:r>
              <w:rPr>
                <w:rFonts w:hint="eastAsia"/>
                <w:color w:val="auto"/>
                <w:kern w:val="0"/>
                <w:sz w:val="21"/>
                <w:szCs w:val="21"/>
                <w:highlight w:val="none"/>
              </w:rPr>
              <w:t>合成树脂工业污染物</w:t>
            </w:r>
            <w:r>
              <w:rPr>
                <w:color w:val="auto"/>
                <w:kern w:val="0"/>
                <w:sz w:val="21"/>
                <w:szCs w:val="21"/>
                <w:highlight w:val="none"/>
              </w:rPr>
              <w:t>排放标准》（GB 31572-2015）表5</w:t>
            </w:r>
            <w:r>
              <w:rPr>
                <w:rFonts w:hint="eastAsia"/>
                <w:color w:val="auto"/>
                <w:kern w:val="0"/>
                <w:sz w:val="21"/>
                <w:szCs w:val="21"/>
                <w:highlight w:val="none"/>
                <w:lang w:val="en-US" w:eastAsia="zh-CN"/>
              </w:rPr>
              <w:t>和表9</w:t>
            </w:r>
            <w:r>
              <w:rPr>
                <w:rFonts w:hint="eastAsia"/>
                <w:color w:val="auto"/>
                <w:kern w:val="0"/>
                <w:sz w:val="21"/>
                <w:szCs w:val="21"/>
                <w:highlight w:val="none"/>
              </w:rPr>
              <w:t>中非甲烷总烃</w:t>
            </w:r>
            <w:r>
              <w:rPr>
                <w:color w:val="auto"/>
                <w:kern w:val="0"/>
                <w:sz w:val="21"/>
                <w:szCs w:val="21"/>
                <w:highlight w:val="none"/>
              </w:rPr>
              <w:t>标准</w:t>
            </w:r>
            <w:r>
              <w:rPr>
                <w:rFonts w:hint="eastAsia"/>
                <w:color w:val="auto"/>
                <w:kern w:val="0"/>
                <w:sz w:val="21"/>
                <w:szCs w:val="21"/>
                <w:highlight w:val="none"/>
                <w:lang w:eastAsia="zh-CN"/>
              </w:rPr>
              <w:t>；</w:t>
            </w:r>
            <w:r>
              <w:rPr>
                <w:rFonts w:hint="eastAsia"/>
                <w:color w:val="auto"/>
                <w:kern w:val="0"/>
                <w:sz w:val="21"/>
                <w:szCs w:val="21"/>
                <w:highlight w:val="none"/>
              </w:rPr>
              <w:t>颗粒物</w:t>
            </w:r>
            <w:r>
              <w:rPr>
                <w:color w:val="auto"/>
                <w:kern w:val="0"/>
                <w:sz w:val="21"/>
                <w:szCs w:val="21"/>
                <w:highlight w:val="none"/>
              </w:rPr>
              <w:t>、SO</w:t>
            </w:r>
            <w:r>
              <w:rPr>
                <w:color w:val="auto"/>
                <w:kern w:val="0"/>
                <w:sz w:val="21"/>
                <w:szCs w:val="21"/>
                <w:highlight w:val="none"/>
                <w:vertAlign w:val="subscript"/>
              </w:rPr>
              <w:t>2</w:t>
            </w:r>
            <w:r>
              <w:rPr>
                <w:rFonts w:hint="eastAsia"/>
                <w:color w:val="auto"/>
                <w:kern w:val="0"/>
                <w:sz w:val="21"/>
                <w:szCs w:val="21"/>
                <w:highlight w:val="none"/>
                <w:vertAlign w:val="baseline"/>
                <w:lang w:val="en-US" w:eastAsia="zh-CN"/>
              </w:rPr>
              <w:t>以及</w:t>
            </w:r>
            <w:r>
              <w:rPr>
                <w:color w:val="auto"/>
                <w:kern w:val="0"/>
                <w:sz w:val="21"/>
                <w:szCs w:val="21"/>
                <w:highlight w:val="none"/>
              </w:rPr>
              <w:t>NOx</w:t>
            </w:r>
            <w:r>
              <w:rPr>
                <w:rFonts w:hint="eastAsia"/>
                <w:color w:val="auto"/>
                <w:kern w:val="0"/>
                <w:sz w:val="21"/>
                <w:szCs w:val="21"/>
                <w:highlight w:val="none"/>
                <w:vertAlign w:val="baseline"/>
                <w:lang w:val="en-US" w:eastAsia="zh-CN"/>
              </w:rPr>
              <w:t>有组织排放满足</w:t>
            </w:r>
            <w:r>
              <w:rPr>
                <w:rFonts w:hint="eastAsia"/>
                <w:b w:val="0"/>
                <w:bCs/>
                <w:color w:val="auto"/>
                <w:kern w:val="0"/>
                <w:sz w:val="21"/>
                <w:szCs w:val="21"/>
                <w:highlight w:val="none"/>
              </w:rPr>
              <w:t>《锅炉大气污染物排放标准》（</w:t>
            </w:r>
            <w:r>
              <w:rPr>
                <w:rFonts w:hint="eastAsia"/>
                <w:b w:val="0"/>
                <w:bCs/>
                <w:color w:val="auto"/>
                <w:kern w:val="0"/>
                <w:sz w:val="21"/>
                <w:szCs w:val="21"/>
                <w:highlight w:val="none"/>
                <w:lang w:val="en-US" w:eastAsia="zh-CN"/>
              </w:rPr>
              <w:t>DB32/4385-2022</w:t>
            </w:r>
            <w:r>
              <w:rPr>
                <w:rFonts w:hint="eastAsia"/>
                <w:b w:val="0"/>
                <w:bCs/>
                <w:color w:val="auto"/>
                <w:kern w:val="0"/>
                <w:sz w:val="21"/>
                <w:szCs w:val="21"/>
                <w:highlight w:val="none"/>
              </w:rPr>
              <w:t>）</w:t>
            </w:r>
            <w:r>
              <w:rPr>
                <w:rFonts w:hint="eastAsia"/>
                <w:b w:val="0"/>
                <w:bCs/>
                <w:color w:val="auto"/>
                <w:kern w:val="0"/>
                <w:sz w:val="21"/>
                <w:szCs w:val="21"/>
                <w:highlight w:val="none"/>
                <w:lang w:val="en-US" w:eastAsia="zh-CN"/>
              </w:rPr>
              <w:t>表1</w:t>
            </w:r>
            <w:r>
              <w:rPr>
                <w:rFonts w:hint="eastAsia"/>
                <w:b w:val="0"/>
                <w:bCs/>
                <w:color w:val="auto"/>
                <w:kern w:val="0"/>
                <w:sz w:val="21"/>
                <w:szCs w:val="21"/>
                <w:highlight w:val="none"/>
              </w:rPr>
              <w:t>排放限值</w:t>
            </w:r>
            <w:r>
              <w:rPr>
                <w:rFonts w:hint="eastAsia"/>
                <w:color w:val="auto"/>
                <w:kern w:val="0"/>
                <w:sz w:val="21"/>
                <w:szCs w:val="21"/>
                <w:highlight w:val="none"/>
                <w:lang w:eastAsia="zh-CN"/>
              </w:rPr>
              <w:t>；</w:t>
            </w:r>
            <w:r>
              <w:rPr>
                <w:color w:val="auto"/>
                <w:kern w:val="0"/>
                <w:sz w:val="21"/>
                <w:szCs w:val="21"/>
                <w:highlight w:val="none"/>
              </w:rPr>
              <w:t>厂区内无组织排放NMHC</w:t>
            </w:r>
            <w:r>
              <w:rPr>
                <w:rFonts w:hint="eastAsia"/>
                <w:color w:val="auto"/>
                <w:kern w:val="0"/>
                <w:sz w:val="21"/>
                <w:szCs w:val="21"/>
                <w:highlight w:val="none"/>
                <w:lang w:val="en-US" w:eastAsia="zh-CN"/>
              </w:rPr>
              <w:t>排放满足</w:t>
            </w:r>
            <w:r>
              <w:rPr>
                <w:color w:val="auto"/>
                <w:kern w:val="0"/>
                <w:sz w:val="21"/>
                <w:szCs w:val="21"/>
                <w:highlight w:val="none"/>
              </w:rPr>
              <w:t>《大气污染物综合排放标准》（DB32/4041-2021）表2中标准中排放限值。</w:t>
            </w:r>
          </w:p>
          <w:p>
            <w:pPr>
              <w:pStyle w:val="1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jc w:val="both"/>
              <w:textAlignment w:val="auto"/>
              <w:rPr>
                <w:rFonts w:hint="default" w:eastAsia="宋体"/>
                <w:color w:val="auto"/>
                <w:kern w:val="0"/>
                <w:sz w:val="21"/>
                <w:szCs w:val="21"/>
                <w:highlight w:val="none"/>
                <w:lang w:val="en-US" w:eastAsia="zh-CN"/>
              </w:rPr>
            </w:pPr>
            <w:r>
              <w:rPr>
                <w:rFonts w:hint="eastAsia"/>
                <w:color w:val="auto"/>
                <w:kern w:val="0"/>
                <w:sz w:val="21"/>
                <w:szCs w:val="21"/>
                <w:highlight w:val="none"/>
                <w:lang w:val="en-US" w:eastAsia="zh-CN"/>
              </w:rPr>
              <w:t>项目实际无硫化氢废气的产生。</w:t>
            </w:r>
          </w:p>
        </w:tc>
        <w:tc>
          <w:tcPr>
            <w:tcW w:w="619" w:type="pct"/>
            <w:tcBorders>
              <w:righ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rPr>
            </w:pPr>
            <w:r>
              <w:rPr>
                <w:rFonts w:hint="default" w:ascii="Times New Roman" w:hAnsi="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9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6</w:t>
            </w:r>
          </w:p>
        </w:tc>
        <w:tc>
          <w:tcPr>
            <w:tcW w:w="1941"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highlight w:val="none"/>
              </w:rPr>
            </w:pPr>
            <w:r>
              <w:rPr>
                <w:rFonts w:hint="default" w:ascii="Times New Roman" w:hAnsi="Times New Roman" w:eastAsia="宋体" w:cs="Times New Roman"/>
                <w:color w:val="auto"/>
                <w:sz w:val="21"/>
                <w:szCs w:val="21"/>
                <w:highlight w:val="none"/>
              </w:rPr>
              <w:t>合理布局车间和设备，选用低噪声设备，加强对设备的维护和保养，采取有效的减震、隔声等降噪措施，减小噪声对周边环境的影响，确保厂界噪声达到《工业企业厂界环境噪声排放标准》( GB12348- 2008)中</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类标准；周边敏感点噪声执行《工业企业厂界环境噪声排放标准</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 GB12348-2008)中2类标准。</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项目</w:t>
            </w:r>
            <w:r>
              <w:rPr>
                <w:rFonts w:hint="eastAsia" w:ascii="Times New Roman" w:hAnsi="Times New Roman" w:eastAsia="宋体" w:cs="Times New Roman"/>
                <w:color w:val="auto"/>
                <w:kern w:val="2"/>
                <w:sz w:val="21"/>
                <w:szCs w:val="21"/>
                <w:highlight w:val="none"/>
                <w:lang w:eastAsia="zh-CN"/>
              </w:rPr>
              <w:t>已选用</w:t>
            </w:r>
            <w:r>
              <w:rPr>
                <w:rFonts w:hint="default" w:ascii="Times New Roman" w:hAnsi="Times New Roman" w:eastAsia="宋体" w:cs="Times New Roman"/>
                <w:color w:val="auto"/>
                <w:sz w:val="21"/>
                <w:szCs w:val="21"/>
                <w:highlight w:val="none"/>
              </w:rPr>
              <w:t>低噪音设备，对噪声源设备采取</w:t>
            </w:r>
            <w:r>
              <w:rPr>
                <w:rFonts w:hint="eastAsia" w:ascii="Times New Roman" w:hAnsi="Times New Roman" w:eastAsia="宋体" w:cs="Times New Roman"/>
                <w:color w:val="auto"/>
                <w:sz w:val="21"/>
                <w:szCs w:val="21"/>
                <w:highlight w:val="none"/>
                <w:lang w:eastAsia="zh-CN"/>
              </w:rPr>
              <w:t>了减震</w:t>
            </w:r>
            <w:r>
              <w:rPr>
                <w:rFonts w:hint="default" w:ascii="Times New Roman" w:hAnsi="Times New Roman" w:eastAsia="宋体" w:cs="Times New Roman"/>
                <w:color w:val="auto"/>
                <w:sz w:val="21"/>
                <w:szCs w:val="21"/>
                <w:highlight w:val="none"/>
              </w:rPr>
              <w:t>、隔声等降噪措施。根据验收监测报告可知厂界噪声满足《工业企业厂界环境噪声排放标准》（GB12348-2008）中</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类区标准。</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lang w:val="en-US" w:eastAsia="zh-CN" w:bidi="ar-SA"/>
              </w:rPr>
            </w:pPr>
            <w:r>
              <w:rPr>
                <w:rFonts w:ascii="Times New Roman" w:hAnsi="Times New Roman" w:eastAsia="宋体"/>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7</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highlight w:val="none"/>
              </w:rPr>
            </w:pPr>
            <w:r>
              <w:rPr>
                <w:rFonts w:hint="default" w:ascii="Times New Roman" w:hAnsi="Times New Roman" w:eastAsia="宋体" w:cs="Times New Roman"/>
                <w:color w:val="auto"/>
                <w:sz w:val="21"/>
                <w:szCs w:val="21"/>
                <w:highlight w:val="none"/>
              </w:rPr>
              <w:t>按固废＂减量化、资源化、无害化” 处置原则，落实各类固废的收集、贮存和综合利用措施，实现“零排放”，并按《一般工业固体废物贮存和填埋污染控制标准》( GB18599- 2020)、《危险废物贮存污染控制标准》(GB18597-2001)及修改单和《省生态环境厅关于进一步加强危险废物污染防治工作的实施意见》（苏环办(2019)327号）的要求规范建设一般工业固废及危废暂存场所。本项目产生的危废</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HW06、HWl l、HW13、HW16、HW17、HW26、HW49</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委托有资质单位处理</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并在投产前签订处置协议；生活垃圾送由环卫部门统一收集处理。所有固体废物实现“零排放"' 防止造成二次污染。</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eastAsia="zh-CN"/>
              </w:rPr>
              <w:t>固体废物已按照资源化、减量化、无害化分类处理，</w:t>
            </w:r>
            <w:r>
              <w:rPr>
                <w:rFonts w:hint="default" w:ascii="Times New Roman" w:hAnsi="Times New Roman" w:eastAsia="宋体" w:cs="Times New Roman"/>
                <w:color w:val="auto"/>
                <w:kern w:val="2"/>
                <w:sz w:val="21"/>
                <w:szCs w:val="21"/>
                <w:highlight w:val="none"/>
              </w:rPr>
              <w:t>建设一般固废暂存</w:t>
            </w:r>
            <w:r>
              <w:rPr>
                <w:rFonts w:hint="eastAsia" w:ascii="Times New Roman" w:hAnsi="Times New Roman" w:eastAsia="宋体" w:cs="Times New Roman"/>
                <w:color w:val="auto"/>
                <w:kern w:val="2"/>
                <w:sz w:val="21"/>
                <w:szCs w:val="21"/>
                <w:highlight w:val="none"/>
                <w:lang w:eastAsia="zh-CN"/>
              </w:rPr>
              <w:t>场所</w:t>
            </w:r>
            <w:r>
              <w:rPr>
                <w:rFonts w:hint="default" w:ascii="Times New Roman" w:hAnsi="Times New Roman" w:eastAsia="宋体" w:cs="Times New Roman"/>
                <w:color w:val="auto"/>
                <w:kern w:val="2"/>
                <w:sz w:val="21"/>
                <w:szCs w:val="21"/>
                <w:highlight w:val="none"/>
              </w:rPr>
              <w:t>和危险废物暂存</w:t>
            </w:r>
            <w:r>
              <w:rPr>
                <w:rFonts w:hint="eastAsia" w:ascii="Times New Roman" w:hAnsi="Times New Roman" w:eastAsia="宋体" w:cs="Times New Roman"/>
                <w:color w:val="auto"/>
                <w:kern w:val="2"/>
                <w:sz w:val="21"/>
                <w:szCs w:val="21"/>
                <w:highlight w:val="none"/>
                <w:lang w:eastAsia="zh-CN"/>
              </w:rPr>
              <w:t>场所；一般固废</w:t>
            </w:r>
            <w:r>
              <w:rPr>
                <w:rFonts w:hint="default" w:ascii="Times New Roman" w:hAnsi="Times New Roman" w:eastAsia="宋体" w:cs="Times New Roman"/>
                <w:color w:val="auto"/>
                <w:kern w:val="2"/>
                <w:sz w:val="21"/>
                <w:szCs w:val="21"/>
                <w:highlight w:val="none"/>
                <w:lang w:eastAsia="zh-CN"/>
              </w:rPr>
              <w:t>委托</w:t>
            </w:r>
            <w:r>
              <w:rPr>
                <w:rFonts w:hint="eastAsia" w:ascii="Times New Roman" w:hAnsi="Times New Roman" w:eastAsia="宋体" w:cs="Times New Roman"/>
                <w:color w:val="auto"/>
                <w:sz w:val="21"/>
                <w:szCs w:val="21"/>
                <w:highlight w:val="none"/>
                <w:lang w:val="en-US" w:eastAsia="zh-CN"/>
              </w:rPr>
              <w:t>常州市净宇环保科技服务有限公司回收处</w:t>
            </w:r>
            <w:r>
              <w:rPr>
                <w:rFonts w:hint="default" w:ascii="Times New Roman" w:hAnsi="Times New Roman" w:eastAsia="宋体" w:cs="Times New Roman"/>
                <w:color w:val="auto"/>
                <w:kern w:val="2"/>
                <w:sz w:val="21"/>
                <w:szCs w:val="21"/>
                <w:highlight w:val="none"/>
                <w:lang w:eastAsia="zh-CN"/>
              </w:rPr>
              <w:t>置</w:t>
            </w:r>
            <w:r>
              <w:rPr>
                <w:rFonts w:hint="eastAsia" w:ascii="Times New Roman" w:hAnsi="Times New Roman" w:eastAsia="宋体" w:cs="Times New Roman"/>
                <w:color w:val="auto"/>
                <w:kern w:val="2"/>
                <w:sz w:val="21"/>
                <w:szCs w:val="21"/>
                <w:highlight w:val="none"/>
                <w:lang w:eastAsia="zh-CN"/>
              </w:rPr>
              <w:t>，危险废物委托</w:t>
            </w:r>
            <w:r>
              <w:rPr>
                <w:rFonts w:hint="eastAsia" w:ascii="Times New Roman" w:hAnsi="Times New Roman" w:eastAsia="宋体"/>
                <w:color w:val="auto"/>
                <w:kern w:val="2"/>
                <w:sz w:val="21"/>
                <w:szCs w:val="21"/>
                <w:highlight w:val="none"/>
                <w:lang w:val="en-US" w:eastAsia="zh-CN"/>
              </w:rPr>
              <w:t>常州普达环保清洗有限公司</w:t>
            </w:r>
            <w:r>
              <w:rPr>
                <w:rFonts w:ascii="Times New Roman" w:hAnsi="Times New Roman" w:eastAsia="宋体"/>
                <w:color w:val="auto"/>
                <w:kern w:val="2"/>
                <w:sz w:val="21"/>
                <w:szCs w:val="21"/>
                <w:highlight w:val="none"/>
              </w:rPr>
              <w:t>处置</w:t>
            </w:r>
            <w:r>
              <w:rPr>
                <w:rFonts w:hint="default" w:ascii="Times New Roman" w:hAnsi="Times New Roman" w:eastAsia="宋体" w:cs="Times New Roman"/>
                <w:color w:val="auto"/>
                <w:kern w:val="2"/>
                <w:sz w:val="21"/>
                <w:szCs w:val="21"/>
                <w:highlight w:val="none"/>
              </w:rPr>
              <w:t>；</w:t>
            </w:r>
            <w:r>
              <w:rPr>
                <w:rFonts w:hint="eastAsia" w:ascii="Times New Roman" w:hAnsi="Times New Roman" w:eastAsia="宋体" w:cs="Times New Roman"/>
                <w:color w:val="auto"/>
                <w:kern w:val="2"/>
                <w:sz w:val="21"/>
                <w:szCs w:val="21"/>
                <w:highlight w:val="none"/>
                <w:lang w:eastAsia="zh-CN"/>
              </w:rPr>
              <w:t>生活垃圾委托环卫清运。</w:t>
            </w:r>
            <w:r>
              <w:rPr>
                <w:rFonts w:hint="default" w:ascii="Times New Roman" w:hAnsi="Times New Roman" w:eastAsia="宋体" w:cs="Times New Roman"/>
                <w:color w:val="auto"/>
                <w:kern w:val="2"/>
                <w:sz w:val="21"/>
                <w:szCs w:val="21"/>
                <w:highlight w:val="none"/>
              </w:rPr>
              <w:t>固废可安全暂存并且零排放</w:t>
            </w:r>
            <w:r>
              <w:rPr>
                <w:rFonts w:hint="default" w:ascii="Times New Roman" w:hAnsi="Times New Roman" w:eastAsia="宋体" w:cs="Times New Roman"/>
                <w:color w:val="auto"/>
                <w:sz w:val="21"/>
                <w:szCs w:val="21"/>
                <w:highlight w:val="none"/>
              </w:rPr>
              <w:t>。</w:t>
            </w:r>
            <w:r>
              <w:rPr>
                <w:rFonts w:hint="eastAsia" w:cs="Times New Roman"/>
                <w:color w:val="auto"/>
                <w:sz w:val="21"/>
                <w:szCs w:val="21"/>
                <w:highlight w:val="none"/>
                <w:lang w:val="en-US" w:eastAsia="zh-CN"/>
              </w:rPr>
              <w:t>项目实际生产中无</w:t>
            </w:r>
            <w:r>
              <w:rPr>
                <w:rFonts w:hint="default" w:ascii="Times New Roman" w:hAnsi="Times New Roman" w:eastAsia="宋体" w:cs="Times New Roman"/>
                <w:color w:val="auto"/>
                <w:sz w:val="21"/>
                <w:szCs w:val="21"/>
                <w:highlight w:val="none"/>
              </w:rPr>
              <w:t>HW06、HWl l、HW13、HW16、HW17</w:t>
            </w:r>
            <w:r>
              <w:rPr>
                <w:rFonts w:hint="eastAsia" w:cs="Times New Roman"/>
                <w:color w:val="auto"/>
                <w:sz w:val="21"/>
                <w:szCs w:val="21"/>
                <w:highlight w:val="none"/>
                <w:lang w:val="en-US" w:eastAsia="zh-CN"/>
              </w:rPr>
              <w:t>和</w:t>
            </w:r>
            <w:r>
              <w:rPr>
                <w:rFonts w:hint="default" w:ascii="Times New Roman" w:hAnsi="Times New Roman" w:eastAsia="宋体" w:cs="Times New Roman"/>
                <w:color w:val="auto"/>
                <w:sz w:val="21"/>
                <w:szCs w:val="21"/>
                <w:highlight w:val="none"/>
              </w:rPr>
              <w:t>HW26</w:t>
            </w:r>
            <w:r>
              <w:rPr>
                <w:rFonts w:hint="eastAsia" w:cs="Times New Roman"/>
                <w:color w:val="auto"/>
                <w:sz w:val="21"/>
                <w:szCs w:val="21"/>
                <w:highlight w:val="none"/>
                <w:lang w:val="en-US" w:eastAsia="zh-CN"/>
              </w:rPr>
              <w:t>类别危废产生。</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highlight w:val="none"/>
                <w:lang w:val="en-US" w:eastAsia="zh-CN" w:bidi="ar-SA"/>
              </w:rPr>
            </w:pPr>
            <w:r>
              <w:rPr>
                <w:rFonts w:ascii="Times New Roman" w:hAnsi="Times New Roman" w:eastAsia="宋体"/>
                <w:color w:val="auto"/>
                <w:kern w:val="2"/>
                <w:sz w:val="21"/>
                <w:szCs w:val="21"/>
                <w:highlight w:val="none"/>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8</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重视安全生产，落实环评提出的各项环境风险防范措施、制定环境应急预案，并定期演练，防止原料储运及生产过程中事故发生及事故性排放。</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eastAsia" w:ascii="Times New Roman" w:hAnsi="Times New Roman" w:eastAsia="宋体"/>
                <w:color w:val="auto"/>
                <w:kern w:val="2"/>
                <w:sz w:val="21"/>
                <w:szCs w:val="21"/>
                <w:highlight w:val="none"/>
                <w:lang w:val="en-US" w:eastAsia="zh-CN"/>
              </w:rPr>
              <w:t>项目已制定环境风险应急预案，正在积极备案中，日常管理中委托专人负责环保和安全管理，定期组织应急演练，加强员工日常培训</w:t>
            </w:r>
          </w:p>
        </w:tc>
        <w:tc>
          <w:tcPr>
            <w:tcW w:w="619" w:type="pct"/>
            <w:tcBorders>
              <w:right w:val="nil"/>
            </w:tcBorders>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ascii="Times New Roman" w:hAnsi="Times New Roman" w:eastAsia="宋体"/>
                <w:color w:val="auto"/>
                <w:kern w:val="2"/>
                <w:sz w:val="21"/>
                <w:szCs w:val="21"/>
                <w:highlight w:val="none"/>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9</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按《江苏省排污口设置及规范化整治管理办法》（苏环控(1997)122号）的规定设置各类排污口和标识。</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eastAsia="zh-CN"/>
              </w:rPr>
              <w:t>项目已规范化设置各类排污口及标志。</w:t>
            </w:r>
          </w:p>
        </w:tc>
        <w:tc>
          <w:tcPr>
            <w:tcW w:w="619" w:type="pct"/>
            <w:tcBorders>
              <w:right w:val="nil"/>
            </w:tcBorders>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ascii="Times New Roman" w:hAnsi="Times New Roman" w:eastAsia="宋体"/>
                <w:color w:val="auto"/>
                <w:kern w:val="2"/>
                <w:sz w:val="21"/>
                <w:szCs w:val="21"/>
                <w:highlight w:val="none"/>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9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10</w:t>
            </w:r>
          </w:p>
        </w:tc>
        <w:tc>
          <w:tcPr>
            <w:tcW w:w="1941"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highlight w:val="none"/>
              </w:rPr>
            </w:pPr>
            <w:r>
              <w:rPr>
                <w:rFonts w:hint="default" w:ascii="Times New Roman" w:hAnsi="Times New Roman" w:eastAsia="宋体" w:cs="Times New Roman"/>
                <w:color w:val="auto"/>
                <w:sz w:val="21"/>
                <w:szCs w:val="21"/>
                <w:highlight w:val="none"/>
              </w:rPr>
              <w:t>落实报告书中提出的全厂以生产车间、污水处理站外扩100米设置卫生防护距离。今后该范围内不得规划、新建住宅、学校、医院等环境敏感目标。</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eastAsia="zh-CN"/>
              </w:rPr>
              <w:t>项目已以生产车间为边界外扩</w:t>
            </w:r>
            <w:r>
              <w:rPr>
                <w:rFonts w:hint="eastAsia" w:ascii="Times New Roman" w:hAnsi="Times New Roman" w:eastAsia="宋体" w:cs="Times New Roman"/>
                <w:color w:val="auto"/>
                <w:kern w:val="2"/>
                <w:sz w:val="21"/>
                <w:szCs w:val="21"/>
                <w:highlight w:val="none"/>
                <w:lang w:val="en-US" w:eastAsia="zh-CN"/>
              </w:rPr>
              <w:t>100米设置卫生防护距离，卫生防护距离内未建设居民居住点、学校、医院等敏感目标。</w:t>
            </w:r>
          </w:p>
        </w:tc>
        <w:tc>
          <w:tcPr>
            <w:tcW w:w="619" w:type="pct"/>
            <w:tcBorders>
              <w:right w:val="nil"/>
            </w:tcBorders>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ascii="Times New Roman" w:hAnsi="Times New Roman" w:eastAsia="宋体"/>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11</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三、该项目实施后，污染物排放量必须满足我局核定的总量控制指标。</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rPr>
              <w:t>经核算，</w:t>
            </w:r>
            <w:r>
              <w:rPr>
                <w:rFonts w:hint="eastAsia" w:ascii="Times New Roman" w:hAnsi="Times New Roman" w:eastAsia="宋体" w:cs="Times New Roman"/>
                <w:color w:val="auto"/>
                <w:kern w:val="2"/>
                <w:sz w:val="21"/>
                <w:szCs w:val="21"/>
                <w:lang w:eastAsia="zh-CN"/>
              </w:rPr>
              <w:t>项目污染物排放量满足总量控制指标。</w:t>
            </w:r>
          </w:p>
        </w:tc>
        <w:tc>
          <w:tcPr>
            <w:tcW w:w="619" w:type="pct"/>
            <w:tcBorders>
              <w:right w:val="nil"/>
            </w:tcBorders>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ascii="Times New Roman" w:hAnsi="Times New Roman" w:eastAsia="宋体"/>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12</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四、项目建设运营期间，由常州市生态环境综合行政执法局金坛分局会同江苏金坛经济开发区管理委员会监督管理。</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hint="eastAsia" w:ascii="Times New Roman" w:hAnsi="Times New Roman" w:eastAsia="宋体"/>
                <w:color w:val="auto"/>
                <w:kern w:val="2"/>
                <w:sz w:val="21"/>
                <w:szCs w:val="21"/>
                <w:lang w:val="en-US" w:eastAsia="zh-CN"/>
              </w:rPr>
              <w:t>企业积极配合</w:t>
            </w:r>
            <w:r>
              <w:rPr>
                <w:rFonts w:hint="eastAsia" w:ascii="Times New Roman" w:hAnsi="Times New Roman" w:eastAsia="宋体" w:cs="Times New Roman"/>
                <w:color w:val="auto"/>
                <w:sz w:val="21"/>
                <w:szCs w:val="21"/>
                <w:lang w:val="en-US" w:eastAsia="zh-CN"/>
              </w:rPr>
              <w:t>管理部门的监督管理。</w:t>
            </w:r>
          </w:p>
        </w:tc>
        <w:tc>
          <w:tcPr>
            <w:tcW w:w="619" w:type="pct"/>
            <w:tcBorders>
              <w:right w:val="nil"/>
            </w:tcBorders>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ascii="Times New Roman" w:hAnsi="Times New Roman" w:eastAsia="宋体"/>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lang w:val="en-US" w:eastAsia="zh-CN"/>
              </w:rPr>
            </w:pPr>
            <w:r>
              <w:rPr>
                <w:rFonts w:hint="eastAsia" w:ascii="Times New Roman" w:hAnsi="Times New Roman"/>
                <w:bCs/>
                <w:color w:val="auto"/>
                <w:sz w:val="21"/>
                <w:szCs w:val="21"/>
                <w:lang w:val="en-US" w:eastAsia="zh-CN"/>
              </w:rPr>
              <w:t>13</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五、项目的环保设施必须与主体工程同时设计、同时施工、同时运行。项目竣工后，须按排污许可相关规定申请排污许可证，并组织项目竣工环境保护验收，验收合格后方可投入生产。</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hint="eastAsia" w:ascii="Times New Roman" w:hAnsi="Times New Roman" w:eastAsia="宋体" w:cs="Times New Roman"/>
                <w:color w:val="auto"/>
                <w:kern w:val="2"/>
                <w:sz w:val="21"/>
                <w:szCs w:val="21"/>
                <w:lang w:eastAsia="zh-CN"/>
              </w:rPr>
              <w:t>项目</w:t>
            </w:r>
            <w:r>
              <w:rPr>
                <w:rFonts w:hint="eastAsia" w:ascii="Times New Roman" w:hAnsi="Times New Roman" w:eastAsia="宋体" w:cs="Times New Roman"/>
                <w:color w:val="auto"/>
                <w:kern w:val="2"/>
                <w:sz w:val="21"/>
                <w:szCs w:val="21"/>
                <w:lang w:val="en-US" w:eastAsia="zh-CN"/>
              </w:rPr>
              <w:t>建成后</w:t>
            </w:r>
            <w:r>
              <w:rPr>
                <w:rFonts w:hint="eastAsia" w:ascii="Times New Roman" w:hAnsi="Times New Roman" w:eastAsia="宋体" w:cs="Times New Roman"/>
                <w:color w:val="auto"/>
                <w:kern w:val="2"/>
                <w:sz w:val="21"/>
                <w:szCs w:val="21"/>
                <w:lang w:eastAsia="zh-CN"/>
              </w:rPr>
              <w:t>严格执</w:t>
            </w:r>
            <w:r>
              <w:rPr>
                <w:rFonts w:hint="default" w:ascii="Times New Roman" w:hAnsi="Times New Roman" w:eastAsia="宋体" w:cs="Times New Roman"/>
                <w:color w:val="auto"/>
                <w:kern w:val="2"/>
                <w:sz w:val="21"/>
                <w:szCs w:val="21"/>
                <w:lang w:eastAsia="zh-CN"/>
              </w:rPr>
              <w:t>行“三同时”制度，正在进行验收</w:t>
            </w:r>
            <w:r>
              <w:rPr>
                <w:rFonts w:hint="default" w:ascii="Times New Roman" w:hAnsi="Times New Roman" w:eastAsia="宋体" w:cs="Times New Roman"/>
                <w:color w:val="auto"/>
                <w:kern w:val="2"/>
                <w:sz w:val="21"/>
                <w:szCs w:val="21"/>
              </w:rPr>
              <w:t>。</w:t>
            </w:r>
          </w:p>
        </w:tc>
        <w:tc>
          <w:tcPr>
            <w:tcW w:w="619" w:type="pct"/>
            <w:tcBorders>
              <w:right w:val="nil"/>
            </w:tcBorders>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ascii="Times New Roman" w:hAnsi="Times New Roman" w:eastAsia="宋体"/>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lang w:val="en-US" w:eastAsia="zh-CN"/>
              </w:rPr>
            </w:pPr>
            <w:r>
              <w:rPr>
                <w:rFonts w:hint="eastAsia"/>
                <w:bCs/>
                <w:color w:val="auto"/>
                <w:sz w:val="21"/>
                <w:szCs w:val="21"/>
                <w:lang w:val="en-US" w:eastAsia="zh-CN"/>
              </w:rPr>
              <w:t>14</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六、本项目开工建设之前，需按规定开展节能评估和审查，并取得节能审查机关出具的节能审查意见。</w:t>
            </w:r>
          </w:p>
        </w:tc>
        <w:tc>
          <w:tcPr>
            <w:tcW w:w="1852" w:type="pct"/>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bCs/>
                <w:color w:val="auto"/>
                <w:sz w:val="21"/>
                <w:szCs w:val="21"/>
              </w:rPr>
            </w:pPr>
            <w:r>
              <w:rPr>
                <w:rFonts w:hint="eastAsia" w:ascii="Times New Roman" w:hAnsi="Times New Roman" w:eastAsia="宋体"/>
                <w:color w:val="auto"/>
                <w:kern w:val="2"/>
                <w:sz w:val="21"/>
                <w:szCs w:val="21"/>
                <w:highlight w:val="none"/>
                <w:lang w:val="en-US" w:eastAsia="zh-CN"/>
              </w:rPr>
              <w:t>根据《固定资产投资项目节能评估和审查暂行办法》（中华人民共和国国家发展和改革委员会令第6号），本项目需要填报节能登记表，企业已填报固定资产投资项目节能承诺表</w:t>
            </w:r>
          </w:p>
        </w:tc>
        <w:tc>
          <w:tcPr>
            <w:tcW w:w="619" w:type="pct"/>
            <w:tcBorders>
              <w:righ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rPr>
            </w:pPr>
            <w:r>
              <w:rPr>
                <w:rFonts w:ascii="Times New Roman" w:hAnsi="Times New Roman" w:eastAsia="宋体"/>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7" w:type="pct"/>
            <w:tcBorders>
              <w:left w:val="nil"/>
            </w:tcBorders>
            <w:noWrap w:val="0"/>
            <w:vAlign w:val="center"/>
          </w:tcPr>
          <w:p>
            <w:pPr>
              <w:pStyle w:val="28"/>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bCs/>
                <w:color w:val="auto"/>
                <w:sz w:val="21"/>
                <w:szCs w:val="21"/>
                <w:lang w:val="en-US" w:eastAsia="zh-CN"/>
              </w:rPr>
            </w:pPr>
            <w:r>
              <w:rPr>
                <w:rFonts w:hint="eastAsia"/>
                <w:bCs/>
                <w:color w:val="auto"/>
                <w:sz w:val="21"/>
                <w:szCs w:val="21"/>
                <w:lang w:val="en-US" w:eastAsia="zh-CN"/>
              </w:rPr>
              <w:t>15</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bCs/>
                <w:color w:val="auto"/>
                <w:sz w:val="21"/>
                <w:szCs w:val="21"/>
              </w:rPr>
            </w:pPr>
            <w:r>
              <w:rPr>
                <w:rFonts w:hint="default" w:ascii="Times New Roman" w:hAnsi="Times New Roman" w:eastAsia="宋体" w:cs="Times New Roman"/>
                <w:color w:val="auto"/>
                <w:sz w:val="21"/>
                <w:szCs w:val="21"/>
              </w:rPr>
              <w:t>七、项目批准后，建设项目的性质、规模、地点、采用的生产工艺或者防治污染、防止生态破坏的措施发生重大变动的， 或自批准之日满5年方开工建设</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建设单位应当重新报批（审核）建设项目的环境影响评价文件。</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hint="eastAsia" w:ascii="Times New Roman" w:hAnsi="Times New Roman" w:eastAsia="宋体" w:cs="Times New Roman"/>
                <w:color w:val="auto"/>
                <w:kern w:val="2"/>
                <w:sz w:val="21"/>
                <w:szCs w:val="21"/>
                <w:lang w:eastAsia="zh-CN"/>
              </w:rPr>
              <w:t>项目的性质、规模、地点、采用的生产工艺及防治污染、防止生态破坏的措施均未发生重大变动。</w:t>
            </w:r>
          </w:p>
        </w:tc>
        <w:tc>
          <w:tcPr>
            <w:tcW w:w="619" w:type="pct"/>
            <w:tcBorders>
              <w:right w:val="nil"/>
            </w:tcBorders>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ascii="Times New Roman" w:hAnsi="Times New Roman" w:eastAsia="宋体"/>
                <w:color w:val="auto"/>
                <w:kern w:val="2"/>
                <w:sz w:val="21"/>
                <w:szCs w:val="21"/>
              </w:rPr>
              <w:t>满足环评批复要求</w:t>
            </w:r>
          </w:p>
        </w:tc>
      </w:tr>
    </w:tbl>
    <w:p>
      <w:pPr>
        <w:pStyle w:val="4"/>
        <w:keepNext/>
        <w:keepLines/>
        <w:pageBreakBefore w:val="0"/>
        <w:widowControl w:val="0"/>
        <w:kinsoku/>
        <w:wordWrap/>
        <w:overflowPunct/>
        <w:topLinePunct w:val="0"/>
        <w:autoSpaceDE w:val="0"/>
        <w:autoSpaceDN w:val="0"/>
        <w:bidi w:val="0"/>
        <w:adjustRightInd/>
        <w:snapToGrid/>
        <w:spacing w:before="157" w:beforeLines="50" w:afterLines="0" w:line="360" w:lineRule="auto"/>
        <w:textAlignment w:val="auto"/>
        <w:rPr>
          <w:rFonts w:hint="default" w:ascii="Times New Roman" w:hAnsi="Times New Roman" w:eastAsia="宋体" w:cs="Times New Roman"/>
          <w:color w:val="auto"/>
          <w:highlight w:val="none"/>
        </w:rPr>
      </w:pPr>
      <w:bookmarkStart w:id="31" w:name="_Toc1772"/>
      <w:r>
        <w:rPr>
          <w:rFonts w:hint="default" w:ascii="Times New Roman" w:hAnsi="Times New Roman" w:eastAsia="宋体" w:cs="Times New Roman"/>
          <w:color w:val="auto"/>
        </w:rPr>
        <w:t>5.4 变动影响分析主要结论</w:t>
      </w:r>
      <w:bookmarkEnd w:id="31"/>
    </w:p>
    <w:p>
      <w:pPr>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default" w:ascii="Times New Roman" w:hAnsi="Times New Roman" w:eastAsia="宋体" w:cs="Times New Roman"/>
          <w:color w:val="auto"/>
          <w:sz w:val="21"/>
          <w:szCs w:val="21"/>
        </w:rPr>
      </w:pPr>
      <w:r>
        <w:rPr>
          <w:rFonts w:hint="eastAsia" w:cs="Times New Roman"/>
          <w:color w:val="auto"/>
          <w:sz w:val="21"/>
          <w:szCs w:val="21"/>
          <w:highlight w:val="none"/>
          <w:lang w:val="en-US" w:eastAsia="zh-CN"/>
        </w:rPr>
        <w:t>缔壹</w:t>
      </w:r>
      <w:r>
        <w:rPr>
          <w:rFonts w:hint="default" w:ascii="Times New Roman" w:hAnsi="Times New Roman" w:eastAsia="宋体" w:cs="Times New Roman"/>
          <w:color w:val="auto"/>
          <w:sz w:val="21"/>
          <w:szCs w:val="21"/>
          <w:highlight w:val="none"/>
        </w:rPr>
        <w:t>公司在</w:t>
      </w:r>
      <w:r>
        <w:rPr>
          <w:rFonts w:hint="eastAsia" w:cs="Times New Roman"/>
          <w:color w:val="auto"/>
          <w:sz w:val="21"/>
          <w:szCs w:val="21"/>
          <w:highlight w:val="none"/>
          <w:lang w:val="en-US" w:eastAsia="zh-CN"/>
        </w:rPr>
        <w:t>常州市金坛经济开发区</w:t>
      </w:r>
      <w:r>
        <w:rPr>
          <w:rFonts w:hint="default" w:ascii="Times New Roman" w:hAnsi="Times New Roman" w:eastAsia="宋体" w:cs="Times New Roman"/>
          <w:color w:val="auto"/>
          <w:sz w:val="21"/>
          <w:szCs w:val="21"/>
          <w:highlight w:val="none"/>
        </w:rPr>
        <w:t>投资建设</w:t>
      </w:r>
      <w:r>
        <w:rPr>
          <w:rFonts w:hint="eastAsia" w:cs="Times New Roman"/>
          <w:color w:val="auto"/>
          <w:sz w:val="21"/>
          <w:szCs w:val="21"/>
          <w:highlight w:val="none"/>
          <w:lang w:eastAsia="zh-CN"/>
        </w:rPr>
        <w:t>缔壹电工科技锂电池胶带项目</w:t>
      </w:r>
      <w:r>
        <w:rPr>
          <w:rFonts w:hint="default" w:ascii="Times New Roman" w:hAnsi="Times New Roman" w:eastAsia="宋体" w:cs="Times New Roman"/>
          <w:color w:val="auto"/>
          <w:sz w:val="21"/>
          <w:szCs w:val="21"/>
          <w:highlight w:val="none"/>
        </w:rPr>
        <w:t>，该项目于2022年8月16日取得了</w:t>
      </w:r>
      <w:r>
        <w:rPr>
          <w:rFonts w:hint="eastAsia" w:cs="Times New Roman"/>
          <w:color w:val="auto"/>
          <w:sz w:val="21"/>
          <w:szCs w:val="21"/>
          <w:highlight w:val="none"/>
          <w:lang w:val="en-US" w:eastAsia="zh-CN"/>
        </w:rPr>
        <w:t>常州市环境保护局</w:t>
      </w:r>
      <w:r>
        <w:rPr>
          <w:rFonts w:hint="default" w:ascii="Times New Roman" w:hAnsi="Times New Roman" w:eastAsia="宋体" w:cs="Times New Roman"/>
          <w:color w:val="auto"/>
          <w:sz w:val="21"/>
          <w:szCs w:val="21"/>
          <w:highlight w:val="none"/>
        </w:rPr>
        <w:t>关于项目环评批复（</w:t>
      </w:r>
      <w:r>
        <w:rPr>
          <w:rFonts w:hint="eastAsia" w:cs="Times New Roman"/>
          <w:color w:val="auto"/>
          <w:sz w:val="21"/>
          <w:szCs w:val="21"/>
          <w:highlight w:val="none"/>
          <w:lang w:eastAsia="zh-CN"/>
        </w:rPr>
        <w:t>常金环审[2022]36号</w:t>
      </w:r>
      <w:r>
        <w:rPr>
          <w:rFonts w:hint="default" w:ascii="Times New Roman" w:hAnsi="Times New Roman" w:eastAsia="宋体" w:cs="Times New Roman"/>
          <w:color w:val="auto"/>
          <w:sz w:val="21"/>
          <w:szCs w:val="21"/>
          <w:highlight w:val="none"/>
        </w:rPr>
        <w:t>）。目前该项目即将建设完成，建设过程中部分建设内容与环评期间对比发生变动，主要为平面布置变动，根据《生态环境部办公厅关于印发&lt;污染影响类建设项目重大变动清单（试行）&gt;的通知 环办环评函[2020]688号》，综合判定项目变动部分不属于重大变动，以上变动不会导致原环</w:t>
      </w:r>
      <w:r>
        <w:rPr>
          <w:rFonts w:hint="default" w:ascii="Times New Roman" w:hAnsi="Times New Roman" w:eastAsia="宋体" w:cs="Times New Roman"/>
          <w:color w:val="auto"/>
          <w:sz w:val="21"/>
          <w:szCs w:val="21"/>
        </w:rPr>
        <w:t>评结论发生改变。按照《省生态环境厅关于加强涉变动项目环评与排污许可管理衔接的通知》中文件要求，</w:t>
      </w:r>
      <w:r>
        <w:rPr>
          <w:rFonts w:hint="eastAsia" w:cs="Times New Roman"/>
          <w:color w:val="auto"/>
          <w:sz w:val="21"/>
          <w:szCs w:val="21"/>
          <w:lang w:val="en-US" w:eastAsia="zh-CN"/>
        </w:rPr>
        <w:t>缔壹</w:t>
      </w:r>
      <w:r>
        <w:rPr>
          <w:rFonts w:hint="default" w:ascii="Times New Roman" w:hAnsi="Times New Roman" w:eastAsia="宋体" w:cs="Times New Roman"/>
          <w:color w:val="auto"/>
          <w:sz w:val="21"/>
          <w:szCs w:val="21"/>
        </w:rPr>
        <w:t>公司编制项目一般变动环境影响分析报告，将变动内容纳入排污许可和竣工环境保护验收管理。</w:t>
      </w:r>
    </w:p>
    <w:p>
      <w:pPr>
        <w:jc w:val="both"/>
        <w:rPr>
          <w:rFonts w:hint="default" w:ascii="Times New Roman" w:hAnsi="Times New Roman" w:eastAsia="宋体" w:cs="Times New Roman"/>
          <w:color w:val="FF0000"/>
          <w:sz w:val="21"/>
          <w:szCs w:val="21"/>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3"/>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32" w:name="_Toc30240"/>
      <w:r>
        <w:rPr>
          <w:rFonts w:hint="default" w:ascii="Times New Roman" w:hAnsi="Times New Roman" w:eastAsia="宋体" w:cs="Times New Roman"/>
          <w:color w:val="auto"/>
        </w:rPr>
        <w:t>6 验收执行标准</w:t>
      </w:r>
      <w:bookmarkEnd w:id="32"/>
    </w:p>
    <w:p>
      <w:pPr>
        <w:pStyle w:val="4"/>
        <w:pageBreakBefore w:val="0"/>
        <w:widowControl w:val="0"/>
        <w:kinsoku/>
        <w:wordWrap/>
        <w:overflowPunct/>
        <w:topLinePunct w:val="0"/>
        <w:autoSpaceDE w:val="0"/>
        <w:autoSpaceDN w:val="0"/>
        <w:bidi w:val="0"/>
        <w:adjustRightInd/>
        <w:snapToGrid/>
        <w:spacing w:beforeLines="0" w:afterLines="0" w:line="360" w:lineRule="auto"/>
        <w:textAlignment w:val="auto"/>
        <w:rPr>
          <w:rFonts w:hint="default" w:ascii="Times New Roman" w:hAnsi="Times New Roman" w:eastAsia="宋体" w:cs="Times New Roman"/>
          <w:color w:val="auto"/>
        </w:rPr>
      </w:pPr>
      <w:bookmarkStart w:id="33" w:name="_Toc17193"/>
      <w:r>
        <w:rPr>
          <w:rFonts w:hint="default" w:ascii="Times New Roman" w:hAnsi="Times New Roman" w:eastAsia="宋体" w:cs="Times New Roman"/>
          <w:color w:val="auto"/>
        </w:rPr>
        <w:t>6.1 废水执行标准</w:t>
      </w:r>
      <w:bookmarkEnd w:id="33"/>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w:t>
      </w:r>
      <w:bookmarkStart w:id="34" w:name="_Hlk118879852"/>
      <w:r>
        <w:rPr>
          <w:color w:val="auto"/>
          <w:sz w:val="21"/>
          <w:szCs w:val="21"/>
        </w:rPr>
        <w:t>生活污水经化粪池预处理后达到常州金坛区第二污水处理有限公司接管限值和《污水排入城镇下水道水质标准》（</w:t>
      </w:r>
      <w:r>
        <w:rPr>
          <w:color w:val="auto"/>
          <w:sz w:val="21"/>
          <w:szCs w:val="21"/>
          <w:shd w:val="clear" w:color="auto" w:fill="FFFFFF"/>
        </w:rPr>
        <w:t>GB/T31962-2015</w:t>
      </w:r>
      <w:r>
        <w:rPr>
          <w:color w:val="auto"/>
          <w:sz w:val="21"/>
          <w:szCs w:val="21"/>
        </w:rPr>
        <w:t>）表</w:t>
      </w:r>
      <w:r>
        <w:rPr>
          <w:rFonts w:hint="eastAsia"/>
          <w:color w:val="auto"/>
          <w:sz w:val="21"/>
          <w:szCs w:val="21"/>
          <w:lang w:val="en-US" w:eastAsia="zh-CN"/>
        </w:rPr>
        <w:t>1</w:t>
      </w:r>
      <w:r>
        <w:rPr>
          <w:color w:val="auto"/>
          <w:sz w:val="21"/>
          <w:szCs w:val="21"/>
        </w:rPr>
        <w:t>中B等级标准</w:t>
      </w:r>
      <w:r>
        <w:rPr>
          <w:bCs/>
          <w:color w:val="auto"/>
          <w:sz w:val="21"/>
          <w:szCs w:val="21"/>
        </w:rPr>
        <w:t>后，接管排入市政污水管网</w:t>
      </w:r>
      <w:r>
        <w:rPr>
          <w:color w:val="auto"/>
          <w:sz w:val="21"/>
          <w:szCs w:val="21"/>
        </w:rPr>
        <w:t>，最终排入金坛区第二污水处理厂处理达标后排放</w:t>
      </w:r>
      <w:r>
        <w:rPr>
          <w:rFonts w:hint="default" w:ascii="Times New Roman" w:hAnsi="Times New Roman" w:eastAsia="宋体" w:cs="Times New Roman"/>
          <w:color w:val="auto"/>
          <w:sz w:val="21"/>
          <w:szCs w:val="21"/>
        </w:rPr>
        <w:t>。</w:t>
      </w:r>
      <w:bookmarkEnd w:id="34"/>
      <w:r>
        <w:rPr>
          <w:rFonts w:hint="default" w:ascii="Times New Roman" w:hAnsi="Times New Roman" w:eastAsia="宋体" w:cs="Times New Roman"/>
          <w:color w:val="auto"/>
          <w:sz w:val="21"/>
          <w:szCs w:val="21"/>
        </w:rPr>
        <w:t>具体指标值详见表6-1。</w:t>
      </w:r>
    </w:p>
    <w:p>
      <w:pPr>
        <w:pStyle w:val="29"/>
        <w:spacing w:before="156"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表6-1  废水污染物排放标准主要指标值表（单位：mg/L，pH无量纲）</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2731"/>
        <w:gridCol w:w="3101"/>
        <w:gridCol w:w="3239"/>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50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w:t>
            </w:r>
          </w:p>
        </w:tc>
        <w:tc>
          <w:tcPr>
            <w:tcW w:w="1709"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接管限值浓度限值</w:t>
            </w:r>
          </w:p>
        </w:tc>
        <w:tc>
          <w:tcPr>
            <w:tcW w:w="178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50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pH</w:t>
            </w:r>
          </w:p>
        </w:tc>
        <w:tc>
          <w:tcPr>
            <w:tcW w:w="1709"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6～9</w:t>
            </w:r>
          </w:p>
        </w:tc>
        <w:tc>
          <w:tcPr>
            <w:tcW w:w="1785"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常州金坛区第二污水处理有限公司接管限值要求</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50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COD</w:t>
            </w:r>
          </w:p>
        </w:tc>
        <w:tc>
          <w:tcPr>
            <w:tcW w:w="1709"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500</w:t>
            </w:r>
          </w:p>
        </w:tc>
        <w:tc>
          <w:tcPr>
            <w:tcW w:w="1785" w:type="pct"/>
            <w:vMerge w:val="continue"/>
            <w:noWrap w:val="0"/>
            <w:vAlign w:val="center"/>
          </w:tcPr>
          <w:p>
            <w:pPr>
              <w:adjustRightInd/>
              <w:snapToGrid/>
              <w:spacing w:before="62" w:beforeLines="20" w:after="62" w:afterLines="20" w:line="240" w:lineRule="auto"/>
              <w:ind w:firstLine="0" w:firstLineChars="0"/>
              <w:jc w:val="center"/>
              <w:rPr>
                <w:rFonts w:ascii="Times New Roman" w:hAnsi="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50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SS</w:t>
            </w:r>
          </w:p>
        </w:tc>
        <w:tc>
          <w:tcPr>
            <w:tcW w:w="1709"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250</w:t>
            </w:r>
          </w:p>
        </w:tc>
        <w:tc>
          <w:tcPr>
            <w:tcW w:w="1785" w:type="pct"/>
            <w:vMerge w:val="continue"/>
            <w:noWrap w:val="0"/>
            <w:vAlign w:val="center"/>
          </w:tcPr>
          <w:p>
            <w:pPr>
              <w:adjustRightInd/>
              <w:snapToGrid/>
              <w:spacing w:before="62" w:beforeLines="20" w:after="62" w:afterLines="20" w:line="240" w:lineRule="auto"/>
              <w:ind w:firstLine="0" w:firstLineChars="0"/>
              <w:jc w:val="center"/>
              <w:rPr>
                <w:rFonts w:ascii="Times New Roman" w:hAnsi="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50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氨氮</w:t>
            </w:r>
          </w:p>
        </w:tc>
        <w:tc>
          <w:tcPr>
            <w:tcW w:w="1709"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35</w:t>
            </w:r>
          </w:p>
        </w:tc>
        <w:tc>
          <w:tcPr>
            <w:tcW w:w="1785" w:type="pct"/>
            <w:vMerge w:val="continue"/>
            <w:noWrap w:val="0"/>
            <w:vAlign w:val="center"/>
          </w:tcPr>
          <w:p>
            <w:pPr>
              <w:adjustRightInd/>
              <w:snapToGrid/>
              <w:spacing w:before="62" w:beforeLines="20" w:after="62" w:afterLines="20" w:line="240" w:lineRule="auto"/>
              <w:ind w:firstLine="0" w:firstLineChars="0"/>
              <w:jc w:val="center"/>
              <w:rPr>
                <w:rFonts w:ascii="Times New Roman" w:hAnsi="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50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磷酸盐（以P计）</w:t>
            </w:r>
          </w:p>
        </w:tc>
        <w:tc>
          <w:tcPr>
            <w:tcW w:w="1709"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1785" w:type="pct"/>
            <w:vMerge w:val="continue"/>
            <w:noWrap w:val="0"/>
            <w:vAlign w:val="center"/>
          </w:tcPr>
          <w:p>
            <w:pPr>
              <w:spacing w:before="62" w:beforeLines="20" w:after="62" w:afterLines="20" w:line="240" w:lineRule="auto"/>
              <w:ind w:firstLine="210" w:firstLineChars="0"/>
              <w:jc w:val="center"/>
              <w:rPr>
                <w:rFonts w:ascii="Times New Roman" w:hAnsi="Times New Roman"/>
                <w:snapToGrid w:val="0"/>
                <w:color w:val="000000"/>
                <w:kern w:val="28"/>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50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TN</w:t>
            </w:r>
          </w:p>
        </w:tc>
        <w:tc>
          <w:tcPr>
            <w:tcW w:w="1709"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w:t>
            </w:r>
          </w:p>
        </w:tc>
        <w:tc>
          <w:tcPr>
            <w:tcW w:w="1785" w:type="pct"/>
            <w:vMerge w:val="continue"/>
            <w:noWrap w:val="0"/>
            <w:vAlign w:val="center"/>
          </w:tcPr>
          <w:p>
            <w:pPr>
              <w:spacing w:before="62" w:beforeLines="20" w:after="62" w:afterLines="20" w:line="240" w:lineRule="auto"/>
              <w:ind w:firstLine="210" w:firstLineChars="0"/>
              <w:jc w:val="center"/>
              <w:rPr>
                <w:rFonts w:ascii="Times New Roman" w:hAnsi="Times New Roman"/>
                <w:snapToGrid w:val="0"/>
                <w:color w:val="000000"/>
                <w:kern w:val="28"/>
                <w:sz w:val="21"/>
                <w:szCs w:val="21"/>
              </w:rPr>
            </w:pPr>
          </w:p>
        </w:tc>
      </w:tr>
    </w:tbl>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highlight w:val="none"/>
        </w:rPr>
      </w:pPr>
      <w:bookmarkStart w:id="35" w:name="_Toc6544"/>
      <w:r>
        <w:rPr>
          <w:rFonts w:hint="default" w:ascii="Times New Roman" w:hAnsi="Times New Roman" w:eastAsia="宋体" w:cs="Times New Roman"/>
          <w:color w:val="auto"/>
        </w:rPr>
        <w:t>6.2 废</w:t>
      </w:r>
      <w:r>
        <w:rPr>
          <w:rFonts w:hint="default" w:ascii="Times New Roman" w:hAnsi="Times New Roman" w:eastAsia="宋体" w:cs="Times New Roman"/>
          <w:color w:val="auto"/>
          <w:highlight w:val="none"/>
        </w:rPr>
        <w:t>气执行标准</w:t>
      </w:r>
      <w:bookmarkEnd w:id="35"/>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color w:val="auto"/>
          <w:kern w:val="0"/>
          <w:sz w:val="21"/>
          <w:szCs w:val="21"/>
          <w:highlight w:val="none"/>
          <w:lang w:val="en-US" w:eastAsia="zh-CN"/>
        </w:rPr>
      </w:pPr>
      <w:r>
        <w:rPr>
          <w:rFonts w:hint="default" w:ascii="Times New Roman" w:hAnsi="Times New Roman" w:eastAsia="宋体" w:cs="Times New Roman"/>
          <w:color w:val="auto"/>
          <w:sz w:val="21"/>
          <w:szCs w:val="21"/>
          <w:highlight w:val="none"/>
        </w:rPr>
        <w:t>验收项目</w:t>
      </w:r>
      <w:r>
        <w:rPr>
          <w:color w:val="auto"/>
          <w:kern w:val="0"/>
          <w:sz w:val="21"/>
          <w:szCs w:val="21"/>
          <w:highlight w:val="none"/>
        </w:rPr>
        <w:t>废气主要为混胶、涂胶、烘烤工序产生的有机废气</w:t>
      </w:r>
      <w:r>
        <w:rPr>
          <w:rFonts w:hint="eastAsia"/>
          <w:color w:val="auto"/>
          <w:kern w:val="0"/>
          <w:sz w:val="21"/>
          <w:szCs w:val="21"/>
          <w:highlight w:val="none"/>
          <w:lang w:eastAsia="zh-CN"/>
        </w:rPr>
        <w:t>（</w:t>
      </w:r>
      <w:r>
        <w:rPr>
          <w:rFonts w:hint="eastAsia"/>
          <w:color w:val="auto"/>
          <w:kern w:val="0"/>
          <w:sz w:val="21"/>
          <w:szCs w:val="21"/>
          <w:highlight w:val="none"/>
          <w:lang w:val="en-US" w:eastAsia="zh-CN"/>
        </w:rPr>
        <w:t>含</w:t>
      </w:r>
      <w:r>
        <w:rPr>
          <w:rFonts w:hint="default" w:ascii="Times New Roman" w:hAnsi="Times New Roman" w:eastAsia="宋体" w:cs="Times New Roman"/>
          <w:b w:val="0"/>
          <w:bCs/>
          <w:color w:val="auto"/>
          <w:kern w:val="0"/>
          <w:sz w:val="21"/>
          <w:szCs w:val="21"/>
          <w:highlight w:val="none"/>
          <w:lang w:val="en-US" w:eastAsia="zh-CN"/>
        </w:rPr>
        <w:t>乙酸乙酯、甲苯、甲醇、</w:t>
      </w:r>
      <w:r>
        <w:rPr>
          <w:rFonts w:hint="default" w:ascii="Times New Roman" w:hAnsi="Times New Roman" w:eastAsia="宋体" w:cs="Times New Roman"/>
          <w:b w:val="0"/>
          <w:bCs/>
          <w:color w:val="auto"/>
          <w:sz w:val="21"/>
          <w:szCs w:val="21"/>
          <w:highlight w:val="none"/>
          <w:lang w:val="en-US" w:eastAsia="zh-CN"/>
        </w:rPr>
        <w:t>非甲烷总烃</w:t>
      </w:r>
      <w:r>
        <w:rPr>
          <w:rFonts w:hint="eastAsia"/>
          <w:color w:val="auto"/>
          <w:kern w:val="0"/>
          <w:sz w:val="21"/>
          <w:szCs w:val="21"/>
          <w:highlight w:val="none"/>
          <w:lang w:eastAsia="zh-CN"/>
        </w:rPr>
        <w:t>）</w:t>
      </w:r>
      <w:r>
        <w:rPr>
          <w:rFonts w:hint="eastAsia"/>
          <w:color w:val="auto"/>
          <w:kern w:val="0"/>
          <w:sz w:val="21"/>
          <w:szCs w:val="21"/>
          <w:highlight w:val="none"/>
          <w:lang w:val="en-US" w:eastAsia="zh-CN"/>
        </w:rPr>
        <w:t>以及天然气燃烧废气（</w:t>
      </w:r>
      <w:r>
        <w:rPr>
          <w:rFonts w:hint="eastAsia"/>
          <w:color w:val="auto"/>
          <w:sz w:val="21"/>
          <w:szCs w:val="21"/>
          <w:highlight w:val="none"/>
          <w:lang w:val="en-US" w:eastAsia="zh-CN"/>
        </w:rPr>
        <w:t>烟尘、SO</w:t>
      </w:r>
      <w:r>
        <w:rPr>
          <w:rFonts w:hint="eastAsia"/>
          <w:color w:val="auto"/>
          <w:sz w:val="21"/>
          <w:szCs w:val="21"/>
          <w:highlight w:val="none"/>
          <w:vertAlign w:val="subscript"/>
          <w:lang w:val="en-US" w:eastAsia="zh-CN"/>
        </w:rPr>
        <w:t>2</w:t>
      </w:r>
      <w:r>
        <w:rPr>
          <w:rFonts w:hint="eastAsia"/>
          <w:color w:val="auto"/>
          <w:sz w:val="21"/>
          <w:szCs w:val="21"/>
          <w:highlight w:val="none"/>
          <w:lang w:val="en-US" w:eastAsia="zh-CN"/>
        </w:rPr>
        <w:t>、NO</w:t>
      </w:r>
      <w:r>
        <w:rPr>
          <w:rFonts w:hint="eastAsia"/>
          <w:color w:val="auto"/>
          <w:sz w:val="21"/>
          <w:szCs w:val="21"/>
          <w:highlight w:val="none"/>
          <w:vertAlign w:val="subscript"/>
          <w:lang w:val="en-US" w:eastAsia="zh-CN"/>
        </w:rPr>
        <w:t>X</w:t>
      </w:r>
      <w:r>
        <w:rPr>
          <w:rFonts w:hint="eastAsia"/>
          <w:color w:val="auto"/>
          <w:kern w:val="0"/>
          <w:sz w:val="21"/>
          <w:szCs w:val="21"/>
          <w:highlight w:val="none"/>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color w:val="auto"/>
          <w:kern w:val="0"/>
          <w:sz w:val="21"/>
          <w:szCs w:val="21"/>
          <w:highlight w:val="none"/>
          <w:lang w:eastAsia="zh-CN"/>
        </w:rPr>
      </w:pPr>
      <w:r>
        <w:rPr>
          <w:color w:val="auto"/>
          <w:kern w:val="0"/>
          <w:sz w:val="21"/>
          <w:szCs w:val="21"/>
          <w:highlight w:val="none"/>
        </w:rPr>
        <w:t>甲苯</w:t>
      </w:r>
      <w:r>
        <w:rPr>
          <w:rFonts w:hint="eastAsia"/>
          <w:color w:val="auto"/>
          <w:kern w:val="0"/>
          <w:sz w:val="21"/>
          <w:szCs w:val="21"/>
          <w:highlight w:val="none"/>
        </w:rPr>
        <w:t>、甲醇</w:t>
      </w:r>
      <w:r>
        <w:rPr>
          <w:rFonts w:hint="eastAsia"/>
          <w:color w:val="auto"/>
          <w:kern w:val="0"/>
          <w:sz w:val="21"/>
          <w:szCs w:val="21"/>
          <w:highlight w:val="none"/>
          <w:lang w:val="en-US" w:eastAsia="zh-CN"/>
        </w:rPr>
        <w:t>有组织及厂界无组织排放</w:t>
      </w:r>
      <w:r>
        <w:rPr>
          <w:color w:val="auto"/>
          <w:kern w:val="0"/>
          <w:sz w:val="21"/>
          <w:szCs w:val="21"/>
          <w:highlight w:val="none"/>
        </w:rPr>
        <w:t>执行《大气污染物综合排放标准》（DB32/4041-2021）表1</w:t>
      </w:r>
      <w:r>
        <w:rPr>
          <w:rFonts w:hint="eastAsia"/>
          <w:color w:val="auto"/>
          <w:kern w:val="0"/>
          <w:sz w:val="21"/>
          <w:szCs w:val="21"/>
          <w:highlight w:val="none"/>
          <w:lang w:val="en-US" w:eastAsia="zh-CN"/>
        </w:rPr>
        <w:t>和表3</w:t>
      </w:r>
      <w:r>
        <w:rPr>
          <w:color w:val="auto"/>
          <w:kern w:val="0"/>
          <w:sz w:val="21"/>
          <w:szCs w:val="21"/>
          <w:highlight w:val="none"/>
        </w:rPr>
        <w:t>中标准</w:t>
      </w:r>
      <w:r>
        <w:rPr>
          <w:rFonts w:hint="eastAsia"/>
          <w:color w:val="auto"/>
          <w:kern w:val="0"/>
          <w:sz w:val="21"/>
          <w:szCs w:val="21"/>
          <w:highlight w:val="none"/>
          <w:lang w:eastAsia="zh-CN"/>
        </w:rPr>
        <w:t>；</w:t>
      </w:r>
    </w:p>
    <w:p>
      <w:pPr>
        <w:pStyle w:val="12"/>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color w:val="auto"/>
          <w:kern w:val="0"/>
          <w:sz w:val="21"/>
          <w:szCs w:val="21"/>
          <w:highlight w:val="none"/>
          <w:lang w:eastAsia="zh-CN"/>
        </w:rPr>
      </w:pPr>
      <w:r>
        <w:rPr>
          <w:rFonts w:hint="eastAsia"/>
          <w:color w:val="auto"/>
          <w:kern w:val="0"/>
          <w:sz w:val="21"/>
          <w:szCs w:val="21"/>
          <w:highlight w:val="none"/>
          <w:lang w:val="en-US" w:eastAsia="zh-CN"/>
        </w:rPr>
        <w:t>非甲烷总烃有组织及厂界无组织排放</w:t>
      </w:r>
      <w:r>
        <w:rPr>
          <w:color w:val="auto"/>
          <w:kern w:val="0"/>
          <w:sz w:val="21"/>
          <w:szCs w:val="21"/>
          <w:highlight w:val="none"/>
        </w:rPr>
        <w:t>执行《</w:t>
      </w:r>
      <w:r>
        <w:rPr>
          <w:rFonts w:hint="eastAsia"/>
          <w:color w:val="auto"/>
          <w:kern w:val="0"/>
          <w:sz w:val="21"/>
          <w:szCs w:val="21"/>
          <w:highlight w:val="none"/>
        </w:rPr>
        <w:t>合成树脂工业污染物</w:t>
      </w:r>
      <w:r>
        <w:rPr>
          <w:color w:val="auto"/>
          <w:kern w:val="0"/>
          <w:sz w:val="21"/>
          <w:szCs w:val="21"/>
          <w:highlight w:val="none"/>
        </w:rPr>
        <w:t>排放标准》（GB 31572-2015）表5</w:t>
      </w:r>
      <w:r>
        <w:rPr>
          <w:rFonts w:hint="eastAsia"/>
          <w:color w:val="auto"/>
          <w:kern w:val="0"/>
          <w:sz w:val="21"/>
          <w:szCs w:val="21"/>
          <w:highlight w:val="none"/>
          <w:lang w:val="en-US" w:eastAsia="zh-CN"/>
        </w:rPr>
        <w:t>和表9</w:t>
      </w:r>
      <w:r>
        <w:rPr>
          <w:rFonts w:hint="eastAsia"/>
          <w:color w:val="auto"/>
          <w:kern w:val="0"/>
          <w:sz w:val="21"/>
          <w:szCs w:val="21"/>
          <w:highlight w:val="none"/>
        </w:rPr>
        <w:t>中非甲烷总烃</w:t>
      </w:r>
      <w:r>
        <w:rPr>
          <w:color w:val="auto"/>
          <w:kern w:val="0"/>
          <w:sz w:val="21"/>
          <w:szCs w:val="21"/>
          <w:highlight w:val="none"/>
        </w:rPr>
        <w:t>标准</w:t>
      </w:r>
      <w:r>
        <w:rPr>
          <w:rFonts w:hint="eastAsia"/>
          <w:color w:val="auto"/>
          <w:kern w:val="0"/>
          <w:sz w:val="21"/>
          <w:szCs w:val="21"/>
          <w:highlight w:val="none"/>
          <w:lang w:eastAsia="zh-CN"/>
        </w:rPr>
        <w:t>；</w:t>
      </w:r>
    </w:p>
    <w:p>
      <w:pPr>
        <w:pStyle w:val="12"/>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color w:val="auto"/>
          <w:kern w:val="0"/>
          <w:sz w:val="21"/>
          <w:szCs w:val="21"/>
          <w:highlight w:val="none"/>
          <w:lang w:eastAsia="zh-CN"/>
        </w:rPr>
      </w:pPr>
      <w:r>
        <w:rPr>
          <w:rFonts w:hint="eastAsia"/>
          <w:color w:val="auto"/>
          <w:kern w:val="0"/>
          <w:sz w:val="21"/>
          <w:szCs w:val="21"/>
          <w:highlight w:val="none"/>
        </w:rPr>
        <w:t>颗粒物</w:t>
      </w:r>
      <w:r>
        <w:rPr>
          <w:color w:val="auto"/>
          <w:kern w:val="0"/>
          <w:sz w:val="21"/>
          <w:szCs w:val="21"/>
          <w:highlight w:val="none"/>
        </w:rPr>
        <w:t>、SO</w:t>
      </w:r>
      <w:r>
        <w:rPr>
          <w:color w:val="auto"/>
          <w:kern w:val="0"/>
          <w:sz w:val="21"/>
          <w:szCs w:val="21"/>
          <w:highlight w:val="none"/>
          <w:vertAlign w:val="subscript"/>
        </w:rPr>
        <w:t>2</w:t>
      </w:r>
      <w:r>
        <w:rPr>
          <w:rFonts w:hint="eastAsia"/>
          <w:color w:val="auto"/>
          <w:kern w:val="0"/>
          <w:sz w:val="21"/>
          <w:szCs w:val="21"/>
          <w:highlight w:val="none"/>
          <w:vertAlign w:val="baseline"/>
          <w:lang w:val="en-US" w:eastAsia="zh-CN"/>
        </w:rPr>
        <w:t>以及</w:t>
      </w:r>
      <w:r>
        <w:rPr>
          <w:color w:val="auto"/>
          <w:kern w:val="0"/>
          <w:sz w:val="21"/>
          <w:szCs w:val="21"/>
          <w:highlight w:val="none"/>
        </w:rPr>
        <w:t>NOx</w:t>
      </w:r>
      <w:r>
        <w:rPr>
          <w:rFonts w:hint="eastAsia"/>
          <w:color w:val="auto"/>
          <w:kern w:val="0"/>
          <w:sz w:val="21"/>
          <w:szCs w:val="21"/>
          <w:highlight w:val="none"/>
        </w:rPr>
        <w:t>执行《锅炉大气污染物排放标准》（</w:t>
      </w:r>
      <w:r>
        <w:rPr>
          <w:rFonts w:hint="eastAsia"/>
          <w:color w:val="auto"/>
          <w:kern w:val="0"/>
          <w:sz w:val="21"/>
          <w:szCs w:val="21"/>
          <w:highlight w:val="none"/>
          <w:lang w:val="en-US" w:eastAsia="zh-CN"/>
        </w:rPr>
        <w:t>DB32/4385-2022</w:t>
      </w:r>
      <w:r>
        <w:rPr>
          <w:rFonts w:hint="eastAsia"/>
          <w:color w:val="auto"/>
          <w:kern w:val="0"/>
          <w:sz w:val="21"/>
          <w:szCs w:val="21"/>
          <w:highlight w:val="none"/>
        </w:rPr>
        <w:t>）表</w:t>
      </w:r>
      <w:r>
        <w:rPr>
          <w:rFonts w:hint="eastAsia"/>
          <w:color w:val="auto"/>
          <w:kern w:val="0"/>
          <w:sz w:val="21"/>
          <w:szCs w:val="21"/>
          <w:highlight w:val="none"/>
          <w:lang w:val="en-US" w:eastAsia="zh-CN"/>
        </w:rPr>
        <w:t>1中</w:t>
      </w:r>
      <w:r>
        <w:rPr>
          <w:rFonts w:hint="eastAsia"/>
          <w:color w:val="auto"/>
          <w:kern w:val="0"/>
          <w:sz w:val="21"/>
          <w:szCs w:val="21"/>
          <w:highlight w:val="none"/>
        </w:rPr>
        <w:t>排放限值</w:t>
      </w:r>
      <w:r>
        <w:rPr>
          <w:rFonts w:hint="eastAsia"/>
          <w:color w:val="auto"/>
          <w:kern w:val="0"/>
          <w:sz w:val="21"/>
          <w:szCs w:val="21"/>
          <w:highlight w:val="none"/>
          <w:lang w:eastAsia="zh-CN"/>
        </w:rPr>
        <w:t>；</w:t>
      </w:r>
    </w:p>
    <w:p>
      <w:pPr>
        <w:pStyle w:val="12"/>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200"/>
        <w:jc w:val="both"/>
        <w:textAlignment w:val="auto"/>
        <w:rPr>
          <w:color w:val="auto"/>
          <w:kern w:val="0"/>
          <w:sz w:val="21"/>
          <w:szCs w:val="21"/>
          <w:highlight w:val="none"/>
        </w:rPr>
      </w:pPr>
      <w:r>
        <w:rPr>
          <w:color w:val="auto"/>
          <w:kern w:val="0"/>
          <w:sz w:val="21"/>
          <w:szCs w:val="21"/>
          <w:highlight w:val="none"/>
        </w:rPr>
        <w:t>厂区内无组织排放NMHC执行《大气污染物综合排放标准》（DB32/4041-2021）表2中标准中排放限值</w:t>
      </w:r>
      <w:bookmarkStart w:id="36" w:name="_Hlk91834899"/>
      <w:r>
        <w:rPr>
          <w:color w:val="auto"/>
          <w:kern w:val="0"/>
          <w:sz w:val="21"/>
          <w:szCs w:val="21"/>
          <w:highlight w:val="none"/>
        </w:rPr>
        <w:t>。</w:t>
      </w:r>
      <w:bookmarkEnd w:id="36"/>
    </w:p>
    <w:p>
      <w:pPr>
        <w:pStyle w:val="12"/>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rPr>
        <w:t>具体指标值详见表6-</w:t>
      </w:r>
      <w:r>
        <w:rPr>
          <w:rFonts w:hint="eastAsia"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w:t>
      </w:r>
    </w:p>
    <w:p>
      <w:pPr>
        <w:pStyle w:val="37"/>
        <w:keepNext w:val="0"/>
        <w:keepLines w:val="0"/>
        <w:pageBreakBefore w:val="0"/>
        <w:kinsoku/>
        <w:wordWrap/>
        <w:overflowPunct/>
        <w:topLinePunct w:val="0"/>
        <w:bidi w:val="0"/>
        <w:adjustRightInd w:val="0"/>
        <w:snapToGrid w:val="0"/>
        <w:spacing w:line="240" w:lineRule="auto"/>
        <w:ind w:firstLine="56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表6-</w:t>
      </w:r>
      <w:r>
        <w:rPr>
          <w:rFonts w:hint="eastAsia" w:eastAsia="宋体" w:cs="Times New Roman"/>
          <w:color w:val="auto"/>
          <w:sz w:val="21"/>
          <w:szCs w:val="21"/>
          <w:lang w:val="en-US" w:eastAsia="zh-CN"/>
        </w:rPr>
        <w:t>2</w:t>
      </w:r>
      <w:r>
        <w:rPr>
          <w:rFonts w:hint="default" w:ascii="Times New Roman" w:hAnsi="Times New Roman" w:eastAsia="宋体" w:cs="Times New Roman"/>
          <w:color w:val="auto"/>
          <w:sz w:val="21"/>
          <w:szCs w:val="21"/>
        </w:rPr>
        <w:t xml:space="preserve"> 大气污染物排放限值表</w:t>
      </w:r>
    </w:p>
    <w:tbl>
      <w:tblPr>
        <w:tblStyle w:val="24"/>
        <w:tblW w:w="4992" w:type="pct"/>
        <w:jc w:val="center"/>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autofit"/>
        <w:tblCellMar>
          <w:top w:w="0" w:type="dxa"/>
          <w:left w:w="28" w:type="dxa"/>
          <w:bottom w:w="0" w:type="dxa"/>
          <w:right w:w="28" w:type="dxa"/>
        </w:tblCellMar>
      </w:tblPr>
      <w:tblGrid>
        <w:gridCol w:w="751"/>
        <w:gridCol w:w="1335"/>
        <w:gridCol w:w="912"/>
        <w:gridCol w:w="765"/>
        <w:gridCol w:w="713"/>
        <w:gridCol w:w="843"/>
        <w:gridCol w:w="1045"/>
        <w:gridCol w:w="2703"/>
      </w:tblGrid>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rPr>
            </w:pPr>
            <w:bookmarkStart w:id="37" w:name="_Hlk92289536"/>
            <w:r>
              <w:rPr>
                <w:rFonts w:ascii="Times New Roman" w:hAnsi="Times New Roman"/>
                <w:b/>
                <w:color w:val="000000"/>
                <w:sz w:val="21"/>
                <w:szCs w:val="21"/>
              </w:rPr>
              <w:t>排气筒</w:t>
            </w:r>
          </w:p>
        </w:tc>
        <w:tc>
          <w:tcPr>
            <w:tcW w:w="736"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rPr>
            </w:pPr>
            <w:r>
              <w:rPr>
                <w:rFonts w:ascii="Times New Roman" w:hAnsi="Times New Roman"/>
                <w:b/>
                <w:color w:val="000000"/>
                <w:sz w:val="21"/>
                <w:szCs w:val="21"/>
              </w:rPr>
              <w:t>污染物</w:t>
            </w:r>
          </w:p>
        </w:tc>
        <w:tc>
          <w:tcPr>
            <w:tcW w:w="503"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rPr>
            </w:pPr>
            <w:r>
              <w:rPr>
                <w:rFonts w:ascii="Times New Roman" w:hAnsi="Times New Roman"/>
                <w:b/>
                <w:color w:val="000000"/>
                <w:sz w:val="21"/>
                <w:szCs w:val="21"/>
              </w:rPr>
              <w:t>最高允许排放浓度mg/m</w:t>
            </w:r>
            <w:r>
              <w:rPr>
                <w:rFonts w:ascii="Times New Roman" w:hAnsi="Times New Roman"/>
                <w:b/>
                <w:color w:val="000000"/>
                <w:sz w:val="21"/>
                <w:szCs w:val="21"/>
                <w:vertAlign w:val="superscript"/>
              </w:rPr>
              <w:t>3</w:t>
            </w:r>
          </w:p>
        </w:tc>
        <w:tc>
          <w:tcPr>
            <w:tcW w:w="815" w:type="pct"/>
            <w:gridSpan w:val="2"/>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vertAlign w:val="superscript"/>
              </w:rPr>
            </w:pPr>
            <w:r>
              <w:rPr>
                <w:rFonts w:ascii="Times New Roman" w:hAnsi="Times New Roman"/>
                <w:b/>
                <w:color w:val="000000"/>
                <w:sz w:val="21"/>
                <w:szCs w:val="21"/>
              </w:rPr>
              <w:t>最高允许排放速率kg/h</w:t>
            </w:r>
          </w:p>
        </w:tc>
        <w:tc>
          <w:tcPr>
            <w:tcW w:w="1040" w:type="pct"/>
            <w:gridSpan w:val="2"/>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vertAlign w:val="superscript"/>
              </w:rPr>
            </w:pPr>
            <w:r>
              <w:rPr>
                <w:rFonts w:ascii="Times New Roman" w:hAnsi="Times New Roman"/>
                <w:b/>
                <w:color w:val="000000"/>
                <w:sz w:val="21"/>
                <w:szCs w:val="21"/>
              </w:rPr>
              <w:t>无组织排放监控浓度限值</w:t>
            </w:r>
          </w:p>
        </w:tc>
        <w:tc>
          <w:tcPr>
            <w:tcW w:w="1490"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rPr>
            </w:pPr>
            <w:r>
              <w:rPr>
                <w:rFonts w:ascii="Times New Roman" w:hAnsi="Times New Roman"/>
                <w:b/>
                <w:color w:val="000000"/>
                <w:sz w:val="21"/>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4"/>
              </w:rPr>
            </w:pPr>
          </w:p>
        </w:tc>
        <w:tc>
          <w:tcPr>
            <w:tcW w:w="736"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4"/>
              </w:rPr>
            </w:pPr>
          </w:p>
        </w:tc>
        <w:tc>
          <w:tcPr>
            <w:tcW w:w="503"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4"/>
              </w:rPr>
            </w:pPr>
          </w:p>
        </w:tc>
        <w:tc>
          <w:tcPr>
            <w:tcW w:w="422"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rPr>
            </w:pPr>
            <w:r>
              <w:rPr>
                <w:rFonts w:ascii="Times New Roman" w:hAnsi="Times New Roman"/>
                <w:b/>
                <w:color w:val="000000"/>
                <w:sz w:val="21"/>
                <w:szCs w:val="21"/>
              </w:rPr>
              <w:t>排气筒高度m</w:t>
            </w:r>
          </w:p>
        </w:tc>
        <w:tc>
          <w:tcPr>
            <w:tcW w:w="39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rPr>
            </w:pPr>
            <w:r>
              <w:rPr>
                <w:rFonts w:ascii="Times New Roman" w:hAnsi="Times New Roman"/>
                <w:b/>
                <w:color w:val="000000"/>
                <w:sz w:val="21"/>
                <w:szCs w:val="21"/>
              </w:rPr>
              <w:t>速率kg/h</w:t>
            </w:r>
          </w:p>
        </w:tc>
        <w:tc>
          <w:tcPr>
            <w:tcW w:w="46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rPr>
            </w:pPr>
            <w:r>
              <w:rPr>
                <w:rFonts w:ascii="Times New Roman" w:hAnsi="Times New Roman"/>
                <w:b/>
                <w:color w:val="000000"/>
                <w:sz w:val="21"/>
                <w:szCs w:val="21"/>
              </w:rPr>
              <w:t>监控点</w:t>
            </w:r>
          </w:p>
        </w:tc>
        <w:tc>
          <w:tcPr>
            <w:tcW w:w="57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b/>
                <w:color w:val="000000"/>
                <w:sz w:val="21"/>
                <w:szCs w:val="21"/>
              </w:rPr>
            </w:pPr>
            <w:r>
              <w:rPr>
                <w:rFonts w:ascii="Times New Roman" w:hAnsi="Times New Roman"/>
                <w:b/>
                <w:color w:val="000000"/>
                <w:sz w:val="21"/>
                <w:szCs w:val="21"/>
              </w:rPr>
              <w:t>浓度mg/m</w:t>
            </w:r>
            <w:r>
              <w:rPr>
                <w:rFonts w:ascii="Times New Roman" w:hAnsi="Times New Roman"/>
                <w:b/>
                <w:color w:val="000000"/>
                <w:sz w:val="21"/>
                <w:szCs w:val="21"/>
                <w:vertAlign w:val="superscript"/>
              </w:rPr>
              <w:t>3</w:t>
            </w:r>
          </w:p>
        </w:tc>
        <w:tc>
          <w:tcPr>
            <w:tcW w:w="1490"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DA001</w:t>
            </w:r>
          </w:p>
        </w:tc>
        <w:tc>
          <w:tcPr>
            <w:tcW w:w="736"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甲苯</w:t>
            </w:r>
          </w:p>
        </w:tc>
        <w:tc>
          <w:tcPr>
            <w:tcW w:w="50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10</w:t>
            </w:r>
          </w:p>
        </w:tc>
        <w:tc>
          <w:tcPr>
            <w:tcW w:w="422"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25</w:t>
            </w:r>
          </w:p>
        </w:tc>
        <w:tc>
          <w:tcPr>
            <w:tcW w:w="39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0.2</w:t>
            </w:r>
          </w:p>
        </w:tc>
        <w:tc>
          <w:tcPr>
            <w:tcW w:w="465"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厂界</w:t>
            </w:r>
          </w:p>
        </w:tc>
        <w:tc>
          <w:tcPr>
            <w:tcW w:w="57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0.2</w:t>
            </w:r>
          </w:p>
        </w:tc>
        <w:tc>
          <w:tcPr>
            <w:tcW w:w="1490"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《大气污染物综合排放标准》（DB32/4041-2021）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color w:val="000000"/>
                <w:sz w:val="21"/>
                <w:szCs w:val="21"/>
              </w:rPr>
            </w:pPr>
          </w:p>
        </w:tc>
        <w:tc>
          <w:tcPr>
            <w:tcW w:w="736"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甲醇</w:t>
            </w:r>
          </w:p>
        </w:tc>
        <w:tc>
          <w:tcPr>
            <w:tcW w:w="50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50</w:t>
            </w:r>
          </w:p>
        </w:tc>
        <w:tc>
          <w:tcPr>
            <w:tcW w:w="422"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c>
          <w:tcPr>
            <w:tcW w:w="39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1.8</w:t>
            </w:r>
          </w:p>
        </w:tc>
        <w:tc>
          <w:tcPr>
            <w:tcW w:w="465"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c>
          <w:tcPr>
            <w:tcW w:w="57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1</w:t>
            </w:r>
          </w:p>
        </w:tc>
        <w:tc>
          <w:tcPr>
            <w:tcW w:w="1490"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c>
          <w:tcPr>
            <w:tcW w:w="736"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非甲烷总烃</w:t>
            </w:r>
          </w:p>
        </w:tc>
        <w:tc>
          <w:tcPr>
            <w:tcW w:w="50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60</w:t>
            </w:r>
          </w:p>
        </w:tc>
        <w:tc>
          <w:tcPr>
            <w:tcW w:w="422"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140" w:leftChars="-50" w:right="-140" w:rightChars="-50" w:firstLine="0" w:firstLineChars="0"/>
              <w:jc w:val="center"/>
              <w:textAlignment w:val="auto"/>
              <w:rPr>
                <w:rFonts w:ascii="Times New Roman" w:hAnsi="Times New Roman"/>
                <w:color w:val="000000"/>
                <w:sz w:val="21"/>
                <w:szCs w:val="21"/>
              </w:rPr>
            </w:pPr>
          </w:p>
        </w:tc>
        <w:tc>
          <w:tcPr>
            <w:tcW w:w="39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w:t>
            </w:r>
          </w:p>
        </w:tc>
        <w:tc>
          <w:tcPr>
            <w:tcW w:w="465"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140" w:leftChars="-50" w:right="-140" w:rightChars="-50" w:firstLine="0" w:firstLineChars="0"/>
              <w:jc w:val="center"/>
              <w:textAlignment w:val="auto"/>
              <w:rPr>
                <w:rFonts w:ascii="Times New Roman" w:hAnsi="Times New Roman"/>
                <w:color w:val="000000"/>
                <w:sz w:val="21"/>
                <w:szCs w:val="21"/>
              </w:rPr>
            </w:pPr>
          </w:p>
        </w:tc>
        <w:tc>
          <w:tcPr>
            <w:tcW w:w="57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4</w:t>
            </w:r>
          </w:p>
        </w:tc>
        <w:tc>
          <w:tcPr>
            <w:tcW w:w="1490"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hint="eastAsia" w:ascii="Times New Roman" w:hAnsi="Times New Roman"/>
                <w:color w:val="000000"/>
                <w:sz w:val="21"/>
                <w:szCs w:val="21"/>
              </w:rPr>
              <w:t>《合成树脂工业污染物排放标准》（GB 31572-2015）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color w:val="000000"/>
                <w:sz w:val="21"/>
                <w:szCs w:val="21"/>
              </w:rPr>
            </w:pPr>
          </w:p>
        </w:tc>
        <w:tc>
          <w:tcPr>
            <w:tcW w:w="3095" w:type="pct"/>
            <w:gridSpan w:val="6"/>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420"/>
              <w:jc w:val="center"/>
              <w:textAlignment w:val="auto"/>
              <w:rPr>
                <w:color w:val="000000"/>
                <w:sz w:val="21"/>
                <w:szCs w:val="21"/>
              </w:rPr>
            </w:pPr>
            <w:r>
              <w:rPr>
                <w:rFonts w:ascii="Times New Roman" w:hAnsi="Times New Roman"/>
                <w:color w:val="000000"/>
                <w:sz w:val="21"/>
                <w:szCs w:val="21"/>
              </w:rPr>
              <w:t>基准氧含量3%</w:t>
            </w:r>
          </w:p>
        </w:tc>
        <w:tc>
          <w:tcPr>
            <w:tcW w:w="1490"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eastAsia"/>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eastAsia" w:ascii="Times New Roman" w:hAnsi="Times New Roman" w:eastAsia="宋体"/>
                <w:color w:val="000000"/>
                <w:sz w:val="21"/>
                <w:szCs w:val="21"/>
                <w:lang w:val="en-US" w:eastAsia="zh-CN"/>
              </w:rPr>
            </w:pPr>
            <w:r>
              <w:rPr>
                <w:rFonts w:ascii="Times New Roman" w:hAnsi="Times New Roman"/>
                <w:color w:val="000000"/>
                <w:sz w:val="21"/>
                <w:szCs w:val="21"/>
              </w:rPr>
              <w:t>DA00</w:t>
            </w:r>
            <w:r>
              <w:rPr>
                <w:rFonts w:hint="eastAsia" w:ascii="Times New Roman" w:hAnsi="Times New Roman"/>
                <w:color w:val="000000"/>
                <w:sz w:val="21"/>
                <w:szCs w:val="21"/>
                <w:lang w:val="en-US" w:eastAsia="zh-CN"/>
              </w:rPr>
              <w:t>2</w:t>
            </w:r>
          </w:p>
        </w:tc>
        <w:tc>
          <w:tcPr>
            <w:tcW w:w="736"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hint="eastAsia" w:ascii="Times New Roman" w:hAnsi="Times New Roman"/>
                <w:color w:val="000000"/>
                <w:kern w:val="0"/>
                <w:sz w:val="21"/>
                <w:szCs w:val="21"/>
              </w:rPr>
              <w:t>颗粒物</w:t>
            </w:r>
          </w:p>
        </w:tc>
        <w:tc>
          <w:tcPr>
            <w:tcW w:w="50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hAnsi="Times New Roman" w:eastAsia="宋体"/>
                <w:color w:val="000000"/>
                <w:sz w:val="21"/>
                <w:szCs w:val="21"/>
                <w:lang w:val="en-US" w:eastAsia="zh-CN"/>
              </w:rPr>
            </w:pPr>
            <w:r>
              <w:rPr>
                <w:rFonts w:hint="eastAsia"/>
                <w:color w:val="000000"/>
                <w:sz w:val="21"/>
                <w:szCs w:val="21"/>
                <w:lang w:val="en-US" w:eastAsia="zh-CN"/>
              </w:rPr>
              <w:t>10</w:t>
            </w:r>
          </w:p>
        </w:tc>
        <w:tc>
          <w:tcPr>
            <w:tcW w:w="422"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140" w:leftChars="-50" w:right="-140" w:rightChars="-50"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w:t>
            </w:r>
          </w:p>
        </w:tc>
        <w:tc>
          <w:tcPr>
            <w:tcW w:w="39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w:t>
            </w:r>
          </w:p>
        </w:tc>
        <w:tc>
          <w:tcPr>
            <w:tcW w:w="46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140" w:leftChars="-50" w:right="-140" w:rightChars="-50"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w:t>
            </w:r>
          </w:p>
        </w:tc>
        <w:tc>
          <w:tcPr>
            <w:tcW w:w="57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w:t>
            </w:r>
          </w:p>
        </w:tc>
        <w:tc>
          <w:tcPr>
            <w:tcW w:w="1490" w:type="pct"/>
            <w:vMerge w:val="restar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hint="eastAsia" w:ascii="Times New Roman" w:hAnsi="Times New Roman"/>
                <w:color w:val="000000"/>
                <w:sz w:val="21"/>
                <w:szCs w:val="21"/>
              </w:rPr>
              <w:t>《锅炉大气污染物排放标准》（</w:t>
            </w:r>
            <w:r>
              <w:rPr>
                <w:rFonts w:hint="eastAsia" w:ascii="Times New Roman" w:hAnsi="Times New Roman"/>
                <w:color w:val="000000"/>
                <w:sz w:val="21"/>
                <w:szCs w:val="21"/>
                <w:lang w:val="en-US" w:eastAsia="zh-CN"/>
              </w:rPr>
              <w:t>DB32/4385-2022</w:t>
            </w:r>
            <w:r>
              <w:rPr>
                <w:rFonts w:hint="eastAsia" w:ascii="Times New Roman" w:hAnsi="Times New Roman"/>
                <w:color w:val="000000"/>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c>
          <w:tcPr>
            <w:tcW w:w="736"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kern w:val="0"/>
                <w:sz w:val="21"/>
                <w:szCs w:val="21"/>
              </w:rPr>
              <w:t>SO</w:t>
            </w:r>
            <w:r>
              <w:rPr>
                <w:rFonts w:ascii="Times New Roman" w:hAnsi="Times New Roman"/>
                <w:color w:val="000000"/>
                <w:kern w:val="0"/>
                <w:sz w:val="21"/>
                <w:szCs w:val="21"/>
                <w:vertAlign w:val="subscript"/>
              </w:rPr>
              <w:t>2</w:t>
            </w:r>
          </w:p>
        </w:tc>
        <w:tc>
          <w:tcPr>
            <w:tcW w:w="50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hAnsi="Times New Roman" w:eastAsia="宋体"/>
                <w:color w:val="000000"/>
                <w:sz w:val="21"/>
                <w:szCs w:val="21"/>
                <w:lang w:val="en-US" w:eastAsia="zh-CN"/>
              </w:rPr>
            </w:pPr>
            <w:r>
              <w:rPr>
                <w:rFonts w:hint="eastAsia"/>
                <w:color w:val="000000"/>
                <w:sz w:val="21"/>
                <w:szCs w:val="21"/>
                <w:lang w:val="en-US" w:eastAsia="zh-CN"/>
              </w:rPr>
              <w:t>35</w:t>
            </w:r>
          </w:p>
        </w:tc>
        <w:tc>
          <w:tcPr>
            <w:tcW w:w="422"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140" w:leftChars="-50" w:right="-140" w:rightChars="-50"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w:t>
            </w:r>
          </w:p>
        </w:tc>
        <w:tc>
          <w:tcPr>
            <w:tcW w:w="39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w:t>
            </w:r>
          </w:p>
        </w:tc>
        <w:tc>
          <w:tcPr>
            <w:tcW w:w="46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140" w:leftChars="-50" w:right="-140" w:rightChars="-50"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w:t>
            </w:r>
          </w:p>
        </w:tc>
        <w:tc>
          <w:tcPr>
            <w:tcW w:w="57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w:t>
            </w:r>
          </w:p>
        </w:tc>
        <w:tc>
          <w:tcPr>
            <w:tcW w:w="1490"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c>
          <w:tcPr>
            <w:tcW w:w="736"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eastAsia="宋体" w:cs="Times New Roman"/>
                <w:snapToGrid w:val="0"/>
                <w:color w:val="000000"/>
                <w:sz w:val="21"/>
                <w:szCs w:val="21"/>
                <w:lang w:val="en-US" w:eastAsia="zh-CN" w:bidi="ar-SA"/>
              </w:rPr>
            </w:pPr>
            <w:r>
              <w:rPr>
                <w:rFonts w:ascii="Times New Roman" w:hAnsi="Times New Roman"/>
                <w:color w:val="000000"/>
                <w:kern w:val="0"/>
                <w:sz w:val="21"/>
                <w:szCs w:val="21"/>
              </w:rPr>
              <w:t>NO</w:t>
            </w:r>
            <w:r>
              <w:rPr>
                <w:rFonts w:ascii="Times New Roman" w:hAnsi="Times New Roman"/>
                <w:color w:val="000000"/>
                <w:kern w:val="0"/>
                <w:sz w:val="21"/>
                <w:szCs w:val="21"/>
                <w:vertAlign w:val="subscript"/>
              </w:rPr>
              <w:t>X</w:t>
            </w:r>
          </w:p>
        </w:tc>
        <w:tc>
          <w:tcPr>
            <w:tcW w:w="50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eastAsia" w:ascii="Times New Roman" w:hAnsi="Times New Roman" w:eastAsia="宋体" w:cs="Times New Roman"/>
                <w:snapToGrid w:val="0"/>
                <w:color w:val="000000"/>
                <w:sz w:val="21"/>
                <w:szCs w:val="21"/>
                <w:lang w:val="en-US" w:eastAsia="zh-CN" w:bidi="ar-SA"/>
              </w:rPr>
            </w:pPr>
            <w:r>
              <w:rPr>
                <w:rFonts w:ascii="Times New Roman" w:hAnsi="Times New Roman"/>
                <w:color w:val="000000"/>
                <w:sz w:val="21"/>
                <w:szCs w:val="21"/>
              </w:rPr>
              <w:t>50</w:t>
            </w:r>
          </w:p>
        </w:tc>
        <w:tc>
          <w:tcPr>
            <w:tcW w:w="422"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140" w:leftChars="-50" w:right="-140" w:rightChars="-50" w:firstLine="0" w:firstLineChars="0"/>
              <w:jc w:val="center"/>
              <w:textAlignment w:val="auto"/>
              <w:rPr>
                <w:rFonts w:ascii="Times New Roman" w:hAnsi="Times New Roman" w:eastAsia="宋体" w:cs="Times New Roman"/>
                <w:snapToGrid w:val="0"/>
                <w:color w:val="000000"/>
                <w:sz w:val="21"/>
                <w:szCs w:val="21"/>
                <w:lang w:val="en-US" w:eastAsia="zh-CN" w:bidi="ar-SA"/>
              </w:rPr>
            </w:pPr>
            <w:r>
              <w:rPr>
                <w:rFonts w:ascii="Times New Roman" w:hAnsi="Times New Roman"/>
                <w:color w:val="000000"/>
                <w:sz w:val="21"/>
                <w:szCs w:val="21"/>
              </w:rPr>
              <w:t>/</w:t>
            </w:r>
          </w:p>
        </w:tc>
        <w:tc>
          <w:tcPr>
            <w:tcW w:w="393"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eastAsia="宋体" w:cs="Times New Roman"/>
                <w:snapToGrid w:val="0"/>
                <w:color w:val="000000"/>
                <w:sz w:val="21"/>
                <w:szCs w:val="21"/>
                <w:lang w:val="en-US" w:eastAsia="zh-CN" w:bidi="ar-SA"/>
              </w:rPr>
            </w:pPr>
            <w:r>
              <w:rPr>
                <w:rFonts w:ascii="Times New Roman" w:hAnsi="Times New Roman"/>
                <w:color w:val="000000"/>
                <w:sz w:val="21"/>
                <w:szCs w:val="21"/>
              </w:rPr>
              <w:t>/</w:t>
            </w:r>
          </w:p>
        </w:tc>
        <w:tc>
          <w:tcPr>
            <w:tcW w:w="46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140" w:leftChars="-50" w:right="-140" w:rightChars="-50" w:firstLine="0" w:firstLineChars="0"/>
              <w:jc w:val="center"/>
              <w:textAlignment w:val="auto"/>
              <w:rPr>
                <w:rFonts w:ascii="Times New Roman" w:hAnsi="Times New Roman" w:eastAsia="宋体" w:cs="Times New Roman"/>
                <w:snapToGrid w:val="0"/>
                <w:color w:val="000000"/>
                <w:sz w:val="21"/>
                <w:szCs w:val="21"/>
                <w:lang w:val="en-US" w:eastAsia="zh-CN" w:bidi="ar-SA"/>
              </w:rPr>
            </w:pPr>
            <w:r>
              <w:rPr>
                <w:rFonts w:ascii="Times New Roman" w:hAnsi="Times New Roman"/>
                <w:color w:val="000000"/>
                <w:sz w:val="21"/>
                <w:szCs w:val="21"/>
              </w:rPr>
              <w:t>/</w:t>
            </w:r>
          </w:p>
        </w:tc>
        <w:tc>
          <w:tcPr>
            <w:tcW w:w="575"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eastAsia="宋体" w:cs="Times New Roman"/>
                <w:snapToGrid w:val="0"/>
                <w:color w:val="000000"/>
                <w:sz w:val="21"/>
                <w:szCs w:val="21"/>
                <w:lang w:val="en-US" w:eastAsia="zh-CN" w:bidi="ar-SA"/>
              </w:rPr>
            </w:pPr>
            <w:r>
              <w:rPr>
                <w:rFonts w:ascii="Times New Roman" w:hAnsi="Times New Roman"/>
                <w:color w:val="000000"/>
                <w:sz w:val="21"/>
                <w:szCs w:val="21"/>
              </w:rPr>
              <w:t>/</w:t>
            </w:r>
          </w:p>
        </w:tc>
        <w:tc>
          <w:tcPr>
            <w:tcW w:w="1490"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color w:val="000000"/>
                <w:sz w:val="21"/>
                <w:szCs w:val="21"/>
              </w:rPr>
            </w:pPr>
          </w:p>
        </w:tc>
        <w:tc>
          <w:tcPr>
            <w:tcW w:w="736"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color w:val="000000"/>
                <w:kern w:val="0"/>
                <w:sz w:val="21"/>
                <w:szCs w:val="21"/>
              </w:rPr>
            </w:pPr>
            <w:r>
              <w:rPr>
                <w:rFonts w:hint="eastAsia"/>
                <w:color w:val="000000"/>
                <w:kern w:val="0"/>
                <w:sz w:val="21"/>
                <w:szCs w:val="21"/>
              </w:rPr>
              <w:t>烟气黑度（林格曼黑度，级）</w:t>
            </w:r>
          </w:p>
        </w:tc>
        <w:tc>
          <w:tcPr>
            <w:tcW w:w="2359" w:type="pct"/>
            <w:gridSpan w:val="5"/>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≤1</w:t>
            </w:r>
          </w:p>
        </w:tc>
        <w:tc>
          <w:tcPr>
            <w:tcW w:w="1490"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28" w:type="dxa"/>
            <w:bottom w:w="0" w:type="dxa"/>
            <w:right w:w="28" w:type="dxa"/>
          </w:tblCellMar>
        </w:tblPrEx>
        <w:trPr>
          <w:trHeight w:val="340" w:hRule="atLeast"/>
          <w:jc w:val="center"/>
        </w:trPr>
        <w:tc>
          <w:tcPr>
            <w:tcW w:w="414"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c>
          <w:tcPr>
            <w:tcW w:w="3095" w:type="pct"/>
            <w:gridSpan w:val="6"/>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基准氧含量3.5%</w:t>
            </w:r>
          </w:p>
        </w:tc>
        <w:tc>
          <w:tcPr>
            <w:tcW w:w="1490" w:type="pct"/>
            <w:vMerge w:val="continue"/>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hAnsi="Times New Roman"/>
                <w:color w:val="000000"/>
                <w:sz w:val="21"/>
                <w:szCs w:val="21"/>
              </w:rPr>
            </w:pPr>
          </w:p>
        </w:tc>
      </w:tr>
      <w:bookmarkEnd w:id="37"/>
    </w:tbl>
    <w:p>
      <w:pPr>
        <w:adjustRightInd/>
        <w:snapToGrid/>
        <w:spacing w:line="240" w:lineRule="auto"/>
        <w:ind w:firstLine="0" w:firstLineChars="0"/>
        <w:jc w:val="both"/>
        <w:rPr>
          <w:rFonts w:hint="eastAsia" w:eastAsia="宋体"/>
          <w:b w:val="0"/>
          <w:bCs/>
          <w:color w:val="000000"/>
          <w:sz w:val="21"/>
          <w:szCs w:val="21"/>
          <w:lang w:val="en-US" w:eastAsia="zh-CN"/>
        </w:rPr>
      </w:pPr>
      <w:r>
        <w:rPr>
          <w:rFonts w:hint="eastAsia"/>
          <w:b w:val="0"/>
          <w:bCs/>
          <w:color w:val="000000"/>
          <w:sz w:val="21"/>
          <w:szCs w:val="21"/>
          <w:lang w:val="en-US" w:eastAsia="zh-CN"/>
        </w:rPr>
        <w:t>注：由于</w:t>
      </w:r>
      <w:r>
        <w:rPr>
          <w:rFonts w:hint="eastAsia"/>
          <w:b w:val="0"/>
          <w:bCs/>
          <w:color w:val="auto"/>
          <w:kern w:val="0"/>
          <w:sz w:val="21"/>
          <w:szCs w:val="21"/>
          <w:highlight w:val="none"/>
        </w:rPr>
        <w:t>《锅炉大气污染物排放标准》（</w:t>
      </w:r>
      <w:r>
        <w:rPr>
          <w:rFonts w:hint="eastAsia"/>
          <w:b w:val="0"/>
          <w:bCs/>
          <w:color w:val="auto"/>
          <w:kern w:val="0"/>
          <w:sz w:val="21"/>
          <w:szCs w:val="21"/>
          <w:highlight w:val="none"/>
          <w:lang w:val="en-US" w:eastAsia="zh-CN"/>
        </w:rPr>
        <w:t>DB32/4385-2022</w:t>
      </w:r>
      <w:r>
        <w:rPr>
          <w:rFonts w:hint="eastAsia"/>
          <w:b w:val="0"/>
          <w:bCs/>
          <w:color w:val="auto"/>
          <w:kern w:val="0"/>
          <w:sz w:val="21"/>
          <w:szCs w:val="21"/>
          <w:highlight w:val="none"/>
        </w:rPr>
        <w:t>）</w:t>
      </w:r>
      <w:r>
        <w:rPr>
          <w:rFonts w:hint="eastAsia"/>
          <w:b w:val="0"/>
          <w:bCs/>
          <w:color w:val="auto"/>
          <w:kern w:val="0"/>
          <w:sz w:val="21"/>
          <w:szCs w:val="21"/>
          <w:highlight w:val="none"/>
          <w:lang w:val="en-US" w:eastAsia="zh-CN"/>
        </w:rPr>
        <w:t>已正式实施，该地标严于</w:t>
      </w:r>
      <w:r>
        <w:rPr>
          <w:rFonts w:hint="eastAsia" w:ascii="Times New Roman" w:hAnsi="Times New Roman"/>
          <w:b w:val="0"/>
          <w:bCs/>
          <w:color w:val="000000"/>
          <w:sz w:val="21"/>
          <w:szCs w:val="21"/>
        </w:rPr>
        <w:t>《锅炉大气污染物排放标准》（GB 13271—2014）</w:t>
      </w:r>
      <w:r>
        <w:rPr>
          <w:rFonts w:hint="eastAsia"/>
          <w:b w:val="0"/>
          <w:bCs/>
          <w:color w:val="000000"/>
          <w:sz w:val="21"/>
          <w:szCs w:val="21"/>
          <w:lang w:eastAsia="zh-CN"/>
        </w:rPr>
        <w:t>，</w:t>
      </w:r>
      <w:r>
        <w:rPr>
          <w:rFonts w:hint="eastAsia"/>
          <w:b w:val="0"/>
          <w:bCs/>
          <w:color w:val="000000"/>
          <w:sz w:val="21"/>
          <w:szCs w:val="21"/>
          <w:lang w:val="en-US" w:eastAsia="zh-CN"/>
        </w:rPr>
        <w:t>因此本项目天然气燃烧产生的</w:t>
      </w:r>
      <w:r>
        <w:rPr>
          <w:rFonts w:hint="eastAsia"/>
          <w:b w:val="0"/>
          <w:bCs/>
          <w:color w:val="auto"/>
          <w:kern w:val="0"/>
          <w:sz w:val="21"/>
          <w:szCs w:val="21"/>
          <w:highlight w:val="none"/>
        </w:rPr>
        <w:t>颗粒物</w:t>
      </w:r>
      <w:r>
        <w:rPr>
          <w:b w:val="0"/>
          <w:bCs/>
          <w:color w:val="auto"/>
          <w:kern w:val="0"/>
          <w:sz w:val="21"/>
          <w:szCs w:val="21"/>
          <w:highlight w:val="none"/>
        </w:rPr>
        <w:t>、SO</w:t>
      </w:r>
      <w:r>
        <w:rPr>
          <w:b w:val="0"/>
          <w:bCs/>
          <w:color w:val="auto"/>
          <w:kern w:val="0"/>
          <w:sz w:val="21"/>
          <w:szCs w:val="21"/>
          <w:highlight w:val="none"/>
          <w:vertAlign w:val="subscript"/>
        </w:rPr>
        <w:t>2</w:t>
      </w:r>
      <w:r>
        <w:rPr>
          <w:rFonts w:hint="eastAsia"/>
          <w:b w:val="0"/>
          <w:bCs/>
          <w:color w:val="auto"/>
          <w:kern w:val="0"/>
          <w:sz w:val="21"/>
          <w:szCs w:val="21"/>
          <w:highlight w:val="none"/>
          <w:vertAlign w:val="baseline"/>
          <w:lang w:val="en-US" w:eastAsia="zh-CN"/>
        </w:rPr>
        <w:t>以及</w:t>
      </w:r>
      <w:r>
        <w:rPr>
          <w:b w:val="0"/>
          <w:bCs/>
          <w:color w:val="auto"/>
          <w:kern w:val="0"/>
          <w:sz w:val="21"/>
          <w:szCs w:val="21"/>
          <w:highlight w:val="none"/>
        </w:rPr>
        <w:t>NOx</w:t>
      </w:r>
      <w:r>
        <w:rPr>
          <w:rFonts w:hint="eastAsia"/>
          <w:b w:val="0"/>
          <w:bCs/>
          <w:color w:val="auto"/>
          <w:kern w:val="0"/>
          <w:sz w:val="21"/>
          <w:szCs w:val="21"/>
          <w:highlight w:val="none"/>
        </w:rPr>
        <w:t>执行《锅炉大气污染物排放标准》（</w:t>
      </w:r>
      <w:r>
        <w:rPr>
          <w:rFonts w:hint="eastAsia"/>
          <w:b w:val="0"/>
          <w:bCs/>
          <w:color w:val="auto"/>
          <w:kern w:val="0"/>
          <w:sz w:val="21"/>
          <w:szCs w:val="21"/>
          <w:highlight w:val="none"/>
          <w:lang w:val="en-US" w:eastAsia="zh-CN"/>
        </w:rPr>
        <w:t>DB32/4385-2022</w:t>
      </w:r>
      <w:r>
        <w:rPr>
          <w:rFonts w:hint="eastAsia"/>
          <w:b w:val="0"/>
          <w:bCs/>
          <w:color w:val="auto"/>
          <w:kern w:val="0"/>
          <w:sz w:val="21"/>
          <w:szCs w:val="21"/>
          <w:highlight w:val="none"/>
        </w:rPr>
        <w:t>）表</w:t>
      </w:r>
      <w:r>
        <w:rPr>
          <w:rFonts w:hint="eastAsia"/>
          <w:b w:val="0"/>
          <w:bCs/>
          <w:color w:val="auto"/>
          <w:kern w:val="0"/>
          <w:sz w:val="21"/>
          <w:szCs w:val="21"/>
          <w:highlight w:val="none"/>
          <w:lang w:val="en-US" w:eastAsia="zh-CN"/>
        </w:rPr>
        <w:t>1中</w:t>
      </w:r>
      <w:r>
        <w:rPr>
          <w:rFonts w:hint="eastAsia"/>
          <w:b w:val="0"/>
          <w:bCs/>
          <w:color w:val="auto"/>
          <w:kern w:val="0"/>
          <w:sz w:val="21"/>
          <w:szCs w:val="21"/>
          <w:highlight w:val="none"/>
        </w:rPr>
        <w:t>排放限值</w:t>
      </w:r>
      <w:r>
        <w:rPr>
          <w:rFonts w:hint="eastAsia"/>
          <w:b w:val="0"/>
          <w:bCs/>
          <w:color w:val="auto"/>
          <w:kern w:val="0"/>
          <w:sz w:val="21"/>
          <w:szCs w:val="21"/>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157" w:beforeLines="50" w:line="240" w:lineRule="auto"/>
        <w:ind w:firstLine="0" w:firstLineChars="0"/>
        <w:jc w:val="center"/>
        <w:textAlignment w:val="auto"/>
        <w:rPr>
          <w:b/>
          <w:color w:val="000000"/>
          <w:sz w:val="21"/>
          <w:szCs w:val="21"/>
        </w:rPr>
      </w:pPr>
      <w:r>
        <w:rPr>
          <w:b/>
          <w:color w:val="000000"/>
          <w:sz w:val="21"/>
          <w:szCs w:val="21"/>
        </w:rPr>
        <w:t>表</w:t>
      </w:r>
      <w:r>
        <w:rPr>
          <w:rFonts w:hint="eastAsia"/>
          <w:b/>
          <w:color w:val="000000"/>
          <w:sz w:val="21"/>
          <w:szCs w:val="21"/>
          <w:lang w:val="en-US" w:eastAsia="zh-CN"/>
        </w:rPr>
        <w:t>6-3</w:t>
      </w:r>
      <w:r>
        <w:rPr>
          <w:b/>
          <w:color w:val="000000"/>
          <w:sz w:val="21"/>
          <w:szCs w:val="21"/>
        </w:rPr>
        <w:t xml:space="preserve"> 厂区内</w:t>
      </w:r>
      <w:r>
        <w:rPr>
          <w:rFonts w:hint="eastAsia"/>
          <w:b/>
          <w:color w:val="000000"/>
          <w:sz w:val="21"/>
          <w:szCs w:val="21"/>
          <w:lang w:val="en-US" w:eastAsia="zh-CN"/>
        </w:rPr>
        <w:t>有机废气</w:t>
      </w:r>
      <w:r>
        <w:rPr>
          <w:b/>
          <w:color w:val="000000"/>
          <w:sz w:val="21"/>
          <w:szCs w:val="21"/>
        </w:rPr>
        <w:t>无组织排放限值   单位：mg/m</w:t>
      </w:r>
      <w:r>
        <w:rPr>
          <w:b/>
          <w:color w:val="000000"/>
          <w:sz w:val="21"/>
          <w:szCs w:val="21"/>
          <w:vertAlign w:val="superscript"/>
        </w:rPr>
        <w:t>3</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495"/>
        <w:gridCol w:w="1681"/>
        <w:gridCol w:w="2993"/>
        <w:gridCol w:w="2902"/>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3" w:hRule="atLeast"/>
          <w:jc w:val="center"/>
        </w:trPr>
        <w:tc>
          <w:tcPr>
            <w:tcW w:w="824" w:type="pct"/>
            <w:noWrap w:val="0"/>
            <w:vAlign w:val="center"/>
          </w:tcPr>
          <w:p>
            <w:pPr>
              <w:adjustRightInd/>
              <w:snapToGrid/>
              <w:spacing w:line="240" w:lineRule="auto"/>
              <w:ind w:firstLine="0" w:firstLineChars="0"/>
              <w:jc w:val="center"/>
              <w:rPr>
                <w:rFonts w:ascii="Times New Roman" w:hAnsi="Times New Roman"/>
                <w:b/>
                <w:color w:val="000000"/>
                <w:sz w:val="21"/>
                <w:szCs w:val="21"/>
              </w:rPr>
            </w:pPr>
            <w:r>
              <w:rPr>
                <w:rFonts w:ascii="Times New Roman" w:hAnsi="Times New Roman"/>
                <w:b/>
                <w:color w:val="000000"/>
                <w:sz w:val="21"/>
                <w:szCs w:val="21"/>
              </w:rPr>
              <w:t>污染物项目</w:t>
            </w:r>
          </w:p>
        </w:tc>
        <w:tc>
          <w:tcPr>
            <w:tcW w:w="926" w:type="pct"/>
            <w:noWrap w:val="0"/>
            <w:vAlign w:val="center"/>
          </w:tcPr>
          <w:p>
            <w:pPr>
              <w:adjustRightInd/>
              <w:snapToGrid/>
              <w:spacing w:line="240" w:lineRule="auto"/>
              <w:ind w:firstLine="0" w:firstLineChars="0"/>
              <w:jc w:val="center"/>
              <w:rPr>
                <w:rFonts w:ascii="Times New Roman" w:hAnsi="Times New Roman"/>
                <w:b/>
                <w:color w:val="000000"/>
                <w:sz w:val="21"/>
                <w:szCs w:val="21"/>
              </w:rPr>
            </w:pPr>
            <w:r>
              <w:rPr>
                <w:rFonts w:ascii="Times New Roman" w:hAnsi="Times New Roman"/>
                <w:b/>
                <w:color w:val="000000"/>
                <w:sz w:val="21"/>
                <w:szCs w:val="21"/>
              </w:rPr>
              <w:t>特别排放限值</w:t>
            </w:r>
          </w:p>
        </w:tc>
        <w:tc>
          <w:tcPr>
            <w:tcW w:w="1649" w:type="pct"/>
            <w:noWrap w:val="0"/>
            <w:vAlign w:val="center"/>
          </w:tcPr>
          <w:p>
            <w:pPr>
              <w:adjustRightInd/>
              <w:snapToGrid/>
              <w:spacing w:line="240" w:lineRule="auto"/>
              <w:ind w:firstLine="0" w:firstLineChars="0"/>
              <w:jc w:val="center"/>
              <w:rPr>
                <w:rFonts w:ascii="Times New Roman" w:hAnsi="Times New Roman"/>
                <w:b/>
                <w:color w:val="000000"/>
                <w:sz w:val="21"/>
                <w:szCs w:val="21"/>
              </w:rPr>
            </w:pPr>
            <w:r>
              <w:rPr>
                <w:rFonts w:ascii="Times New Roman" w:hAnsi="Times New Roman"/>
                <w:b/>
                <w:color w:val="000000"/>
                <w:sz w:val="21"/>
                <w:szCs w:val="21"/>
              </w:rPr>
              <w:t>限值含义</w:t>
            </w:r>
          </w:p>
        </w:tc>
        <w:tc>
          <w:tcPr>
            <w:tcW w:w="1599" w:type="pct"/>
            <w:noWrap w:val="0"/>
            <w:vAlign w:val="center"/>
          </w:tcPr>
          <w:p>
            <w:pPr>
              <w:adjustRightInd/>
              <w:snapToGrid/>
              <w:spacing w:line="240" w:lineRule="auto"/>
              <w:ind w:firstLine="0" w:firstLineChars="0"/>
              <w:jc w:val="center"/>
              <w:rPr>
                <w:rFonts w:ascii="Times New Roman" w:hAnsi="Times New Roman"/>
                <w:b/>
                <w:color w:val="000000"/>
                <w:sz w:val="21"/>
                <w:szCs w:val="21"/>
              </w:rPr>
            </w:pPr>
            <w:r>
              <w:rPr>
                <w:rFonts w:ascii="Times New Roman" w:hAnsi="Times New Roman"/>
                <w:b/>
                <w:color w:val="000000"/>
                <w:sz w:val="21"/>
                <w:szCs w:val="21"/>
              </w:rPr>
              <w:t>无组织排放监控点</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66" w:hRule="atLeast"/>
          <w:jc w:val="center"/>
        </w:trPr>
        <w:tc>
          <w:tcPr>
            <w:tcW w:w="824" w:type="pct"/>
            <w:vMerge w:val="restart"/>
            <w:noWrap w:val="0"/>
            <w:vAlign w:val="center"/>
          </w:tcPr>
          <w:p>
            <w:pPr>
              <w:adjustRightInd/>
              <w:snapToGrid/>
              <w:spacing w:line="240" w:lineRule="auto"/>
              <w:ind w:firstLine="0" w:firstLineChars="0"/>
              <w:jc w:val="center"/>
              <w:rPr>
                <w:rFonts w:ascii="Times New Roman" w:hAnsi="Times New Roman"/>
                <w:bCs/>
                <w:color w:val="000000"/>
                <w:sz w:val="21"/>
                <w:szCs w:val="21"/>
              </w:rPr>
            </w:pPr>
            <w:r>
              <w:rPr>
                <w:rFonts w:ascii="Times New Roman" w:hAnsi="Times New Roman"/>
                <w:bCs/>
                <w:color w:val="000000"/>
                <w:sz w:val="21"/>
                <w:szCs w:val="21"/>
              </w:rPr>
              <w:t>非甲烷总烃（NMHC）</w:t>
            </w:r>
          </w:p>
        </w:tc>
        <w:tc>
          <w:tcPr>
            <w:tcW w:w="926" w:type="pct"/>
            <w:noWrap w:val="0"/>
            <w:vAlign w:val="center"/>
          </w:tcPr>
          <w:p>
            <w:pPr>
              <w:adjustRightInd/>
              <w:snapToGrid/>
              <w:spacing w:line="240" w:lineRule="auto"/>
              <w:ind w:firstLine="0" w:firstLineChars="0"/>
              <w:jc w:val="center"/>
              <w:rPr>
                <w:rFonts w:ascii="Times New Roman" w:hAnsi="Times New Roman"/>
                <w:bCs/>
                <w:color w:val="000000"/>
                <w:sz w:val="21"/>
                <w:szCs w:val="21"/>
              </w:rPr>
            </w:pPr>
            <w:r>
              <w:rPr>
                <w:rFonts w:ascii="Times New Roman" w:hAnsi="Times New Roman"/>
                <w:bCs/>
                <w:color w:val="000000"/>
                <w:sz w:val="21"/>
                <w:szCs w:val="21"/>
              </w:rPr>
              <w:t>6</w:t>
            </w:r>
          </w:p>
        </w:tc>
        <w:tc>
          <w:tcPr>
            <w:tcW w:w="1649" w:type="pct"/>
            <w:noWrap w:val="0"/>
            <w:vAlign w:val="center"/>
          </w:tcPr>
          <w:p>
            <w:pPr>
              <w:adjustRightInd/>
              <w:snapToGrid/>
              <w:spacing w:line="240" w:lineRule="auto"/>
              <w:ind w:firstLine="0" w:firstLineChars="0"/>
              <w:jc w:val="center"/>
              <w:rPr>
                <w:rFonts w:ascii="Times New Roman" w:hAnsi="Times New Roman"/>
                <w:bCs/>
                <w:color w:val="000000"/>
                <w:sz w:val="21"/>
                <w:szCs w:val="21"/>
              </w:rPr>
            </w:pPr>
            <w:r>
              <w:rPr>
                <w:rFonts w:ascii="Times New Roman" w:hAnsi="Times New Roman"/>
                <w:bCs/>
                <w:color w:val="000000"/>
                <w:sz w:val="21"/>
                <w:szCs w:val="21"/>
              </w:rPr>
              <w:t>监控点处1h平均浓度值</w:t>
            </w:r>
          </w:p>
        </w:tc>
        <w:tc>
          <w:tcPr>
            <w:tcW w:w="1599" w:type="pct"/>
            <w:vMerge w:val="restart"/>
            <w:noWrap w:val="0"/>
            <w:vAlign w:val="center"/>
          </w:tcPr>
          <w:p>
            <w:pPr>
              <w:adjustRightInd/>
              <w:snapToGrid/>
              <w:spacing w:line="240" w:lineRule="auto"/>
              <w:ind w:firstLine="0" w:firstLineChars="0"/>
              <w:jc w:val="center"/>
              <w:rPr>
                <w:rFonts w:ascii="Times New Roman" w:hAnsi="Times New Roman"/>
                <w:bCs/>
                <w:color w:val="000000"/>
                <w:sz w:val="21"/>
                <w:szCs w:val="21"/>
              </w:rPr>
            </w:pPr>
            <w:r>
              <w:rPr>
                <w:rFonts w:ascii="Times New Roman" w:hAnsi="Times New Roman"/>
                <w:bCs/>
                <w:color w:val="000000"/>
                <w:sz w:val="21"/>
                <w:szCs w:val="21"/>
              </w:rPr>
              <w:t>在非封闭厂房作业的，在操作工位旁设置监控点</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82" w:hRule="atLeast"/>
          <w:jc w:val="center"/>
        </w:trPr>
        <w:tc>
          <w:tcPr>
            <w:tcW w:w="824" w:type="pct"/>
            <w:vMerge w:val="continue"/>
            <w:noWrap w:val="0"/>
            <w:vAlign w:val="center"/>
          </w:tcPr>
          <w:p>
            <w:pPr>
              <w:adjustRightInd/>
              <w:snapToGrid/>
              <w:spacing w:line="240" w:lineRule="auto"/>
              <w:ind w:firstLine="0" w:firstLineChars="0"/>
              <w:jc w:val="center"/>
              <w:rPr>
                <w:rFonts w:ascii="Times New Roman" w:hAnsi="Times New Roman"/>
                <w:bCs/>
                <w:color w:val="000000"/>
                <w:sz w:val="21"/>
                <w:szCs w:val="21"/>
              </w:rPr>
            </w:pPr>
          </w:p>
        </w:tc>
        <w:tc>
          <w:tcPr>
            <w:tcW w:w="926" w:type="pct"/>
            <w:noWrap w:val="0"/>
            <w:vAlign w:val="center"/>
          </w:tcPr>
          <w:p>
            <w:pPr>
              <w:adjustRightInd/>
              <w:snapToGrid/>
              <w:spacing w:line="240" w:lineRule="auto"/>
              <w:ind w:firstLine="0" w:firstLineChars="0"/>
              <w:jc w:val="center"/>
              <w:rPr>
                <w:rFonts w:ascii="Times New Roman" w:hAnsi="Times New Roman"/>
                <w:bCs/>
                <w:color w:val="000000"/>
                <w:sz w:val="21"/>
                <w:szCs w:val="21"/>
              </w:rPr>
            </w:pPr>
            <w:r>
              <w:rPr>
                <w:rFonts w:ascii="Times New Roman" w:hAnsi="Times New Roman"/>
                <w:bCs/>
                <w:color w:val="000000"/>
                <w:sz w:val="21"/>
                <w:szCs w:val="21"/>
              </w:rPr>
              <w:t>20</w:t>
            </w:r>
          </w:p>
        </w:tc>
        <w:tc>
          <w:tcPr>
            <w:tcW w:w="1649" w:type="pct"/>
            <w:noWrap w:val="0"/>
            <w:vAlign w:val="center"/>
          </w:tcPr>
          <w:p>
            <w:pPr>
              <w:adjustRightInd/>
              <w:snapToGrid/>
              <w:spacing w:line="240" w:lineRule="auto"/>
              <w:ind w:firstLine="0" w:firstLineChars="0"/>
              <w:jc w:val="center"/>
              <w:rPr>
                <w:rFonts w:ascii="Times New Roman" w:hAnsi="Times New Roman"/>
                <w:bCs/>
                <w:color w:val="000000"/>
                <w:sz w:val="21"/>
                <w:szCs w:val="21"/>
              </w:rPr>
            </w:pPr>
            <w:r>
              <w:rPr>
                <w:rFonts w:ascii="Times New Roman" w:hAnsi="Times New Roman"/>
                <w:bCs/>
                <w:color w:val="000000"/>
                <w:sz w:val="21"/>
                <w:szCs w:val="21"/>
              </w:rPr>
              <w:t>监控点处任意一次浓度值</w:t>
            </w:r>
          </w:p>
        </w:tc>
        <w:tc>
          <w:tcPr>
            <w:tcW w:w="1599" w:type="pct"/>
            <w:vMerge w:val="continue"/>
            <w:noWrap w:val="0"/>
            <w:vAlign w:val="center"/>
          </w:tcPr>
          <w:p>
            <w:pPr>
              <w:adjustRightInd/>
              <w:snapToGrid/>
              <w:spacing w:line="240" w:lineRule="auto"/>
              <w:ind w:firstLine="0" w:firstLineChars="0"/>
              <w:jc w:val="center"/>
              <w:rPr>
                <w:rFonts w:ascii="Times New Roman" w:hAnsi="Times New Roman"/>
                <w:bCs/>
                <w:color w:val="000000"/>
                <w:sz w:val="21"/>
                <w:szCs w:val="21"/>
              </w:rPr>
            </w:pPr>
          </w:p>
        </w:tc>
      </w:tr>
    </w:tbl>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38" w:name="_Toc30086"/>
      <w:r>
        <w:rPr>
          <w:rFonts w:hint="default" w:ascii="Times New Roman" w:hAnsi="Times New Roman" w:eastAsia="宋体" w:cs="Times New Roman"/>
          <w:color w:val="auto"/>
        </w:rPr>
        <w:t>6.3 噪声执行标准</w:t>
      </w:r>
      <w:bookmarkEnd w:id="38"/>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项目厂界噪声执行《工业企业厂界环境噪声排放标准》（GB12348-2008）中</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类标准。</w:t>
      </w:r>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表6</w:t>
      </w:r>
      <w:r>
        <w:rPr>
          <w:rFonts w:hint="eastAsia" w:cs="Times New Roman"/>
          <w:color w:val="auto"/>
          <w:sz w:val="21"/>
          <w:szCs w:val="21"/>
          <w:lang w:val="en-US" w:eastAsia="zh-CN"/>
        </w:rPr>
        <w:t>-3</w:t>
      </w:r>
      <w:r>
        <w:rPr>
          <w:rFonts w:hint="default" w:ascii="Times New Roman" w:hAnsi="Times New Roman" w:eastAsia="宋体" w:cs="Times New Roman"/>
          <w:color w:val="auto"/>
          <w:sz w:val="21"/>
          <w:szCs w:val="21"/>
        </w:rPr>
        <w:t xml:space="preserve">  项目运营期噪声排放执行标准</w:t>
      </w:r>
      <w:r>
        <w:rPr>
          <w:rFonts w:hint="eastAsia" w:cs="Times New Roman"/>
          <w:color w:val="auto"/>
          <w:sz w:val="21"/>
          <w:szCs w:val="21"/>
          <w:lang w:val="en-US" w:eastAsia="zh-CN"/>
        </w:rPr>
        <w:t xml:space="preserve">  单位：dB</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0" w:type="dxa"/>
          <w:bottom w:w="0" w:type="dxa"/>
          <w:right w:w="0" w:type="dxa"/>
        </w:tblCellMar>
      </w:tblPr>
      <w:tblGrid>
        <w:gridCol w:w="2975"/>
        <w:gridCol w:w="1822"/>
        <w:gridCol w:w="1960"/>
        <w:gridCol w:w="231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PrEx>
        <w:trPr>
          <w:cantSplit/>
          <w:trHeight w:val="227" w:hRule="atLeast"/>
          <w:jc w:val="center"/>
        </w:trPr>
        <w:tc>
          <w:tcPr>
            <w:tcW w:w="1639" w:type="pct"/>
            <w:vAlign w:val="center"/>
          </w:tcPr>
          <w:p>
            <w:pPr>
              <w:tabs>
                <w:tab w:val="left" w:pos="1134"/>
              </w:tabs>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标准</w:t>
            </w:r>
          </w:p>
        </w:tc>
        <w:tc>
          <w:tcPr>
            <w:tcW w:w="1004" w:type="pct"/>
            <w:vAlign w:val="center"/>
          </w:tcPr>
          <w:p>
            <w:pPr>
              <w:tabs>
                <w:tab w:val="left" w:pos="1134"/>
              </w:tabs>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昼间</w:t>
            </w:r>
          </w:p>
        </w:tc>
        <w:tc>
          <w:tcPr>
            <w:tcW w:w="1080" w:type="pct"/>
            <w:vAlign w:val="center"/>
          </w:tcPr>
          <w:p>
            <w:pPr>
              <w:tabs>
                <w:tab w:val="left" w:pos="1134"/>
              </w:tabs>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夜间</w:t>
            </w:r>
          </w:p>
        </w:tc>
        <w:tc>
          <w:tcPr>
            <w:tcW w:w="1275" w:type="pct"/>
            <w:vAlign w:val="center"/>
          </w:tcPr>
          <w:p>
            <w:pPr>
              <w:tabs>
                <w:tab w:val="left" w:pos="1134"/>
              </w:tabs>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227" w:hRule="atLeast"/>
          <w:jc w:val="center"/>
        </w:trPr>
        <w:tc>
          <w:tcPr>
            <w:tcW w:w="1639" w:type="pct"/>
            <w:vAlign w:val="center"/>
          </w:tcPr>
          <w:p>
            <w:pPr>
              <w:tabs>
                <w:tab w:val="left" w:pos="1134"/>
              </w:tabs>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厂界噪声</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类标准</w:t>
            </w:r>
          </w:p>
        </w:tc>
        <w:tc>
          <w:tcPr>
            <w:tcW w:w="1004" w:type="pct"/>
            <w:vAlign w:val="center"/>
          </w:tcPr>
          <w:p>
            <w:pPr>
              <w:tabs>
                <w:tab w:val="left" w:pos="1134"/>
              </w:tabs>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60</w:t>
            </w:r>
          </w:p>
        </w:tc>
        <w:tc>
          <w:tcPr>
            <w:tcW w:w="1080" w:type="pct"/>
            <w:vAlign w:val="center"/>
          </w:tcPr>
          <w:p>
            <w:pPr>
              <w:tabs>
                <w:tab w:val="left" w:pos="1134"/>
              </w:tabs>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w:t>
            </w:r>
          </w:p>
        </w:tc>
        <w:tc>
          <w:tcPr>
            <w:tcW w:w="1275" w:type="pct"/>
            <w:vAlign w:val="center"/>
          </w:tcPr>
          <w:p>
            <w:pPr>
              <w:tabs>
                <w:tab w:val="left" w:pos="1134"/>
              </w:tabs>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GB12348-2008</w:t>
            </w:r>
          </w:p>
        </w:tc>
      </w:tr>
    </w:tbl>
    <w:p>
      <w:pPr>
        <w:pStyle w:val="4"/>
        <w:keepNext/>
        <w:keepLines/>
        <w:pageBreakBefore w:val="0"/>
        <w:widowControl w:val="0"/>
        <w:kinsoku/>
        <w:wordWrap/>
        <w:overflowPunct/>
        <w:topLinePunct w:val="0"/>
        <w:autoSpaceDE w:val="0"/>
        <w:autoSpaceDN w:val="0"/>
        <w:bidi w:val="0"/>
        <w:adjustRightInd/>
        <w:snapToGrid/>
        <w:spacing w:before="157" w:beforeLines="50" w:afterLines="0" w:line="360" w:lineRule="auto"/>
        <w:textAlignment w:val="auto"/>
        <w:rPr>
          <w:rFonts w:hint="default" w:ascii="Times New Roman" w:hAnsi="Times New Roman" w:eastAsia="宋体" w:cs="Times New Roman"/>
          <w:color w:val="auto"/>
        </w:rPr>
      </w:pPr>
      <w:bookmarkStart w:id="39" w:name="_Toc15639"/>
      <w:r>
        <w:rPr>
          <w:rFonts w:hint="default" w:ascii="Times New Roman" w:hAnsi="Times New Roman" w:eastAsia="宋体" w:cs="Times New Roman"/>
          <w:color w:val="auto"/>
        </w:rPr>
        <w:t>6.4 固废执行标准</w:t>
      </w:r>
      <w:bookmarkEnd w:id="39"/>
    </w:p>
    <w:p>
      <w:pPr>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1"/>
          <w:szCs w:val="21"/>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color w:val="auto"/>
          <w:sz w:val="21"/>
          <w:szCs w:val="21"/>
        </w:rPr>
        <w:t>厂区危险废物管理执行《危险废物贮存污染控制标准》（GB18597-20</w:t>
      </w:r>
      <w:r>
        <w:rPr>
          <w:rFonts w:hint="eastAsia" w:cs="Times New Roman"/>
          <w:color w:val="auto"/>
          <w:sz w:val="21"/>
          <w:szCs w:val="21"/>
          <w:lang w:val="en-US" w:eastAsia="zh-CN"/>
        </w:rPr>
        <w:t>23</w:t>
      </w:r>
      <w:r>
        <w:rPr>
          <w:rFonts w:hint="default" w:ascii="Times New Roman" w:hAnsi="Times New Roman" w:eastAsia="宋体" w:cs="Times New Roman"/>
          <w:color w:val="auto"/>
          <w:sz w:val="21"/>
          <w:szCs w:val="21"/>
        </w:rPr>
        <w:t>）和《关于进一步加强危险废物污染防治工作的实施意见》（苏环办[2019]327号）等文件的要求</w:t>
      </w:r>
      <w:r>
        <w:rPr>
          <w:rFonts w:hint="eastAsia" w:cs="Times New Roman"/>
          <w:color w:val="auto"/>
          <w:sz w:val="21"/>
          <w:szCs w:val="21"/>
          <w:lang w:eastAsia="zh-CN"/>
        </w:rPr>
        <w:t>，</w:t>
      </w:r>
      <w:r>
        <w:rPr>
          <w:rFonts w:hint="eastAsia" w:cs="Times New Roman"/>
          <w:color w:val="auto"/>
          <w:sz w:val="21"/>
          <w:szCs w:val="21"/>
          <w:lang w:val="en-US" w:eastAsia="zh-CN"/>
        </w:rPr>
        <w:t>一般固废执行</w:t>
      </w:r>
      <w:r>
        <w:rPr>
          <w:rFonts w:hint="default" w:ascii="Times New Roman" w:hAnsi="Times New Roman" w:eastAsia="宋体" w:cs="Times New Roman"/>
          <w:color w:val="auto"/>
          <w:sz w:val="21"/>
          <w:szCs w:val="21"/>
          <w:highlight w:val="none"/>
        </w:rPr>
        <w:t>《一般工业固体废物贮存和填埋污染控制标准》( GB18599- 2020)</w:t>
      </w:r>
      <w:r>
        <w:rPr>
          <w:rFonts w:hint="default" w:ascii="Times New Roman" w:hAnsi="Times New Roman" w:eastAsia="宋体" w:cs="Times New Roman"/>
          <w:color w:val="auto"/>
          <w:sz w:val="21"/>
          <w:szCs w:val="21"/>
        </w:rPr>
        <w:t>。</w:t>
      </w:r>
    </w:p>
    <w:p>
      <w:pPr>
        <w:pStyle w:val="3"/>
        <w:pageBreakBefore w:val="0"/>
        <w:widowControl w:val="0"/>
        <w:kinsoku/>
        <w:wordWrap/>
        <w:overflowPunct/>
        <w:topLinePunct w:val="0"/>
        <w:autoSpaceDE w:val="0"/>
        <w:autoSpaceDN w:val="0"/>
        <w:bidi w:val="0"/>
        <w:adjustRightInd w:val="0"/>
        <w:snapToGrid w:val="0"/>
        <w:spacing w:beforeLines="0" w:afterLines="0" w:line="360" w:lineRule="auto"/>
        <w:textAlignment w:val="auto"/>
        <w:rPr>
          <w:rFonts w:hint="default" w:ascii="Times New Roman" w:hAnsi="Times New Roman" w:eastAsia="宋体" w:cs="Times New Roman"/>
          <w:color w:val="auto"/>
        </w:rPr>
      </w:pPr>
      <w:bookmarkStart w:id="40" w:name="_Toc10554"/>
      <w:r>
        <w:rPr>
          <w:rFonts w:hint="default" w:ascii="Times New Roman" w:hAnsi="Times New Roman" w:eastAsia="宋体" w:cs="Times New Roman"/>
          <w:color w:val="auto"/>
        </w:rPr>
        <w:t>7 验收监测内容</w:t>
      </w:r>
      <w:bookmarkEnd w:id="40"/>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根据《建设项目环境保护设施竣工验收监测技术要求(试行)》（环发[2000]38号）和《建设项目竣工环境保护验收技术指南 污染影响类》等文件要求及</w:t>
      </w:r>
      <w:r>
        <w:rPr>
          <w:rFonts w:hint="eastAsia" w:cs="Times New Roman"/>
          <w:color w:val="auto"/>
          <w:sz w:val="21"/>
          <w:szCs w:val="21"/>
          <w:lang w:eastAsia="zh-CN"/>
        </w:rPr>
        <w:t>缔壹公司</w:t>
      </w:r>
      <w:r>
        <w:rPr>
          <w:rFonts w:hint="default" w:ascii="Times New Roman" w:hAnsi="Times New Roman" w:eastAsia="宋体" w:cs="Times New Roman"/>
          <w:color w:val="auto"/>
          <w:sz w:val="21"/>
          <w:szCs w:val="21"/>
        </w:rPr>
        <w:t>排污现状及项目特点，确定本次监测内容包括环境环保设施运行效率监测、污染物达标排放监测，即废水、有组织废气、无组织废气、噪声污染源监测，监测点位、监测项目和监测频次要求如下：</w:t>
      </w:r>
    </w:p>
    <w:p>
      <w:pPr>
        <w:pStyle w:val="4"/>
        <w:pageBreakBefore w:val="0"/>
        <w:widowControl w:val="0"/>
        <w:kinsoku/>
        <w:wordWrap/>
        <w:overflowPunct/>
        <w:topLinePunct w:val="0"/>
        <w:autoSpaceDE w:val="0"/>
        <w:autoSpaceDN w:val="0"/>
        <w:bidi w:val="0"/>
        <w:adjustRightInd w:val="0"/>
        <w:snapToGrid w:val="0"/>
        <w:spacing w:beforeLines="0" w:afterLines="0" w:line="360" w:lineRule="auto"/>
        <w:textAlignment w:val="auto"/>
        <w:rPr>
          <w:rFonts w:hint="default" w:ascii="Times New Roman" w:hAnsi="Times New Roman" w:eastAsia="宋体" w:cs="Times New Roman"/>
          <w:color w:val="auto"/>
        </w:rPr>
      </w:pPr>
      <w:bookmarkStart w:id="41" w:name="_Toc23743"/>
      <w:r>
        <w:rPr>
          <w:rFonts w:hint="default" w:ascii="Times New Roman" w:hAnsi="Times New Roman" w:eastAsia="宋体" w:cs="Times New Roman"/>
          <w:color w:val="auto"/>
        </w:rPr>
        <w:t>7.1 废水</w:t>
      </w:r>
      <w:bookmarkEnd w:id="41"/>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废水监测点位、监测因子及监测频次详见表7-1。</w:t>
      </w:r>
    </w:p>
    <w:p>
      <w:pPr>
        <w:pStyle w:val="29"/>
        <w:keepNext w:val="0"/>
        <w:keepLines w:val="0"/>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表7-1  废水分析项目和采样频次一览表</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1339"/>
        <w:gridCol w:w="1234"/>
        <w:gridCol w:w="3385"/>
        <w:gridCol w:w="188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75" w:type="pct"/>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类别</w:t>
            </w:r>
          </w:p>
        </w:tc>
        <w:tc>
          <w:tcPr>
            <w:tcW w:w="738" w:type="pct"/>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监测点位</w:t>
            </w:r>
          </w:p>
        </w:tc>
        <w:tc>
          <w:tcPr>
            <w:tcW w:w="680" w:type="pct"/>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 xml:space="preserve"> 监测编号</w:t>
            </w:r>
          </w:p>
        </w:tc>
        <w:tc>
          <w:tcPr>
            <w:tcW w:w="1865" w:type="pct"/>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监测项目</w:t>
            </w:r>
          </w:p>
        </w:tc>
        <w:tc>
          <w:tcPr>
            <w:tcW w:w="1040" w:type="pct"/>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75" w:type="pct"/>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生活污水</w:t>
            </w:r>
          </w:p>
        </w:tc>
        <w:tc>
          <w:tcPr>
            <w:tcW w:w="738" w:type="pct"/>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olor w:val="auto"/>
                <w:sz w:val="21"/>
                <w:szCs w:val="21"/>
                <w:highlight w:val="none"/>
              </w:rPr>
              <w:t>废水排放口</w:t>
            </w:r>
          </w:p>
        </w:tc>
        <w:tc>
          <w:tcPr>
            <w:tcW w:w="680" w:type="pct"/>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W1</w:t>
            </w:r>
          </w:p>
        </w:tc>
        <w:tc>
          <w:tcPr>
            <w:tcW w:w="1865" w:type="pct"/>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olor w:val="auto"/>
                <w:sz w:val="21"/>
                <w:szCs w:val="21"/>
                <w:highlight w:val="none"/>
              </w:rPr>
              <w:t>pH值、COD、SS、NH</w:t>
            </w:r>
            <w:r>
              <w:rPr>
                <w:rFonts w:hint="eastAsia" w:ascii="Times New Roman" w:hAnsi="Times New Roman" w:eastAsia="宋体"/>
                <w:color w:val="auto"/>
                <w:sz w:val="21"/>
                <w:szCs w:val="21"/>
                <w:highlight w:val="none"/>
                <w:vertAlign w:val="subscript"/>
              </w:rPr>
              <w:t>3</w:t>
            </w:r>
            <w:r>
              <w:rPr>
                <w:rFonts w:hint="eastAsia" w:ascii="Times New Roman" w:hAnsi="Times New Roman" w:eastAsia="宋体"/>
                <w:color w:val="auto"/>
                <w:sz w:val="21"/>
                <w:szCs w:val="21"/>
                <w:highlight w:val="none"/>
              </w:rPr>
              <w:t>-N、TP、TN</w:t>
            </w:r>
          </w:p>
        </w:tc>
        <w:tc>
          <w:tcPr>
            <w:tcW w:w="1040" w:type="pct"/>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4次/天，连续2天</w:t>
            </w:r>
          </w:p>
        </w:tc>
      </w:tr>
    </w:tbl>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42" w:name="_Toc22800"/>
      <w:r>
        <w:rPr>
          <w:rFonts w:hint="default" w:ascii="Times New Roman" w:hAnsi="Times New Roman" w:eastAsia="宋体" w:cs="Times New Roman"/>
          <w:color w:val="auto"/>
        </w:rPr>
        <w:t>7.2 废气</w:t>
      </w:r>
      <w:bookmarkEnd w:id="42"/>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（1）有组织废气</w:t>
      </w:r>
    </w:p>
    <w:p>
      <w:pPr>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有组织废气监测点位、监测因子及监测频次详见表7-2。</w:t>
      </w:r>
    </w:p>
    <w:p>
      <w:pPr>
        <w:pStyle w:val="29"/>
        <w:keepNext w:val="0"/>
        <w:keepLines w:val="0"/>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表7-2  有组织废气分析项目和采样频次一览表</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2131"/>
        <w:gridCol w:w="3071"/>
        <w:gridCol w:w="1194"/>
        <w:gridCol w:w="110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867" w:type="pct"/>
            <w:vAlign w:val="center"/>
          </w:tcPr>
          <w:p>
            <w:pPr>
              <w:spacing w:line="240" w:lineRule="auto"/>
              <w:ind w:firstLine="0" w:firstLineChars="0"/>
              <w:jc w:val="center"/>
              <w:rPr>
                <w:rFonts w:hint="default" w:ascii="Times New Roman" w:hAnsi="Times New Roman" w:eastAsia="宋体" w:cs="Times New Roman"/>
                <w:b/>
                <w:bCs w:val="0"/>
                <w:color w:val="auto"/>
                <w:sz w:val="21"/>
                <w:szCs w:val="21"/>
              </w:rPr>
            </w:pPr>
            <w:r>
              <w:rPr>
                <w:rFonts w:hint="default" w:ascii="Times New Roman" w:hAnsi="Times New Roman" w:eastAsia="宋体" w:cs="Times New Roman"/>
                <w:b/>
                <w:bCs w:val="0"/>
                <w:color w:val="auto"/>
                <w:sz w:val="21"/>
                <w:szCs w:val="21"/>
              </w:rPr>
              <w:t>类别</w:t>
            </w:r>
          </w:p>
        </w:tc>
        <w:tc>
          <w:tcPr>
            <w:tcW w:w="1174" w:type="pct"/>
            <w:vAlign w:val="center"/>
          </w:tcPr>
          <w:p>
            <w:pPr>
              <w:spacing w:line="240" w:lineRule="auto"/>
              <w:ind w:firstLine="0" w:firstLineChars="0"/>
              <w:jc w:val="center"/>
              <w:rPr>
                <w:rFonts w:hint="default" w:ascii="Times New Roman" w:hAnsi="Times New Roman" w:eastAsia="宋体" w:cs="Times New Roman"/>
                <w:b/>
                <w:bCs w:val="0"/>
                <w:color w:val="auto"/>
                <w:sz w:val="21"/>
                <w:szCs w:val="21"/>
              </w:rPr>
            </w:pPr>
            <w:r>
              <w:rPr>
                <w:rFonts w:hint="default" w:ascii="Times New Roman" w:hAnsi="Times New Roman" w:eastAsia="宋体" w:cs="Times New Roman"/>
                <w:b/>
                <w:bCs w:val="0"/>
                <w:color w:val="auto"/>
                <w:sz w:val="21"/>
                <w:szCs w:val="21"/>
              </w:rPr>
              <w:t>污染物</w:t>
            </w:r>
          </w:p>
        </w:tc>
        <w:tc>
          <w:tcPr>
            <w:tcW w:w="1692" w:type="pct"/>
            <w:vAlign w:val="center"/>
          </w:tcPr>
          <w:p>
            <w:pPr>
              <w:spacing w:line="240" w:lineRule="auto"/>
              <w:ind w:firstLine="0" w:firstLineChars="0"/>
              <w:jc w:val="center"/>
              <w:rPr>
                <w:rFonts w:hint="default" w:ascii="Times New Roman" w:hAnsi="Times New Roman" w:eastAsia="宋体" w:cs="Times New Roman"/>
                <w:b/>
                <w:bCs w:val="0"/>
                <w:color w:val="auto"/>
                <w:sz w:val="21"/>
                <w:szCs w:val="21"/>
              </w:rPr>
            </w:pPr>
            <w:r>
              <w:rPr>
                <w:rFonts w:hint="default" w:ascii="Times New Roman" w:hAnsi="Times New Roman" w:eastAsia="宋体" w:cs="Times New Roman"/>
                <w:b/>
                <w:bCs w:val="0"/>
                <w:color w:val="auto"/>
                <w:sz w:val="21"/>
                <w:szCs w:val="21"/>
              </w:rPr>
              <w:t>监测点位</w:t>
            </w:r>
          </w:p>
        </w:tc>
        <w:tc>
          <w:tcPr>
            <w:tcW w:w="658" w:type="pct"/>
            <w:vAlign w:val="center"/>
          </w:tcPr>
          <w:p>
            <w:pPr>
              <w:spacing w:line="240" w:lineRule="auto"/>
              <w:ind w:firstLine="0" w:firstLineChars="0"/>
              <w:jc w:val="center"/>
              <w:rPr>
                <w:rFonts w:hint="default" w:ascii="Times New Roman" w:hAnsi="Times New Roman" w:eastAsia="宋体" w:cs="Times New Roman"/>
                <w:b/>
                <w:bCs w:val="0"/>
                <w:color w:val="auto"/>
                <w:sz w:val="21"/>
                <w:szCs w:val="21"/>
              </w:rPr>
            </w:pPr>
            <w:r>
              <w:rPr>
                <w:rFonts w:hint="default" w:ascii="Times New Roman" w:hAnsi="Times New Roman" w:eastAsia="宋体" w:cs="Times New Roman"/>
                <w:b/>
                <w:bCs w:val="0"/>
                <w:color w:val="auto"/>
                <w:sz w:val="21"/>
                <w:szCs w:val="21"/>
              </w:rPr>
              <w:t>监测编号</w:t>
            </w:r>
          </w:p>
        </w:tc>
        <w:tc>
          <w:tcPr>
            <w:tcW w:w="607" w:type="pct"/>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867" w:type="pct"/>
            <w:vMerge w:val="restart"/>
            <w:vAlign w:val="center"/>
          </w:tcPr>
          <w:p>
            <w:pPr>
              <w:spacing w:line="240" w:lineRule="auto"/>
              <w:ind w:firstLine="0" w:firstLineChars="0"/>
              <w:jc w:val="center"/>
              <w:rPr>
                <w:rFonts w:hint="default" w:ascii="Times New Roman" w:hAnsi="Times New Roman" w:eastAsia="宋体" w:cs="Times New Roman"/>
                <w:b w:val="0"/>
                <w:bCs/>
                <w:color w:val="auto"/>
                <w:sz w:val="21"/>
                <w:szCs w:val="21"/>
              </w:rPr>
            </w:pPr>
            <w:r>
              <w:rPr>
                <w:rFonts w:hint="default" w:ascii="Times New Roman" w:hAnsi="Times New Roman" w:eastAsia="宋体" w:cs="Times New Roman"/>
                <w:b w:val="0"/>
                <w:bCs/>
                <w:color w:val="auto"/>
                <w:sz w:val="21"/>
                <w:szCs w:val="21"/>
              </w:rPr>
              <w:t>有组织废气</w:t>
            </w:r>
          </w:p>
        </w:tc>
        <w:tc>
          <w:tcPr>
            <w:tcW w:w="1174" w:type="pct"/>
            <w:vAlign w:val="center"/>
          </w:tcPr>
          <w:p>
            <w:pPr>
              <w:spacing w:line="240" w:lineRule="auto"/>
              <w:ind w:firstLine="0" w:firstLineChars="0"/>
              <w:jc w:val="center"/>
              <w:rPr>
                <w:rFonts w:hint="default" w:ascii="Times New Roman" w:hAnsi="Times New Roman" w:eastAsia="宋体" w:cs="Times New Roman"/>
                <w:b w:val="0"/>
                <w:bCs/>
                <w:color w:val="auto"/>
                <w:sz w:val="21"/>
                <w:szCs w:val="21"/>
              </w:rPr>
            </w:pPr>
            <w:r>
              <w:rPr>
                <w:rFonts w:hint="default" w:ascii="Times New Roman" w:hAnsi="Times New Roman" w:eastAsia="宋体" w:cs="Times New Roman"/>
                <w:b w:val="0"/>
                <w:bCs/>
                <w:color w:val="auto"/>
                <w:sz w:val="21"/>
                <w:szCs w:val="21"/>
              </w:rPr>
              <w:t>乙酸乙酯</w:t>
            </w:r>
            <w:r>
              <w:rPr>
                <w:rFonts w:hint="eastAsia" w:ascii="Times New Roman" w:hAnsi="Times New Roman" w:eastAsia="宋体" w:cs="Times New Roman"/>
                <w:b w:val="0"/>
                <w:bCs/>
                <w:color w:val="auto"/>
                <w:sz w:val="21"/>
                <w:szCs w:val="21"/>
                <w:lang w:eastAsia="zh-CN"/>
              </w:rPr>
              <w:t>、</w:t>
            </w:r>
            <w:r>
              <w:rPr>
                <w:rFonts w:hint="default" w:ascii="Times New Roman" w:hAnsi="Times New Roman" w:eastAsia="宋体" w:cs="Times New Roman"/>
                <w:b w:val="0"/>
                <w:bCs/>
                <w:color w:val="auto"/>
                <w:sz w:val="21"/>
                <w:szCs w:val="21"/>
              </w:rPr>
              <w:t>甲苯</w:t>
            </w:r>
            <w:r>
              <w:rPr>
                <w:rFonts w:hint="eastAsia" w:ascii="Times New Roman" w:hAnsi="Times New Roman" w:eastAsia="宋体" w:cs="Times New Roman"/>
                <w:b w:val="0"/>
                <w:bCs/>
                <w:color w:val="auto"/>
                <w:sz w:val="21"/>
                <w:szCs w:val="21"/>
                <w:lang w:eastAsia="zh-CN"/>
              </w:rPr>
              <w:t>、</w:t>
            </w:r>
            <w:r>
              <w:rPr>
                <w:rFonts w:hint="default" w:ascii="Times New Roman" w:hAnsi="Times New Roman" w:eastAsia="宋体" w:cs="Times New Roman"/>
                <w:b w:val="0"/>
                <w:bCs/>
                <w:color w:val="auto"/>
                <w:sz w:val="21"/>
                <w:szCs w:val="21"/>
              </w:rPr>
              <w:t>甲醇</w:t>
            </w:r>
            <w:r>
              <w:rPr>
                <w:rFonts w:hint="eastAsia" w:ascii="Times New Roman" w:hAnsi="Times New Roman" w:eastAsia="宋体" w:cs="Times New Roman"/>
                <w:b w:val="0"/>
                <w:bCs/>
                <w:color w:val="auto"/>
                <w:sz w:val="21"/>
                <w:szCs w:val="21"/>
                <w:lang w:eastAsia="zh-CN"/>
              </w:rPr>
              <w:t>、</w:t>
            </w:r>
            <w:r>
              <w:rPr>
                <w:rFonts w:hint="eastAsia" w:ascii="Times New Roman" w:hAnsi="Times New Roman" w:eastAsia="宋体" w:cs="Times New Roman"/>
                <w:b w:val="0"/>
                <w:bCs/>
                <w:color w:val="auto"/>
                <w:sz w:val="21"/>
                <w:szCs w:val="21"/>
                <w:lang w:val="en-US" w:eastAsia="zh-CN"/>
              </w:rPr>
              <w:t>非甲烷总烃</w:t>
            </w:r>
          </w:p>
        </w:tc>
        <w:tc>
          <w:tcPr>
            <w:tcW w:w="1692" w:type="pct"/>
            <w:vAlign w:val="center"/>
          </w:tcPr>
          <w:p>
            <w:pPr>
              <w:spacing w:line="240" w:lineRule="auto"/>
              <w:ind w:firstLine="0" w:firstLineChars="0"/>
              <w:jc w:val="center"/>
              <w:rPr>
                <w:rFonts w:hint="default" w:ascii="Times New Roman" w:hAnsi="Times New Roman" w:eastAsia="宋体" w:cs="Times New Roman"/>
                <w:b w:val="0"/>
                <w:bCs/>
                <w:color w:val="auto"/>
                <w:sz w:val="21"/>
                <w:szCs w:val="21"/>
              </w:rPr>
            </w:pPr>
            <w:r>
              <w:rPr>
                <w:rFonts w:hint="eastAsia" w:ascii="Times New Roman" w:hAnsi="Times New Roman" w:eastAsia="宋体" w:cs="Times New Roman"/>
                <w:b w:val="0"/>
                <w:bCs/>
                <w:color w:val="auto"/>
                <w:sz w:val="21"/>
                <w:szCs w:val="21"/>
                <w:lang w:val="en-US" w:eastAsia="zh-CN"/>
              </w:rPr>
              <w:t>混胶、涂胶、烘烤废气排气筒进口和出口</w:t>
            </w:r>
          </w:p>
        </w:tc>
        <w:tc>
          <w:tcPr>
            <w:tcW w:w="658" w:type="pct"/>
            <w:vAlign w:val="center"/>
          </w:tcPr>
          <w:p>
            <w:pPr>
              <w:spacing w:line="240" w:lineRule="auto"/>
              <w:ind w:firstLine="0" w:firstLineChars="0"/>
              <w:jc w:val="center"/>
              <w:rPr>
                <w:rFonts w:hint="default" w:ascii="Times New Roman" w:hAnsi="Times New Roman" w:eastAsia="宋体" w:cs="Times New Roman"/>
                <w:b w:val="0"/>
                <w:bCs/>
                <w:color w:val="auto"/>
                <w:sz w:val="21"/>
                <w:szCs w:val="21"/>
              </w:rPr>
            </w:pPr>
            <w:r>
              <w:rPr>
                <w:rFonts w:hint="default" w:ascii="Times New Roman" w:hAnsi="Times New Roman" w:eastAsia="宋体" w:cs="Times New Roman"/>
                <w:b w:val="0"/>
                <w:bCs/>
                <w:color w:val="auto"/>
                <w:sz w:val="21"/>
                <w:szCs w:val="21"/>
              </w:rPr>
              <w:t>Q</w:t>
            </w:r>
            <w:r>
              <w:rPr>
                <w:rFonts w:hint="eastAsia" w:ascii="Times New Roman" w:hAnsi="Times New Roman" w:eastAsia="宋体" w:cs="Times New Roman"/>
                <w:b w:val="0"/>
                <w:bCs/>
                <w:color w:val="auto"/>
                <w:sz w:val="21"/>
                <w:szCs w:val="21"/>
                <w:lang w:val="en-US" w:eastAsia="zh-CN"/>
              </w:rPr>
              <w:t>1</w:t>
            </w:r>
            <w:r>
              <w:rPr>
                <w:rFonts w:hint="default" w:ascii="Times New Roman" w:hAnsi="Times New Roman" w:eastAsia="宋体" w:cs="Times New Roman"/>
                <w:b w:val="0"/>
                <w:bCs/>
                <w:color w:val="auto"/>
                <w:sz w:val="21"/>
                <w:szCs w:val="21"/>
              </w:rPr>
              <w:t>、Q</w:t>
            </w:r>
            <w:r>
              <w:rPr>
                <w:rFonts w:hint="eastAsia" w:ascii="Times New Roman" w:hAnsi="Times New Roman" w:eastAsia="宋体" w:cs="Times New Roman"/>
                <w:b w:val="0"/>
                <w:bCs/>
                <w:color w:val="auto"/>
                <w:sz w:val="21"/>
                <w:szCs w:val="21"/>
                <w:lang w:val="en-US" w:eastAsia="zh-CN"/>
              </w:rPr>
              <w:t>2</w:t>
            </w:r>
          </w:p>
        </w:tc>
        <w:tc>
          <w:tcPr>
            <w:tcW w:w="607" w:type="pct"/>
            <w:vMerge w:val="restart"/>
            <w:vAlign w:val="center"/>
          </w:tcPr>
          <w:p>
            <w:pPr>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3次/天，连续2天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867" w:type="pct"/>
            <w:vMerge w:val="continue"/>
            <w:vAlign w:val="center"/>
          </w:tcPr>
          <w:p>
            <w:pPr>
              <w:spacing w:line="240" w:lineRule="auto"/>
              <w:ind w:firstLine="0" w:firstLineChars="0"/>
              <w:jc w:val="center"/>
              <w:rPr>
                <w:rFonts w:hint="default" w:ascii="Times New Roman" w:hAnsi="Times New Roman" w:eastAsia="宋体" w:cs="Times New Roman"/>
                <w:b w:val="0"/>
                <w:bCs/>
                <w:color w:val="auto"/>
                <w:sz w:val="21"/>
                <w:szCs w:val="21"/>
              </w:rPr>
            </w:pPr>
          </w:p>
        </w:tc>
        <w:tc>
          <w:tcPr>
            <w:tcW w:w="1174" w:type="pct"/>
            <w:vAlign w:val="center"/>
          </w:tcPr>
          <w:p>
            <w:pPr>
              <w:spacing w:line="240" w:lineRule="auto"/>
              <w:ind w:firstLine="0" w:firstLineChars="0"/>
              <w:jc w:val="center"/>
              <w:rPr>
                <w:rFonts w:hint="default" w:ascii="Times New Roman" w:hAnsi="Times New Roman" w:eastAsia="宋体" w:cs="Times New Roman"/>
                <w:b w:val="0"/>
                <w:bCs/>
                <w:color w:val="auto"/>
                <w:sz w:val="21"/>
                <w:szCs w:val="21"/>
              </w:rPr>
            </w:pPr>
            <w:r>
              <w:rPr>
                <w:rFonts w:hint="default" w:ascii="Times New Roman" w:hAnsi="Times New Roman" w:eastAsia="宋体" w:cs="Times New Roman"/>
                <w:b w:val="0"/>
                <w:bCs/>
                <w:color w:val="auto"/>
                <w:sz w:val="21"/>
                <w:szCs w:val="21"/>
                <w:lang w:val="en-US" w:eastAsia="zh-CN"/>
              </w:rPr>
              <w:t>颗粒物</w:t>
            </w:r>
            <w:r>
              <w:rPr>
                <w:rFonts w:hint="eastAsia" w:ascii="Times New Roman" w:hAnsi="Times New Roman" w:eastAsia="宋体" w:cs="Times New Roman"/>
                <w:b w:val="0"/>
                <w:bCs/>
                <w:color w:val="auto"/>
                <w:sz w:val="21"/>
                <w:szCs w:val="21"/>
                <w:lang w:val="en-US" w:eastAsia="zh-CN"/>
              </w:rPr>
              <w:t>、</w:t>
            </w:r>
            <w:r>
              <w:rPr>
                <w:rFonts w:hint="default" w:ascii="Times New Roman" w:hAnsi="Times New Roman" w:eastAsia="宋体" w:cs="Times New Roman"/>
                <w:b w:val="0"/>
                <w:bCs/>
                <w:color w:val="auto"/>
                <w:sz w:val="21"/>
                <w:szCs w:val="21"/>
                <w:lang w:val="en-US" w:eastAsia="zh-CN"/>
              </w:rPr>
              <w:t>SO</w:t>
            </w:r>
            <w:r>
              <w:rPr>
                <w:rFonts w:hint="default" w:ascii="Times New Roman" w:hAnsi="Times New Roman" w:eastAsia="宋体" w:cs="Times New Roman"/>
                <w:b w:val="0"/>
                <w:bCs/>
                <w:color w:val="auto"/>
                <w:sz w:val="21"/>
                <w:szCs w:val="21"/>
                <w:vertAlign w:val="subscript"/>
                <w:lang w:val="en-US" w:eastAsia="zh-CN"/>
              </w:rPr>
              <w:t>2</w:t>
            </w:r>
            <w:r>
              <w:rPr>
                <w:rFonts w:hint="eastAsia" w:ascii="Times New Roman" w:hAnsi="Times New Roman" w:eastAsia="宋体" w:cs="Times New Roman"/>
                <w:b w:val="0"/>
                <w:bCs/>
                <w:color w:val="auto"/>
                <w:sz w:val="21"/>
                <w:szCs w:val="21"/>
                <w:lang w:val="en-US" w:eastAsia="zh-CN"/>
              </w:rPr>
              <w:t>、</w:t>
            </w:r>
            <w:r>
              <w:rPr>
                <w:rFonts w:hint="default" w:ascii="Times New Roman" w:hAnsi="Times New Roman" w:eastAsia="宋体" w:cs="Times New Roman"/>
                <w:b w:val="0"/>
                <w:bCs/>
                <w:color w:val="auto"/>
                <w:sz w:val="21"/>
                <w:szCs w:val="21"/>
                <w:lang w:val="en-US" w:eastAsia="zh-CN"/>
              </w:rPr>
              <w:t>NO</w:t>
            </w:r>
            <w:r>
              <w:rPr>
                <w:rFonts w:hint="default" w:ascii="Times New Roman" w:hAnsi="Times New Roman" w:eastAsia="宋体" w:cs="Times New Roman"/>
                <w:b w:val="0"/>
                <w:bCs/>
                <w:color w:val="auto"/>
                <w:sz w:val="21"/>
                <w:szCs w:val="21"/>
                <w:vertAlign w:val="subscript"/>
                <w:lang w:val="en-US" w:eastAsia="zh-CN"/>
              </w:rPr>
              <w:t>X</w:t>
            </w:r>
          </w:p>
        </w:tc>
        <w:tc>
          <w:tcPr>
            <w:tcW w:w="1692" w:type="pct"/>
            <w:vAlign w:val="center"/>
          </w:tcPr>
          <w:p>
            <w:pPr>
              <w:spacing w:line="240" w:lineRule="auto"/>
              <w:ind w:firstLine="0" w:firstLineChars="0"/>
              <w:jc w:val="center"/>
              <w:rPr>
                <w:rFonts w:hint="default" w:ascii="Times New Roman" w:hAnsi="Times New Roman" w:eastAsia="宋体" w:cs="Times New Roman"/>
                <w:b w:val="0"/>
                <w:bCs/>
                <w:color w:val="auto"/>
                <w:sz w:val="21"/>
                <w:szCs w:val="21"/>
              </w:rPr>
            </w:pPr>
            <w:r>
              <w:rPr>
                <w:rFonts w:hint="eastAsia" w:ascii="Times New Roman" w:hAnsi="Times New Roman" w:eastAsia="宋体" w:cs="Times New Roman"/>
                <w:b w:val="0"/>
                <w:bCs/>
                <w:color w:val="auto"/>
                <w:sz w:val="21"/>
                <w:szCs w:val="21"/>
                <w:lang w:val="en-US" w:eastAsia="zh-CN"/>
              </w:rPr>
              <w:t>天然气废气排气筒出口</w:t>
            </w:r>
          </w:p>
        </w:tc>
        <w:tc>
          <w:tcPr>
            <w:tcW w:w="658" w:type="pct"/>
            <w:vAlign w:val="center"/>
          </w:tcPr>
          <w:p>
            <w:pPr>
              <w:spacing w:line="240" w:lineRule="auto"/>
              <w:ind w:firstLine="0" w:firstLineChars="0"/>
              <w:jc w:val="center"/>
              <w:rPr>
                <w:rFonts w:hint="default" w:ascii="Times New Roman" w:hAnsi="Times New Roman" w:eastAsia="宋体" w:cs="Times New Roman"/>
                <w:b w:val="0"/>
                <w:bCs/>
                <w:color w:val="auto"/>
                <w:sz w:val="21"/>
                <w:szCs w:val="21"/>
              </w:rPr>
            </w:pPr>
            <w:r>
              <w:rPr>
                <w:rFonts w:hint="default" w:ascii="Times New Roman" w:hAnsi="Times New Roman" w:eastAsia="宋体" w:cs="Times New Roman"/>
                <w:b w:val="0"/>
                <w:bCs/>
                <w:color w:val="auto"/>
                <w:sz w:val="21"/>
                <w:szCs w:val="21"/>
              </w:rPr>
              <w:t>Q</w:t>
            </w:r>
            <w:r>
              <w:rPr>
                <w:rFonts w:hint="eastAsia" w:ascii="Times New Roman" w:hAnsi="Times New Roman" w:eastAsia="宋体" w:cs="Times New Roman"/>
                <w:b w:val="0"/>
                <w:bCs/>
                <w:color w:val="auto"/>
                <w:sz w:val="21"/>
                <w:szCs w:val="21"/>
                <w:lang w:val="en-US" w:eastAsia="zh-CN"/>
              </w:rPr>
              <w:t>3</w:t>
            </w:r>
            <w:r>
              <w:rPr>
                <w:rFonts w:hint="default" w:ascii="Times New Roman" w:hAnsi="Times New Roman" w:eastAsia="宋体" w:cs="Times New Roman"/>
                <w:b w:val="0"/>
                <w:bCs/>
                <w:color w:val="auto"/>
                <w:sz w:val="21"/>
                <w:szCs w:val="21"/>
              </w:rPr>
              <w:t>、Q</w:t>
            </w:r>
            <w:r>
              <w:rPr>
                <w:rFonts w:hint="eastAsia" w:ascii="Times New Roman" w:hAnsi="Times New Roman" w:eastAsia="宋体" w:cs="Times New Roman"/>
                <w:b w:val="0"/>
                <w:bCs/>
                <w:color w:val="auto"/>
                <w:sz w:val="21"/>
                <w:szCs w:val="21"/>
                <w:lang w:val="en-US" w:eastAsia="zh-CN"/>
              </w:rPr>
              <w:t>4</w:t>
            </w:r>
          </w:p>
        </w:tc>
        <w:tc>
          <w:tcPr>
            <w:tcW w:w="607" w:type="pct"/>
            <w:vMerge w:val="continue"/>
            <w:vAlign w:val="center"/>
          </w:tcPr>
          <w:p>
            <w:pPr>
              <w:spacing w:line="240" w:lineRule="auto"/>
              <w:ind w:firstLine="0" w:firstLineChars="0"/>
              <w:jc w:val="center"/>
              <w:rPr>
                <w:rFonts w:hint="default" w:ascii="Times New Roman" w:hAnsi="Times New Roman" w:eastAsia="宋体" w:cs="Times New Roman"/>
                <w:bCs/>
                <w:color w:val="FF0000"/>
                <w:sz w:val="21"/>
                <w:szCs w:val="21"/>
              </w:rPr>
            </w:pPr>
          </w:p>
        </w:tc>
      </w:tr>
    </w:tbl>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（2）无组织废气</w:t>
      </w:r>
    </w:p>
    <w:p>
      <w:pPr>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无组织废气监测点位、监测因子及监测频次详见表7-3。</w:t>
      </w:r>
    </w:p>
    <w:p>
      <w:pPr>
        <w:pStyle w:val="29"/>
        <w:keepNext w:val="0"/>
        <w:keepLines w:val="0"/>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表7-3  无组织废气分析项目和采样频次一览表</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3389"/>
        <w:gridCol w:w="2666"/>
        <w:gridCol w:w="171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tcBorders>
              <w:tl2br w:val="nil"/>
              <w:tr2bl w:val="nil"/>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测点号</w:t>
            </w:r>
          </w:p>
        </w:tc>
        <w:tc>
          <w:tcPr>
            <w:tcW w:w="1867" w:type="pct"/>
            <w:tcBorders>
              <w:tl2br w:val="nil"/>
              <w:tr2bl w:val="nil"/>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位置</w:t>
            </w:r>
          </w:p>
        </w:tc>
        <w:tc>
          <w:tcPr>
            <w:tcW w:w="1469" w:type="pct"/>
            <w:tcBorders>
              <w:tl2br w:val="nil"/>
              <w:tr2bl w:val="nil"/>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分析项目</w:t>
            </w:r>
          </w:p>
        </w:tc>
        <w:tc>
          <w:tcPr>
            <w:tcW w:w="947" w:type="pct"/>
            <w:tcBorders>
              <w:tl2br w:val="nil"/>
              <w:tr2bl w:val="nil"/>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采样频次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1867"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厂区上风向，厂界外1m</w:t>
            </w:r>
          </w:p>
        </w:tc>
        <w:tc>
          <w:tcPr>
            <w:tcW w:w="1469" w:type="pct"/>
            <w:vMerge w:val="restar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乙酸乙酯</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甲苯</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甲醇</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非甲烷总烃</w:t>
            </w:r>
          </w:p>
        </w:tc>
        <w:tc>
          <w:tcPr>
            <w:tcW w:w="947" w:type="pct"/>
            <w:vMerge w:val="restar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3次/天，连续2天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1867"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厂区下风向，厂界外1m</w:t>
            </w:r>
          </w:p>
        </w:tc>
        <w:tc>
          <w:tcPr>
            <w:tcW w:w="1469" w:type="pct"/>
            <w:vMerge w:val="continue"/>
            <w:tcBorders>
              <w:tl2br w:val="nil"/>
              <w:tr2bl w:val="nil"/>
            </w:tcBorders>
            <w:vAlign w:val="center"/>
          </w:tcPr>
          <w:p>
            <w:pPr>
              <w:pStyle w:val="28"/>
              <w:rPr>
                <w:rFonts w:hint="default" w:ascii="Times New Roman" w:hAnsi="Times New Roman" w:eastAsia="宋体" w:cs="Times New Roman"/>
                <w:color w:val="auto"/>
                <w:sz w:val="21"/>
                <w:szCs w:val="21"/>
              </w:rPr>
            </w:pPr>
          </w:p>
        </w:tc>
        <w:tc>
          <w:tcPr>
            <w:tcW w:w="947" w:type="pct"/>
            <w:vMerge w:val="continue"/>
            <w:tcBorders>
              <w:tl2br w:val="nil"/>
              <w:tr2bl w:val="nil"/>
            </w:tcBorders>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1867"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厂区下风向，厂界外1m</w:t>
            </w:r>
          </w:p>
        </w:tc>
        <w:tc>
          <w:tcPr>
            <w:tcW w:w="1469" w:type="pct"/>
            <w:vMerge w:val="continue"/>
            <w:tcBorders>
              <w:tl2br w:val="nil"/>
              <w:tr2bl w:val="nil"/>
            </w:tcBorders>
            <w:vAlign w:val="center"/>
          </w:tcPr>
          <w:p>
            <w:pPr>
              <w:pStyle w:val="28"/>
              <w:rPr>
                <w:rFonts w:hint="default" w:ascii="Times New Roman" w:hAnsi="Times New Roman" w:eastAsia="宋体" w:cs="Times New Roman"/>
                <w:color w:val="auto"/>
                <w:sz w:val="21"/>
                <w:szCs w:val="21"/>
              </w:rPr>
            </w:pPr>
          </w:p>
        </w:tc>
        <w:tc>
          <w:tcPr>
            <w:tcW w:w="947" w:type="pct"/>
            <w:vMerge w:val="continue"/>
            <w:tcBorders>
              <w:tl2br w:val="nil"/>
              <w:tr2bl w:val="nil"/>
            </w:tcBorders>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w:t>
            </w:r>
          </w:p>
        </w:tc>
        <w:tc>
          <w:tcPr>
            <w:tcW w:w="1867"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厂区下风向，厂界外1m</w:t>
            </w:r>
          </w:p>
        </w:tc>
        <w:tc>
          <w:tcPr>
            <w:tcW w:w="1469" w:type="pct"/>
            <w:vMerge w:val="continue"/>
            <w:tcBorders>
              <w:tl2br w:val="nil"/>
              <w:tr2bl w:val="nil"/>
            </w:tcBorders>
            <w:vAlign w:val="center"/>
          </w:tcPr>
          <w:p>
            <w:pPr>
              <w:pStyle w:val="28"/>
              <w:rPr>
                <w:rFonts w:hint="default" w:ascii="Times New Roman" w:hAnsi="Times New Roman" w:eastAsia="宋体" w:cs="Times New Roman"/>
                <w:color w:val="auto"/>
                <w:sz w:val="21"/>
                <w:szCs w:val="21"/>
              </w:rPr>
            </w:pPr>
          </w:p>
        </w:tc>
        <w:tc>
          <w:tcPr>
            <w:tcW w:w="947" w:type="pct"/>
            <w:vMerge w:val="continue"/>
            <w:tcBorders>
              <w:tl2br w:val="nil"/>
              <w:tr2bl w:val="nil"/>
            </w:tcBorders>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p>
        </w:tc>
        <w:tc>
          <w:tcPr>
            <w:tcW w:w="1867"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厂区内，车间外1m</w:t>
            </w:r>
          </w:p>
        </w:tc>
        <w:tc>
          <w:tcPr>
            <w:tcW w:w="1469"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非甲烷总烃</w:t>
            </w:r>
          </w:p>
        </w:tc>
        <w:tc>
          <w:tcPr>
            <w:tcW w:w="947" w:type="pct"/>
            <w:tcBorders>
              <w:tl2br w:val="nil"/>
              <w:tr2bl w:val="nil"/>
            </w:tcBorders>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3次/天，2天</w:t>
            </w:r>
          </w:p>
        </w:tc>
      </w:tr>
    </w:tbl>
    <w:p>
      <w:pPr>
        <w:pStyle w:val="4"/>
        <w:pageBreakBefore w:val="0"/>
        <w:widowControl w:val="0"/>
        <w:kinsoku/>
        <w:wordWrap/>
        <w:overflowPunct/>
        <w:topLinePunct w:val="0"/>
        <w:autoSpaceDE w:val="0"/>
        <w:autoSpaceDN w:val="0"/>
        <w:bidi w:val="0"/>
        <w:adjustRightInd/>
        <w:snapToGrid/>
        <w:spacing w:beforeLines="0" w:afterLines="0"/>
        <w:textAlignment w:val="auto"/>
        <w:rPr>
          <w:rFonts w:hint="default" w:ascii="Times New Roman" w:hAnsi="Times New Roman" w:eastAsia="宋体" w:cs="Times New Roman"/>
          <w:color w:val="auto"/>
        </w:rPr>
      </w:pPr>
      <w:bookmarkStart w:id="43" w:name="_Toc25455"/>
      <w:r>
        <w:rPr>
          <w:rFonts w:hint="default" w:ascii="Times New Roman" w:hAnsi="Times New Roman" w:eastAsia="宋体" w:cs="Times New Roman"/>
          <w:color w:val="auto"/>
        </w:rPr>
        <w:t>7.3 噪声</w:t>
      </w:r>
      <w:bookmarkEnd w:id="43"/>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Times New Roman" w:hAnsi="Times New Roman" w:eastAsia="宋体"/>
          <w:b/>
          <w:bCs/>
          <w:color w:val="auto"/>
          <w:sz w:val="21"/>
          <w:szCs w:val="21"/>
        </w:rPr>
      </w:pPr>
      <w:r>
        <w:rPr>
          <w:rFonts w:ascii="Times New Roman" w:hAnsi="Times New Roman" w:eastAsia="宋体"/>
          <w:color w:val="auto"/>
          <w:sz w:val="21"/>
          <w:szCs w:val="21"/>
        </w:rPr>
        <w:t>根据声源分布和项目周边情况，噪声监测分别在厂</w:t>
      </w:r>
      <w:r>
        <w:rPr>
          <w:rFonts w:hint="eastAsia" w:ascii="Times New Roman" w:hAnsi="Times New Roman" w:eastAsia="宋体"/>
          <w:color w:val="auto"/>
          <w:sz w:val="21"/>
          <w:szCs w:val="21"/>
        </w:rPr>
        <w:t>界东侧</w:t>
      </w:r>
      <w:r>
        <w:rPr>
          <w:rFonts w:ascii="Times New Roman" w:hAnsi="Times New Roman" w:eastAsia="宋体"/>
          <w:color w:val="auto"/>
          <w:sz w:val="21"/>
          <w:szCs w:val="21"/>
        </w:rPr>
        <w:t>、南</w:t>
      </w:r>
      <w:r>
        <w:rPr>
          <w:rFonts w:hint="eastAsia" w:ascii="Times New Roman" w:hAnsi="Times New Roman" w:eastAsia="宋体"/>
          <w:color w:val="auto"/>
          <w:sz w:val="21"/>
          <w:szCs w:val="21"/>
        </w:rPr>
        <w:t>侧</w:t>
      </w:r>
      <w:r>
        <w:rPr>
          <w:rFonts w:ascii="Times New Roman" w:hAnsi="Times New Roman" w:eastAsia="宋体"/>
          <w:color w:val="auto"/>
          <w:sz w:val="21"/>
          <w:szCs w:val="21"/>
        </w:rPr>
        <w:t>、西</w:t>
      </w:r>
      <w:r>
        <w:rPr>
          <w:rFonts w:hint="eastAsia" w:ascii="Times New Roman" w:hAnsi="Times New Roman" w:eastAsia="宋体"/>
          <w:color w:val="auto"/>
          <w:sz w:val="21"/>
          <w:szCs w:val="21"/>
        </w:rPr>
        <w:t>侧</w:t>
      </w:r>
      <w:r>
        <w:rPr>
          <w:rFonts w:ascii="Times New Roman" w:hAnsi="Times New Roman" w:eastAsia="宋体"/>
          <w:color w:val="auto"/>
          <w:sz w:val="21"/>
          <w:szCs w:val="21"/>
        </w:rPr>
        <w:t>、北</w:t>
      </w:r>
      <w:r>
        <w:rPr>
          <w:rFonts w:hint="eastAsia" w:ascii="Times New Roman" w:hAnsi="Times New Roman" w:eastAsia="宋体"/>
          <w:color w:val="auto"/>
          <w:sz w:val="21"/>
          <w:szCs w:val="21"/>
        </w:rPr>
        <w:t>侧</w:t>
      </w:r>
      <w:r>
        <w:rPr>
          <w:rFonts w:ascii="Times New Roman" w:hAnsi="Times New Roman" w:eastAsia="宋体"/>
          <w:color w:val="auto"/>
          <w:sz w:val="21"/>
          <w:szCs w:val="21"/>
        </w:rPr>
        <w:t>设置4个监测点。噪声监测点位、因子和频次见表6-3，监测点位布设见附图。</w:t>
      </w:r>
    </w:p>
    <w:p>
      <w:pPr>
        <w:pStyle w:val="11"/>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Times New Roman" w:hAnsi="Times New Roman" w:eastAsia="宋体"/>
          <w:b/>
          <w:bCs/>
          <w:color w:val="auto"/>
          <w:sz w:val="21"/>
          <w:szCs w:val="21"/>
        </w:rPr>
      </w:pPr>
      <w:r>
        <w:rPr>
          <w:rFonts w:ascii="Times New Roman" w:hAnsi="Times New Roman" w:eastAsia="宋体"/>
          <w:b/>
          <w:bCs/>
          <w:color w:val="auto"/>
          <w:sz w:val="21"/>
          <w:szCs w:val="21"/>
        </w:rPr>
        <w:t>表6-3 噪声监测</w:t>
      </w:r>
      <w:r>
        <w:rPr>
          <w:rFonts w:hint="eastAsia" w:ascii="Times New Roman" w:hAnsi="Times New Roman" w:eastAsia="宋体"/>
          <w:b/>
          <w:bCs/>
          <w:color w:val="auto"/>
          <w:sz w:val="21"/>
          <w:szCs w:val="21"/>
        </w:rPr>
        <w:t>内容一览表</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2428"/>
        <w:gridCol w:w="3099"/>
        <w:gridCol w:w="228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6" w:type="pct"/>
            <w:noWrap w:val="0"/>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噪声种类</w:t>
            </w:r>
          </w:p>
        </w:tc>
        <w:tc>
          <w:tcPr>
            <w:tcW w:w="1338" w:type="pct"/>
            <w:noWrap w:val="0"/>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监测点位</w:t>
            </w:r>
          </w:p>
        </w:tc>
        <w:tc>
          <w:tcPr>
            <w:tcW w:w="1708" w:type="pct"/>
            <w:noWrap w:val="0"/>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监测项目</w:t>
            </w:r>
          </w:p>
        </w:tc>
        <w:tc>
          <w:tcPr>
            <w:tcW w:w="1256" w:type="pct"/>
            <w:noWrap w:val="0"/>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6" w:type="pct"/>
            <w:noWrap w:val="0"/>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厂界噪声</w:t>
            </w:r>
          </w:p>
        </w:tc>
        <w:tc>
          <w:tcPr>
            <w:tcW w:w="1338" w:type="pct"/>
            <w:noWrap w:val="0"/>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沿项目厂界共布设4个监测点，编为</w:t>
            </w:r>
            <w:r>
              <w:rPr>
                <w:rFonts w:hint="eastAsia" w:ascii="Times New Roman" w:hAnsi="Times New Roman" w:eastAsia="宋体" w:cs="Times New Roman"/>
                <w:color w:val="auto"/>
                <w:sz w:val="21"/>
                <w:szCs w:val="21"/>
              </w:rPr>
              <w:t>Z1~Z4</w:t>
            </w:r>
          </w:p>
        </w:tc>
        <w:tc>
          <w:tcPr>
            <w:tcW w:w="1708" w:type="pct"/>
            <w:noWrap w:val="0"/>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昼间噪声等效声级（Leq）、</w:t>
            </w:r>
          </w:p>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夜间噪声等效声级（Leq）</w:t>
            </w:r>
          </w:p>
        </w:tc>
        <w:tc>
          <w:tcPr>
            <w:tcW w:w="1256" w:type="pct"/>
            <w:noWrap w:val="0"/>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昼</w:t>
            </w:r>
            <w:r>
              <w:rPr>
                <w:rFonts w:hint="eastAsia" w:ascii="Times New Roman" w:hAnsi="Times New Roman" w:eastAsia="宋体" w:cs="Times New Roman"/>
                <w:color w:val="auto"/>
                <w:sz w:val="21"/>
                <w:szCs w:val="21"/>
              </w:rPr>
              <w:t>夜</w:t>
            </w:r>
            <w:r>
              <w:rPr>
                <w:rFonts w:hint="default" w:ascii="Times New Roman" w:hAnsi="Times New Roman" w:eastAsia="宋体" w:cs="Times New Roman"/>
                <w:color w:val="auto"/>
                <w:sz w:val="21"/>
                <w:szCs w:val="21"/>
              </w:rPr>
              <w:t>间</w:t>
            </w:r>
            <w:r>
              <w:rPr>
                <w:rFonts w:hint="eastAsia" w:ascii="Times New Roman" w:hAnsi="Times New Roman" w:eastAsia="宋体" w:cs="Times New Roman"/>
                <w:color w:val="auto"/>
                <w:sz w:val="21"/>
                <w:szCs w:val="21"/>
              </w:rPr>
              <w:t>各</w:t>
            </w:r>
            <w:r>
              <w:rPr>
                <w:rFonts w:hint="default" w:ascii="Times New Roman" w:hAnsi="Times New Roman" w:eastAsia="宋体" w:cs="Times New Roman"/>
                <w:color w:val="auto"/>
                <w:sz w:val="21"/>
                <w:szCs w:val="21"/>
              </w:rPr>
              <w:t>监测1次，</w:t>
            </w:r>
          </w:p>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连续监测2天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696" w:type="pct"/>
            <w:noWrap w:val="0"/>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备注</w:t>
            </w:r>
          </w:p>
        </w:tc>
        <w:tc>
          <w:tcPr>
            <w:tcW w:w="4303" w:type="pct"/>
            <w:gridSpan w:val="3"/>
            <w:noWrap w:val="0"/>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噪声监测尽量回避外界噪声源影响。必要时，监测背景噪声值并按规范要求进行修正。</w:t>
            </w:r>
          </w:p>
        </w:tc>
      </w:tr>
    </w:tbl>
    <w:p>
      <w:pPr>
        <w:pStyle w:val="3"/>
        <w:spacing w:before="156" w:after="156"/>
        <w:rPr>
          <w:rFonts w:hint="default" w:ascii="Times New Roman" w:hAnsi="Times New Roman" w:eastAsia="宋体" w:cs="Times New Roman"/>
          <w:color w:val="FF0000"/>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3"/>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44" w:name="_Toc14996"/>
      <w:r>
        <w:rPr>
          <w:rFonts w:hint="default" w:ascii="Times New Roman" w:hAnsi="Times New Roman" w:eastAsia="宋体" w:cs="Times New Roman"/>
          <w:color w:val="auto"/>
        </w:rPr>
        <w:t>8 质量保证和质量控制</w:t>
      </w:r>
      <w:bookmarkEnd w:id="44"/>
    </w:p>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45" w:name="_Toc13774"/>
      <w:r>
        <w:rPr>
          <w:rFonts w:hint="default" w:ascii="Times New Roman" w:hAnsi="Times New Roman" w:eastAsia="宋体" w:cs="Times New Roman"/>
          <w:color w:val="auto"/>
        </w:rPr>
        <w:t>8.1 监测分析方法与监测仪器</w:t>
      </w:r>
      <w:bookmarkEnd w:id="45"/>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表8-1  验收监测分析方法及检测仪器</w:t>
      </w:r>
    </w:p>
    <w:tbl>
      <w:tblPr>
        <w:tblStyle w:val="39"/>
        <w:tblW w:w="5023" w:type="pct"/>
        <w:jc w:val="center"/>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647"/>
        <w:gridCol w:w="809"/>
        <w:gridCol w:w="3098"/>
        <w:gridCol w:w="1323"/>
        <w:gridCol w:w="1677"/>
        <w:gridCol w:w="1514"/>
      </w:tblGrid>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35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检测类别</w:t>
            </w: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检测项目</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检测方法</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仪器名称</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仪器型号</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仪器编号</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356" w:type="pct"/>
            <w:vMerge w:val="restar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有组织废气</w:t>
            </w: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乙酸乙酯</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固定污染源废气挥发性有机物的测定</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固相吸附-热脱附</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气相色谱-质谱法 HJ 734-2014</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气相色谱仪</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Agilent7890B</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JSLT-AE-0002</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甲苯</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固定污染源废气挥发性有机物的测定</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固相吸附-热脱附／气相色谱-质谱法 HJ 734-2014</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气相色谱仪</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Agilent7890B</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JSLT-AE-0002</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甲醇</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气相色谱法《空气与废气监测分析方法》</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（第四版增补版）国家环保总局 2003年6.1.6.1</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气相色谱仪</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Agilent7820A</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JSLT-AE-0004</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非甲烷总烃</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固定污染源废气挥发性有机物的测定</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固相吸附-热脱附</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气相色谱-质谱法 HJ 734-2014</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气质联用仪</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Agilent7890B-5977B</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JSLT-AE-0001</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颗粒物</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固定污染源废气 低浓度颗粒物的测定 重量法</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HJ 836-2017</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万分之一天平</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FA2104</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JSLT-AE-0161</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SO</w:t>
            </w:r>
            <w:r>
              <w:rPr>
                <w:rFonts w:hint="default" w:ascii="Times New Roman" w:hAnsi="Times New Roman" w:eastAsia="宋体" w:cs="Times New Roman"/>
                <w:color w:val="auto"/>
                <w:sz w:val="21"/>
                <w:szCs w:val="21"/>
                <w:vertAlign w:val="subscript"/>
                <w:lang w:val="en-US" w:eastAsia="zh-CN"/>
              </w:rPr>
              <w:t>2</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固定污染源废气 二氧化硫的测定 定电位电解法</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HJ 57-2017</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自动烟尘烟气测试仪（新08代）</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崂应3012H型</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JSLT-SE-0007、JSLT-SE-0065</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NO</w:t>
            </w:r>
            <w:r>
              <w:rPr>
                <w:rFonts w:hint="default" w:ascii="Times New Roman" w:hAnsi="Times New Roman" w:eastAsia="宋体" w:cs="Times New Roman"/>
                <w:color w:val="auto"/>
                <w:sz w:val="21"/>
                <w:szCs w:val="21"/>
                <w:vertAlign w:val="subscript"/>
                <w:lang w:val="en-US" w:eastAsia="zh-CN"/>
              </w:rPr>
              <w:t>X</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固定污染源废气 氮氧化物的测定 定电位电解法</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HJ 693-2014</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自动烟尘烟气测试仪（新08代）</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崂应3012H型</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JSLT-SE-0007、JSLT-SE-0065</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356" w:type="pct"/>
            <w:vMerge w:val="restar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无组织废气</w:t>
            </w: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乙酸乙酯</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《环境空气 总悬浮颗粒物的测定 重量法》（GB/T</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15432-1995）及修改单（生态环境部公告 2018 年第 31 号）</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电子天平</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FA2204B</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MST-01-07</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甲苯</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环境空气 挥发性有机物的测定</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吸附管采样-热脱附/气相色谱-质谱法 HJ 644-2013</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气相色谱仪</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Agilent7890B</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JSLT-AE-0002</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甲醇</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气相色谱法《空气与废气监测分析方法》</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（第四版增补版）国家环保总局 2003年6.1.6.1</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气相色谱仪</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Agilent7820A</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JSLT-AE-0004</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56"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非甲烷总烃</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环境空气 挥发性有机物的测定</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吸附管采样-热脱附/气相色谱-质谱法 HJ 644-2013</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气质联用仪</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Agilent7890B-5977B</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JSLT-AE-0001</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356" w:type="pct"/>
            <w:vMerge w:val="restar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w:t>
            </w: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pH 值</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《水质 pH 值的测定 电极法</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（HJ 1147-2020）</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便携式 PH 计</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PHBJ-260</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MST-15-56</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en-US"/>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化学</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需氧量</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《水质 化学需氧量的测定 重</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铬酸盐法》（HJ 828-2017）</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滴定管</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50ml</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89"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en-US"/>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悬浮物</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《水质 悬浮物的测定 重量</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法》（GB/T 11901-1989）</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电子天平</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FA2204B</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MST-01-07</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en-US"/>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氨氮</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《水质 氨氮的测定 纳氏试剂</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分光光度法》 （HJ 535-2009</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紫外可见分光</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eastAsia="zh-CN"/>
              </w:rPr>
              <w:tab/>
            </w:r>
            <w:r>
              <w:rPr>
                <w:rFonts w:hint="default" w:ascii="Times New Roman" w:hAnsi="Times New Roman" w:eastAsia="宋体" w:cs="Times New Roman"/>
                <w:color w:val="auto"/>
                <w:sz w:val="21"/>
                <w:szCs w:val="21"/>
                <w:lang w:eastAsia="zh-CN"/>
              </w:rPr>
              <w:t>光度计</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UV-1800</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MST-03-02</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6"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en-US"/>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总磷</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《水质 总磷的测定 钼酸铵分</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光光度法》（GB/T 11893-1989</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紫外可见分光</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eastAsia="zh-CN"/>
              </w:rPr>
              <w:tab/>
            </w:r>
            <w:r>
              <w:rPr>
                <w:rFonts w:hint="default" w:ascii="Times New Roman" w:hAnsi="Times New Roman" w:eastAsia="宋体" w:cs="Times New Roman"/>
                <w:color w:val="auto"/>
                <w:sz w:val="21"/>
                <w:szCs w:val="21"/>
                <w:lang w:eastAsia="zh-CN"/>
              </w:rPr>
              <w:t>光度计</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UV-1800</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MST-03-02</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356" w:type="pct"/>
            <w:vMerge w:val="continue"/>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en-US"/>
              </w:rPr>
            </w:pP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总氮</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《水质 总氮的测定 碱性过硫</w:t>
            </w:r>
          </w:p>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酸钾消解紫外分光光度法》（HJ 636-2012）</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紫外可见分光光度计</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SP-756P</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en-US"/>
              </w:rPr>
            </w:pPr>
            <w:r>
              <w:rPr>
                <w:rFonts w:hint="default" w:ascii="Times New Roman" w:hAnsi="Times New Roman" w:eastAsia="宋体" w:cs="Times New Roman"/>
                <w:color w:val="auto"/>
                <w:sz w:val="21"/>
                <w:szCs w:val="21"/>
              </w:rPr>
              <w:t>MST-03-09</w:t>
            </w:r>
          </w:p>
        </w:tc>
      </w:tr>
      <w:tr>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35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eastAsia="en-US"/>
              </w:rPr>
            </w:pPr>
            <w:r>
              <w:rPr>
                <w:rFonts w:hint="default" w:ascii="Times New Roman" w:hAnsi="Times New Roman" w:eastAsia="宋体" w:cs="Times New Roman"/>
                <w:color w:val="auto"/>
                <w:sz w:val="21"/>
                <w:szCs w:val="21"/>
                <w:lang w:eastAsia="zh-CN"/>
              </w:rPr>
              <w:t>噪声</w:t>
            </w:r>
          </w:p>
        </w:tc>
        <w:tc>
          <w:tcPr>
            <w:tcW w:w="446"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工业企业厂界环境噪声</w:t>
            </w:r>
          </w:p>
        </w:tc>
        <w:tc>
          <w:tcPr>
            <w:tcW w:w="1708"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《工业企业厂界环境噪声排放标准》（GB 12348-2008）</w:t>
            </w:r>
          </w:p>
        </w:tc>
        <w:tc>
          <w:tcPr>
            <w:tcW w:w="729"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多功能省级计</w:t>
            </w:r>
          </w:p>
        </w:tc>
        <w:tc>
          <w:tcPr>
            <w:tcW w:w="92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AWA5688</w:t>
            </w:r>
          </w:p>
        </w:tc>
        <w:tc>
          <w:tcPr>
            <w:tcW w:w="834" w:type="pct"/>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MST-14-20</w:t>
            </w:r>
          </w:p>
        </w:tc>
      </w:tr>
    </w:tbl>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46" w:name="_Toc22481"/>
      <w:r>
        <w:rPr>
          <w:rFonts w:hint="default" w:ascii="Times New Roman" w:hAnsi="Times New Roman" w:eastAsia="宋体" w:cs="Times New Roman"/>
          <w:color w:val="auto"/>
        </w:rPr>
        <w:t>8.2 人员能力</w:t>
      </w:r>
      <w:bookmarkEnd w:id="46"/>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参加本项目竣工验收监测采样和测试的人员，均考核合格并持证上岗；验收报告编制人员具有中国环境监测总站颁发的验收培训合格证。</w:t>
      </w:r>
    </w:p>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47" w:name="_Toc13729"/>
      <w:r>
        <w:rPr>
          <w:rFonts w:hint="default" w:ascii="Times New Roman" w:hAnsi="Times New Roman" w:eastAsia="宋体" w:cs="Times New Roman"/>
          <w:color w:val="auto"/>
        </w:rPr>
        <w:t>8.3 水质监测分析过程中的质量保证和质量控制</w:t>
      </w:r>
      <w:bookmarkEnd w:id="47"/>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本次废水监测的质量保证严格按照编制的《质量手册》、《程序文件》等质量体系文件的要求，实施全过程质量控制。废水监测仪器符合国家有关标准或技术要求。采样、运输、保存、分析全过程严格按照HJ 91.1-2019《污水监测技术规范》的要求采集、保存样品，并认真填写采样现场记录，实验室实行交接样制度，统一编号分析。实验室分析人员按分析质量控制规定，严格按照标准要求加测相应比例的平行样、质控、加标回收、空白实验等质控措施。</w:t>
      </w:r>
    </w:p>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48" w:name="_Toc5082"/>
      <w:r>
        <w:rPr>
          <w:rFonts w:hint="default" w:ascii="Times New Roman" w:hAnsi="Times New Roman" w:eastAsia="宋体" w:cs="Times New Roman"/>
          <w:color w:val="auto"/>
        </w:rPr>
        <w:t>8.4 气体监测分析过程中的质量保证和质量控制</w:t>
      </w:r>
      <w:bookmarkEnd w:id="48"/>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本次废气监测的质量保证严格按照编制的《质量手册》、《程序文件》等质量体系文件的要求，实施全过程质量控制。废气监测仪器均符合国家有关标准或技术要求，监测前对使用的仪器均进行流量校准，按规定对废气测试仪进行现场检漏，采样和分析过程严格按照HJ/T397-2007《固定源废气监测技术规范》、GB/T 16157-1996《固定污染源排气中颗粒物测定与气态污染物采样方法》及修改单、无组织按照HT/T55-2000《大气污染物无组织排放监测技术导则》进行监测。</w:t>
      </w:r>
    </w:p>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49" w:name="_Toc2208"/>
      <w:r>
        <w:rPr>
          <w:rFonts w:hint="default" w:ascii="Times New Roman" w:hAnsi="Times New Roman" w:eastAsia="宋体" w:cs="Times New Roman"/>
          <w:color w:val="auto"/>
        </w:rPr>
        <w:t>8.5 噪声监测过程中的质量保证和质量控制</w:t>
      </w:r>
      <w:bookmarkEnd w:id="49"/>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噪声仪在使用前后用声校准器校准，校准读数偏差不大于0.5分贝。噪声质量控制表见下表。</w:t>
      </w:r>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表8-</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 xml:space="preserve">  噪声质量控制表</w:t>
      </w:r>
    </w:p>
    <w:tbl>
      <w:tblPr>
        <w:tblStyle w:val="25"/>
        <w:tblW w:w="907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777"/>
        <w:gridCol w:w="1412"/>
        <w:gridCol w:w="1414"/>
        <w:gridCol w:w="1414"/>
        <w:gridCol w:w="1435"/>
        <w:gridCol w:w="146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64" w:type="pct"/>
            <w:gridSpan w:val="2"/>
            <w:vMerge w:val="restar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监测日期</w:t>
            </w:r>
          </w:p>
        </w:tc>
        <w:tc>
          <w:tcPr>
            <w:tcW w:w="3127" w:type="pct"/>
            <w:gridSpan w:val="4"/>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校准声级（dB）</w:t>
            </w:r>
          </w:p>
        </w:tc>
        <w:tc>
          <w:tcPr>
            <w:tcW w:w="808" w:type="pct"/>
            <w:vMerge w:val="restar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是否合格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64" w:type="pct"/>
            <w:gridSpan w:val="2"/>
            <w:vMerge w:val="continue"/>
            <w:vAlign w:val="center"/>
          </w:tcPr>
          <w:p>
            <w:pPr>
              <w:pStyle w:val="28"/>
              <w:rPr>
                <w:rFonts w:hint="default" w:ascii="Times New Roman" w:hAnsi="Times New Roman" w:eastAsia="宋体" w:cs="Times New Roman"/>
                <w:color w:val="auto"/>
                <w:sz w:val="21"/>
                <w:szCs w:val="21"/>
              </w:rPr>
            </w:pPr>
          </w:p>
        </w:tc>
        <w:tc>
          <w:tcPr>
            <w:tcW w:w="778"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监测前</w:t>
            </w:r>
          </w:p>
        </w:tc>
        <w:tc>
          <w:tcPr>
            <w:tcW w:w="779"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示值偏差</w:t>
            </w:r>
          </w:p>
        </w:tc>
        <w:tc>
          <w:tcPr>
            <w:tcW w:w="779"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监测后</w:t>
            </w:r>
          </w:p>
        </w:tc>
        <w:tc>
          <w:tcPr>
            <w:tcW w:w="791"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示值偏差</w:t>
            </w:r>
          </w:p>
        </w:tc>
        <w:tc>
          <w:tcPr>
            <w:tcW w:w="808" w:type="pct"/>
            <w:vMerge w:val="continue"/>
            <w:vAlign w:val="center"/>
          </w:tcPr>
          <w:p>
            <w:pPr>
              <w:pStyle w:val="28"/>
              <w:rPr>
                <w:rFonts w:hint="default" w:ascii="Times New Roman" w:hAnsi="Times New Roman" w:eastAsia="宋体" w:cs="Times New Roman"/>
                <w:b/>
                <w:bCs/>
                <w:color w:val="auto"/>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636"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202</w:t>
            </w:r>
            <w:r>
              <w:rPr>
                <w:rFonts w:hint="eastAsia" w:cs="Times New Roman"/>
                <w:color w:val="auto"/>
                <w:sz w:val="21"/>
                <w:szCs w:val="21"/>
                <w:lang w:eastAsia="zh-CN"/>
              </w:rPr>
              <w:t>3</w:t>
            </w:r>
            <w:r>
              <w:rPr>
                <w:rFonts w:hint="eastAsia" w:cs="Times New Roman"/>
                <w:color w:val="auto"/>
                <w:sz w:val="21"/>
                <w:szCs w:val="21"/>
                <w:lang w:val="en-US" w:eastAsia="zh-CN"/>
              </w:rPr>
              <w:t>.2.10</w:t>
            </w:r>
          </w:p>
        </w:tc>
        <w:tc>
          <w:tcPr>
            <w:tcW w:w="427" w:type="pct"/>
            <w:vAlign w:val="center"/>
          </w:tcPr>
          <w:p>
            <w:pPr>
              <w:pStyle w:val="28"/>
              <w:rPr>
                <w:rFonts w:hint="default" w:ascii="Times New Roman" w:hAnsi="Times New Roman" w:eastAsia="宋体" w:cs="Times New Roman"/>
                <w:color w:val="auto"/>
                <w:sz w:val="21"/>
                <w:szCs w:val="21"/>
              </w:rPr>
            </w:pPr>
          </w:p>
        </w:tc>
        <w:tc>
          <w:tcPr>
            <w:tcW w:w="778"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93.8</w:t>
            </w:r>
          </w:p>
        </w:tc>
        <w:tc>
          <w:tcPr>
            <w:tcW w:w="77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w:t>
            </w:r>
          </w:p>
        </w:tc>
        <w:tc>
          <w:tcPr>
            <w:tcW w:w="77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93.8</w:t>
            </w:r>
          </w:p>
        </w:tc>
        <w:tc>
          <w:tcPr>
            <w:tcW w:w="791"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w:t>
            </w:r>
          </w:p>
        </w:tc>
        <w:tc>
          <w:tcPr>
            <w:tcW w:w="808"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6" w:type="pct"/>
            <w:vMerge w:val="continue"/>
            <w:vAlign w:val="center"/>
          </w:tcPr>
          <w:p>
            <w:pPr>
              <w:pStyle w:val="28"/>
              <w:rPr>
                <w:rFonts w:hint="default" w:ascii="Times New Roman" w:hAnsi="Times New Roman" w:eastAsia="宋体" w:cs="Times New Roman"/>
                <w:color w:val="auto"/>
                <w:sz w:val="21"/>
                <w:szCs w:val="21"/>
                <w:lang w:val="en-US"/>
              </w:rPr>
            </w:pPr>
          </w:p>
        </w:tc>
        <w:tc>
          <w:tcPr>
            <w:tcW w:w="427" w:type="pct"/>
            <w:vAlign w:val="center"/>
          </w:tcPr>
          <w:p>
            <w:pPr>
              <w:pStyle w:val="28"/>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夜间</w:t>
            </w:r>
          </w:p>
        </w:tc>
        <w:tc>
          <w:tcPr>
            <w:tcW w:w="778"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93.8</w:t>
            </w:r>
          </w:p>
        </w:tc>
        <w:tc>
          <w:tcPr>
            <w:tcW w:w="77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w:t>
            </w:r>
          </w:p>
        </w:tc>
        <w:tc>
          <w:tcPr>
            <w:tcW w:w="77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93.8</w:t>
            </w:r>
          </w:p>
        </w:tc>
        <w:tc>
          <w:tcPr>
            <w:tcW w:w="791"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w:t>
            </w:r>
          </w:p>
        </w:tc>
        <w:tc>
          <w:tcPr>
            <w:tcW w:w="808"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6"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2023.2.11</w:t>
            </w:r>
          </w:p>
        </w:tc>
        <w:tc>
          <w:tcPr>
            <w:tcW w:w="427"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昼间</w:t>
            </w:r>
          </w:p>
        </w:tc>
        <w:tc>
          <w:tcPr>
            <w:tcW w:w="778"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93.8</w:t>
            </w:r>
          </w:p>
        </w:tc>
        <w:tc>
          <w:tcPr>
            <w:tcW w:w="77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w:t>
            </w:r>
          </w:p>
        </w:tc>
        <w:tc>
          <w:tcPr>
            <w:tcW w:w="77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93.8</w:t>
            </w:r>
          </w:p>
        </w:tc>
        <w:tc>
          <w:tcPr>
            <w:tcW w:w="791"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w:t>
            </w:r>
          </w:p>
        </w:tc>
        <w:tc>
          <w:tcPr>
            <w:tcW w:w="808"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6" w:type="pct"/>
            <w:vMerge w:val="continue"/>
            <w:vAlign w:val="center"/>
          </w:tcPr>
          <w:p>
            <w:pPr>
              <w:pStyle w:val="28"/>
              <w:rPr>
                <w:rFonts w:hint="default" w:ascii="Times New Roman" w:hAnsi="Times New Roman" w:eastAsia="宋体" w:cs="Times New Roman"/>
                <w:color w:val="auto"/>
                <w:sz w:val="21"/>
                <w:szCs w:val="21"/>
              </w:rPr>
            </w:pPr>
          </w:p>
        </w:tc>
        <w:tc>
          <w:tcPr>
            <w:tcW w:w="427"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夜间</w:t>
            </w:r>
          </w:p>
        </w:tc>
        <w:tc>
          <w:tcPr>
            <w:tcW w:w="778"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93.8</w:t>
            </w:r>
          </w:p>
        </w:tc>
        <w:tc>
          <w:tcPr>
            <w:tcW w:w="77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w:t>
            </w:r>
          </w:p>
        </w:tc>
        <w:tc>
          <w:tcPr>
            <w:tcW w:w="77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93.8</w:t>
            </w:r>
          </w:p>
        </w:tc>
        <w:tc>
          <w:tcPr>
            <w:tcW w:w="791"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w:t>
            </w:r>
          </w:p>
        </w:tc>
        <w:tc>
          <w:tcPr>
            <w:tcW w:w="808"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合格</w:t>
            </w:r>
          </w:p>
        </w:tc>
      </w:tr>
    </w:tbl>
    <w:p>
      <w:pPr>
        <w:rPr>
          <w:rFonts w:hint="default" w:ascii="Times New Roman" w:hAnsi="Times New Roman" w:eastAsia="宋体" w:cs="Times New Roman"/>
          <w:color w:val="auto"/>
        </w:rPr>
      </w:pPr>
      <w:r>
        <w:rPr>
          <w:rFonts w:hint="default" w:ascii="Times New Roman" w:hAnsi="Times New Roman" w:eastAsia="宋体" w:cs="Times New Roman"/>
          <w:color w:val="auto"/>
        </w:rPr>
        <w:br w:type="page"/>
      </w:r>
    </w:p>
    <w:p>
      <w:pPr>
        <w:pStyle w:val="3"/>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50" w:name="_Toc22703"/>
      <w:r>
        <w:rPr>
          <w:rFonts w:hint="default" w:ascii="Times New Roman" w:hAnsi="Times New Roman" w:eastAsia="宋体" w:cs="Times New Roman"/>
          <w:color w:val="auto"/>
        </w:rPr>
        <w:t>9 验收监测结果</w:t>
      </w:r>
      <w:bookmarkEnd w:id="50"/>
    </w:p>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51" w:name="_Toc1869"/>
      <w:r>
        <w:rPr>
          <w:rFonts w:hint="default" w:ascii="Times New Roman" w:hAnsi="Times New Roman" w:eastAsia="宋体" w:cs="Times New Roman"/>
          <w:color w:val="auto"/>
        </w:rPr>
        <w:t>9.1 生产工况</w:t>
      </w:r>
      <w:bookmarkEnd w:id="51"/>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rPr>
        <w:t>本次验收</w:t>
      </w:r>
      <w:r>
        <w:rPr>
          <w:rFonts w:hint="default" w:ascii="Times New Roman" w:hAnsi="Times New Roman" w:eastAsia="宋体" w:cs="Times New Roman"/>
          <w:color w:val="auto"/>
          <w:sz w:val="21"/>
          <w:szCs w:val="21"/>
          <w:highlight w:val="none"/>
        </w:rPr>
        <w:t>根据《建设项目竣工环境保护验收技术指南 污染影响类》“附录三 工况记录推荐方法”中的“产品产量核算法”对项目进行工况记录，项目生产工序繁多，根据指南推荐方法，分别对各工序的监测并记录各工序产品产量。结果见表9-1。</w:t>
      </w:r>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表9-1  监测期间生产工况记录</w:t>
      </w:r>
    </w:p>
    <w:tbl>
      <w:tblPr>
        <w:tblStyle w:val="25"/>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517"/>
        <w:gridCol w:w="1304"/>
        <w:gridCol w:w="1110"/>
        <w:gridCol w:w="1117"/>
        <w:gridCol w:w="1108"/>
        <w:gridCol w:w="1108"/>
        <w:gridCol w:w="9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571"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日期</w:t>
            </w:r>
          </w:p>
        </w:tc>
        <w:tc>
          <w:tcPr>
            <w:tcW w:w="821"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项目</w:t>
            </w:r>
          </w:p>
        </w:tc>
        <w:tc>
          <w:tcPr>
            <w:tcW w:w="705"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产品</w:t>
            </w:r>
          </w:p>
        </w:tc>
        <w:tc>
          <w:tcPr>
            <w:tcW w:w="600"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年设计产量</w:t>
            </w:r>
          </w:p>
        </w:tc>
        <w:tc>
          <w:tcPr>
            <w:tcW w:w="604"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r>
              <w:rPr>
                <w:rFonts w:hint="eastAsia" w:cs="Times New Roman"/>
                <w:b/>
                <w:bCs/>
                <w:color w:val="auto"/>
                <w:sz w:val="21"/>
                <w:szCs w:val="21"/>
                <w:highlight w:val="none"/>
                <w:lang w:val="en-US" w:eastAsia="zh-CN"/>
              </w:rPr>
              <w:t>阶段验收设计年</w:t>
            </w:r>
            <w:r>
              <w:rPr>
                <w:rFonts w:hint="default" w:ascii="Times New Roman" w:hAnsi="Times New Roman" w:eastAsia="宋体" w:cs="Times New Roman"/>
                <w:b/>
                <w:bCs/>
                <w:color w:val="auto"/>
                <w:sz w:val="21"/>
                <w:szCs w:val="21"/>
                <w:highlight w:val="none"/>
              </w:rPr>
              <w:t>产量</w:t>
            </w:r>
          </w:p>
        </w:tc>
        <w:tc>
          <w:tcPr>
            <w:tcW w:w="599"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lang w:val="en-US" w:eastAsia="zh-CN"/>
              </w:rPr>
            </w:pPr>
            <w:r>
              <w:rPr>
                <w:rFonts w:hint="eastAsia" w:cs="Times New Roman"/>
                <w:b/>
                <w:bCs/>
                <w:color w:val="auto"/>
                <w:sz w:val="21"/>
                <w:szCs w:val="21"/>
                <w:highlight w:val="none"/>
                <w:lang w:val="en-US" w:eastAsia="zh-CN"/>
              </w:rPr>
              <w:t>阶段验收设计日产量</w:t>
            </w:r>
          </w:p>
        </w:tc>
        <w:tc>
          <w:tcPr>
            <w:tcW w:w="599"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实际日产量</w:t>
            </w:r>
          </w:p>
        </w:tc>
        <w:tc>
          <w:tcPr>
            <w:tcW w:w="495"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生产负荷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71" w:type="pct"/>
            <w:tcBorders>
              <w:top w:val="single" w:color="auto" w:sz="12" w:space="0"/>
            </w:tcBorders>
            <w:vAlign w:val="center"/>
          </w:tcPr>
          <w:p>
            <w:pPr>
              <w:pStyle w:val="28"/>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2023.2.10</w:t>
            </w:r>
          </w:p>
        </w:tc>
        <w:tc>
          <w:tcPr>
            <w:tcW w:w="821" w:type="pct"/>
            <w:tcBorders>
              <w:top w:val="single" w:color="auto" w:sz="12" w:space="0"/>
            </w:tcBorders>
            <w:vAlign w:val="center"/>
          </w:tcPr>
          <w:p>
            <w:pPr>
              <w:pStyle w:val="28"/>
              <w:spacing w:line="240" w:lineRule="auto"/>
              <w:jc w:val="center"/>
              <w:rPr>
                <w:rFonts w:hint="default" w:ascii="Times New Roman" w:hAnsi="Times New Roman" w:eastAsia="宋体" w:cs="Times New Roman"/>
                <w:color w:val="auto"/>
                <w:sz w:val="21"/>
                <w:szCs w:val="21"/>
                <w:highlight w:val="none"/>
                <w:lang w:val="en-US" w:eastAsia="zh-CN"/>
              </w:rPr>
            </w:pPr>
            <w:r>
              <w:rPr>
                <w:rFonts w:ascii="Times New Roman" w:hAnsi="Times New Roman"/>
                <w:color w:val="auto"/>
                <w:sz w:val="21"/>
                <w:szCs w:val="21"/>
                <w:highlight w:val="none"/>
              </w:rPr>
              <w:t>锂电池用胶带</w:t>
            </w:r>
            <w:r>
              <w:rPr>
                <w:rFonts w:hint="eastAsia" w:ascii="Times New Roman" w:hAnsi="Times New Roman"/>
                <w:color w:val="auto"/>
                <w:sz w:val="21"/>
                <w:szCs w:val="21"/>
                <w:highlight w:val="none"/>
                <w:lang w:val="en-US" w:eastAsia="zh-CN"/>
              </w:rPr>
              <w:t>生产线</w:t>
            </w:r>
          </w:p>
        </w:tc>
        <w:tc>
          <w:tcPr>
            <w:tcW w:w="705" w:type="pct"/>
            <w:tcBorders>
              <w:top w:val="single" w:color="auto" w:sz="12" w:space="0"/>
            </w:tcBorders>
            <w:vAlign w:val="center"/>
          </w:tcPr>
          <w:p>
            <w:pPr>
              <w:spacing w:line="240" w:lineRule="auto"/>
              <w:ind w:left="0" w:leftChars="0"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锂电池用胶带</w:t>
            </w:r>
          </w:p>
        </w:tc>
        <w:tc>
          <w:tcPr>
            <w:tcW w:w="600" w:type="pct"/>
            <w:tcBorders>
              <w:top w:val="single" w:color="auto" w:sz="12" w:space="0"/>
            </w:tcBorders>
            <w:vAlign w:val="center"/>
          </w:tcPr>
          <w:p>
            <w:pPr>
              <w:spacing w:line="240" w:lineRule="auto"/>
              <w:ind w:left="0" w:leftChars="0"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21600万m</w:t>
            </w:r>
            <w:r>
              <w:rPr>
                <w:rFonts w:ascii="Times New Roman" w:hAnsi="Times New Roman"/>
                <w:color w:val="auto"/>
                <w:sz w:val="21"/>
                <w:szCs w:val="21"/>
                <w:highlight w:val="none"/>
                <w:vertAlign w:val="superscript"/>
              </w:rPr>
              <w:t>2</w:t>
            </w:r>
          </w:p>
        </w:tc>
        <w:tc>
          <w:tcPr>
            <w:tcW w:w="604" w:type="pct"/>
            <w:tcBorders>
              <w:top w:val="single" w:color="auto" w:sz="12" w:space="0"/>
            </w:tcBorders>
            <w:vAlign w:val="center"/>
          </w:tcPr>
          <w:p>
            <w:pPr>
              <w:ind w:left="0" w:leftChars="0" w:firstLine="0" w:firstLineChars="0"/>
              <w:jc w:val="center"/>
              <w:rPr>
                <w:rFonts w:hint="default" w:ascii="Times New Roman" w:hAnsi="Times New Roman" w:eastAsia="宋体" w:cs="Times New Roman"/>
                <w:color w:val="auto"/>
                <w:sz w:val="21"/>
                <w:szCs w:val="21"/>
                <w:highlight w:val="none"/>
              </w:rPr>
            </w:pPr>
            <w:r>
              <w:rPr>
                <w:rFonts w:hint="eastAsia"/>
                <w:color w:val="auto"/>
                <w:sz w:val="21"/>
                <w:szCs w:val="21"/>
                <w:highlight w:val="none"/>
                <w:lang w:val="en-US" w:eastAsia="zh-CN"/>
              </w:rPr>
              <w:t>4800</w:t>
            </w:r>
            <w:r>
              <w:rPr>
                <w:rFonts w:ascii="Times New Roman" w:hAnsi="Times New Roman"/>
                <w:color w:val="auto"/>
                <w:sz w:val="21"/>
                <w:szCs w:val="21"/>
                <w:highlight w:val="none"/>
              </w:rPr>
              <w:t>万m</w:t>
            </w:r>
            <w:r>
              <w:rPr>
                <w:rFonts w:ascii="Times New Roman" w:hAnsi="Times New Roman"/>
                <w:color w:val="auto"/>
                <w:sz w:val="21"/>
                <w:szCs w:val="21"/>
                <w:highlight w:val="none"/>
                <w:vertAlign w:val="superscript"/>
              </w:rPr>
              <w:t>2</w:t>
            </w:r>
          </w:p>
        </w:tc>
        <w:tc>
          <w:tcPr>
            <w:tcW w:w="599" w:type="pct"/>
            <w:tcBorders>
              <w:top w:val="single" w:color="auto" w:sz="12" w:space="0"/>
            </w:tcBorders>
            <w:vAlign w:val="center"/>
          </w:tcPr>
          <w:p>
            <w:pPr>
              <w:ind w:left="0" w:leftChars="0" w:firstLine="0" w:firstLineChars="0"/>
              <w:jc w:val="center"/>
              <w:rPr>
                <w:rFonts w:hint="eastAsia" w:ascii="Times New Roman" w:hAnsi="Times New Roman"/>
                <w:color w:val="auto"/>
                <w:sz w:val="21"/>
                <w:szCs w:val="21"/>
                <w:highlight w:val="none"/>
                <w:lang w:val="en-US" w:eastAsia="zh-CN"/>
              </w:rPr>
            </w:pPr>
            <w:r>
              <w:rPr>
                <w:rFonts w:hint="eastAsia" w:ascii="Times New Roman" w:hAnsi="Times New Roman"/>
                <w:color w:val="auto"/>
                <w:sz w:val="21"/>
                <w:szCs w:val="21"/>
                <w:highlight w:val="none"/>
                <w:lang w:val="en-US" w:eastAsia="zh-CN"/>
              </w:rPr>
              <w:t>16</w:t>
            </w:r>
            <w:r>
              <w:rPr>
                <w:rFonts w:ascii="Times New Roman" w:hAnsi="Times New Roman"/>
                <w:color w:val="auto"/>
                <w:sz w:val="21"/>
                <w:szCs w:val="21"/>
                <w:highlight w:val="none"/>
              </w:rPr>
              <w:t>万m</w:t>
            </w:r>
            <w:r>
              <w:rPr>
                <w:rFonts w:ascii="Times New Roman" w:hAnsi="Times New Roman"/>
                <w:color w:val="auto"/>
                <w:sz w:val="21"/>
                <w:szCs w:val="21"/>
                <w:highlight w:val="none"/>
                <w:vertAlign w:val="superscript"/>
              </w:rPr>
              <w:t>2</w:t>
            </w:r>
          </w:p>
        </w:tc>
        <w:tc>
          <w:tcPr>
            <w:tcW w:w="599" w:type="pct"/>
            <w:tcBorders>
              <w:top w:val="single" w:color="auto" w:sz="12" w:space="0"/>
            </w:tcBorders>
            <w:vAlign w:val="center"/>
          </w:tcPr>
          <w:p>
            <w:pPr>
              <w:ind w:left="0" w:leftChars="0"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color w:val="auto"/>
                <w:sz w:val="21"/>
                <w:szCs w:val="21"/>
                <w:highlight w:val="none"/>
                <w:lang w:val="en-US" w:eastAsia="zh-CN"/>
              </w:rPr>
              <w:t>15.5</w:t>
            </w:r>
            <w:r>
              <w:rPr>
                <w:rFonts w:ascii="Times New Roman" w:hAnsi="Times New Roman"/>
                <w:color w:val="auto"/>
                <w:sz w:val="21"/>
                <w:szCs w:val="21"/>
                <w:highlight w:val="none"/>
              </w:rPr>
              <w:t>万m</w:t>
            </w:r>
            <w:r>
              <w:rPr>
                <w:rFonts w:ascii="Times New Roman" w:hAnsi="Times New Roman"/>
                <w:color w:val="auto"/>
                <w:sz w:val="21"/>
                <w:szCs w:val="21"/>
                <w:highlight w:val="none"/>
                <w:vertAlign w:val="superscript"/>
              </w:rPr>
              <w:t>2</w:t>
            </w:r>
          </w:p>
        </w:tc>
        <w:tc>
          <w:tcPr>
            <w:tcW w:w="495" w:type="pct"/>
            <w:tcBorders>
              <w:top w:val="single" w:color="auto" w:sz="12" w:space="0"/>
            </w:tcBorders>
            <w:vAlign w:val="center"/>
          </w:tcPr>
          <w:p>
            <w:pPr>
              <w:pStyle w:val="28"/>
              <w:jc w:val="center"/>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96.9</w:t>
            </w:r>
            <w:r>
              <w:rPr>
                <w:rFonts w:hint="default" w:ascii="Times New Roman" w:hAnsi="Times New Roman" w:eastAsia="宋体" w:cs="Times New Roman"/>
                <w:color w:val="auto"/>
                <w:sz w:val="21"/>
                <w:szCs w:val="21"/>
                <w:highlight w:val="non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71" w:type="pct"/>
            <w:vAlign w:val="center"/>
          </w:tcPr>
          <w:p>
            <w:pPr>
              <w:pStyle w:val="28"/>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2023.2.11</w:t>
            </w:r>
          </w:p>
        </w:tc>
        <w:tc>
          <w:tcPr>
            <w:tcW w:w="821" w:type="pct"/>
            <w:vAlign w:val="center"/>
          </w:tcPr>
          <w:p>
            <w:pPr>
              <w:pStyle w:val="28"/>
              <w:spacing w:line="240" w:lineRule="auto"/>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锂电池用胶带</w:t>
            </w:r>
            <w:r>
              <w:rPr>
                <w:rFonts w:hint="eastAsia" w:ascii="Times New Roman" w:hAnsi="Times New Roman"/>
                <w:color w:val="auto"/>
                <w:sz w:val="21"/>
                <w:szCs w:val="21"/>
                <w:highlight w:val="none"/>
                <w:lang w:val="en-US" w:eastAsia="zh-CN"/>
              </w:rPr>
              <w:t>生产线</w:t>
            </w:r>
          </w:p>
        </w:tc>
        <w:tc>
          <w:tcPr>
            <w:tcW w:w="705" w:type="pct"/>
            <w:vAlign w:val="center"/>
          </w:tcPr>
          <w:p>
            <w:pPr>
              <w:spacing w:line="240" w:lineRule="auto"/>
              <w:ind w:left="0" w:leftChars="0"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锂电池用胶带</w:t>
            </w:r>
          </w:p>
        </w:tc>
        <w:tc>
          <w:tcPr>
            <w:tcW w:w="600" w:type="pct"/>
            <w:vAlign w:val="center"/>
          </w:tcPr>
          <w:p>
            <w:pPr>
              <w:spacing w:line="240" w:lineRule="auto"/>
              <w:ind w:left="0" w:leftChars="0"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21600万m</w:t>
            </w:r>
            <w:r>
              <w:rPr>
                <w:rFonts w:ascii="Times New Roman" w:hAnsi="Times New Roman"/>
                <w:color w:val="auto"/>
                <w:sz w:val="21"/>
                <w:szCs w:val="21"/>
                <w:highlight w:val="none"/>
                <w:vertAlign w:val="superscript"/>
              </w:rPr>
              <w:t>2</w:t>
            </w:r>
          </w:p>
        </w:tc>
        <w:tc>
          <w:tcPr>
            <w:tcW w:w="604" w:type="pct"/>
            <w:vAlign w:val="center"/>
          </w:tcPr>
          <w:p>
            <w:pPr>
              <w:ind w:left="0" w:leftChars="0" w:firstLine="0" w:firstLineChars="0"/>
              <w:jc w:val="center"/>
              <w:rPr>
                <w:rFonts w:hint="default" w:ascii="Times New Roman" w:hAnsi="Times New Roman" w:eastAsia="宋体" w:cs="Times New Roman"/>
                <w:color w:val="auto"/>
                <w:sz w:val="21"/>
                <w:szCs w:val="21"/>
                <w:highlight w:val="none"/>
              </w:rPr>
            </w:pPr>
            <w:r>
              <w:rPr>
                <w:rFonts w:hint="eastAsia"/>
                <w:color w:val="auto"/>
                <w:sz w:val="21"/>
                <w:szCs w:val="21"/>
                <w:highlight w:val="none"/>
                <w:lang w:val="en-US" w:eastAsia="zh-CN"/>
              </w:rPr>
              <w:t>4800</w:t>
            </w:r>
            <w:r>
              <w:rPr>
                <w:rFonts w:ascii="Times New Roman" w:hAnsi="Times New Roman"/>
                <w:color w:val="auto"/>
                <w:sz w:val="21"/>
                <w:szCs w:val="21"/>
                <w:highlight w:val="none"/>
              </w:rPr>
              <w:t>万m</w:t>
            </w:r>
            <w:r>
              <w:rPr>
                <w:rFonts w:ascii="Times New Roman" w:hAnsi="Times New Roman"/>
                <w:color w:val="auto"/>
                <w:sz w:val="21"/>
                <w:szCs w:val="21"/>
                <w:highlight w:val="none"/>
                <w:vertAlign w:val="superscript"/>
              </w:rPr>
              <w:t>2</w:t>
            </w:r>
          </w:p>
        </w:tc>
        <w:tc>
          <w:tcPr>
            <w:tcW w:w="599" w:type="pct"/>
            <w:vAlign w:val="center"/>
          </w:tcPr>
          <w:p>
            <w:pPr>
              <w:ind w:left="0" w:leftChars="0" w:firstLine="0" w:firstLineChars="0"/>
              <w:jc w:val="center"/>
              <w:rPr>
                <w:rFonts w:hint="eastAsia" w:ascii="Times New Roman" w:hAnsi="Times New Roman"/>
                <w:color w:val="auto"/>
                <w:sz w:val="21"/>
                <w:szCs w:val="21"/>
                <w:highlight w:val="none"/>
                <w:lang w:val="en-US" w:eastAsia="zh-CN"/>
              </w:rPr>
            </w:pPr>
            <w:r>
              <w:rPr>
                <w:rFonts w:hint="eastAsia" w:ascii="Times New Roman" w:hAnsi="Times New Roman"/>
                <w:color w:val="auto"/>
                <w:sz w:val="21"/>
                <w:szCs w:val="21"/>
                <w:highlight w:val="none"/>
                <w:lang w:val="en-US" w:eastAsia="zh-CN"/>
              </w:rPr>
              <w:t>16</w:t>
            </w:r>
            <w:r>
              <w:rPr>
                <w:rFonts w:ascii="Times New Roman" w:hAnsi="Times New Roman"/>
                <w:color w:val="auto"/>
                <w:sz w:val="21"/>
                <w:szCs w:val="21"/>
                <w:highlight w:val="none"/>
              </w:rPr>
              <w:t>万m</w:t>
            </w:r>
            <w:r>
              <w:rPr>
                <w:rFonts w:ascii="Times New Roman" w:hAnsi="Times New Roman"/>
                <w:color w:val="auto"/>
                <w:sz w:val="21"/>
                <w:szCs w:val="21"/>
                <w:highlight w:val="none"/>
                <w:vertAlign w:val="superscript"/>
              </w:rPr>
              <w:t>2</w:t>
            </w:r>
          </w:p>
        </w:tc>
        <w:tc>
          <w:tcPr>
            <w:tcW w:w="599" w:type="pct"/>
            <w:vAlign w:val="center"/>
          </w:tcPr>
          <w:p>
            <w:pPr>
              <w:ind w:left="0" w:leftChars="0"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color w:val="auto"/>
                <w:sz w:val="21"/>
                <w:szCs w:val="21"/>
                <w:highlight w:val="none"/>
                <w:lang w:val="en-US" w:eastAsia="zh-CN"/>
              </w:rPr>
              <w:t>16.5</w:t>
            </w:r>
            <w:r>
              <w:rPr>
                <w:rFonts w:ascii="Times New Roman" w:hAnsi="Times New Roman"/>
                <w:color w:val="auto"/>
                <w:sz w:val="21"/>
                <w:szCs w:val="21"/>
                <w:highlight w:val="none"/>
              </w:rPr>
              <w:t>万m</w:t>
            </w:r>
            <w:r>
              <w:rPr>
                <w:rFonts w:ascii="Times New Roman" w:hAnsi="Times New Roman"/>
                <w:color w:val="auto"/>
                <w:sz w:val="21"/>
                <w:szCs w:val="21"/>
                <w:highlight w:val="none"/>
                <w:vertAlign w:val="superscript"/>
              </w:rPr>
              <w:t>2</w:t>
            </w:r>
          </w:p>
        </w:tc>
        <w:tc>
          <w:tcPr>
            <w:tcW w:w="495" w:type="pct"/>
            <w:vAlign w:val="center"/>
          </w:tcPr>
          <w:p>
            <w:pPr>
              <w:pStyle w:val="28"/>
              <w:jc w:val="center"/>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103.1</w:t>
            </w:r>
            <w:r>
              <w:rPr>
                <w:rFonts w:hint="default" w:ascii="Times New Roman" w:hAnsi="Times New Roman" w:eastAsia="宋体" w:cs="Times New Roman"/>
                <w:color w:val="auto"/>
                <w:sz w:val="21"/>
                <w:szCs w:val="21"/>
                <w:highlight w:val="none"/>
              </w:rPr>
              <w:t>%</w:t>
            </w:r>
          </w:p>
        </w:tc>
      </w:tr>
    </w:tbl>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验收监测期间，项目生产线负荷满足验收工况要求，生产设备及各项环保设施运行正常。</w:t>
      </w:r>
    </w:p>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52" w:name="_Toc24897"/>
      <w:r>
        <w:rPr>
          <w:rFonts w:hint="default" w:ascii="Times New Roman" w:hAnsi="Times New Roman" w:eastAsia="宋体" w:cs="Times New Roman"/>
          <w:color w:val="auto"/>
        </w:rPr>
        <w:t>9.2 环保设施调试运行效果</w:t>
      </w:r>
      <w:bookmarkEnd w:id="52"/>
    </w:p>
    <w:p>
      <w:pPr>
        <w:pStyle w:val="2"/>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9.2.1 环保设施处理效率监测结果</w:t>
      </w:r>
    </w:p>
    <w:p>
      <w:pPr>
        <w:pStyle w:val="5"/>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9.2.1.1 废水治理措施</w:t>
      </w:r>
    </w:p>
    <w:p>
      <w:pPr>
        <w:pStyle w:val="29"/>
        <w:pageBreakBefore w:val="0"/>
        <w:kinsoku/>
        <w:wordWrap/>
        <w:overflowPunct/>
        <w:topLinePunct w:val="0"/>
        <w:bidi w:val="0"/>
        <w:adjustRightInd/>
        <w:snapToGrid/>
        <w:spacing w:beforeLines="0" w:line="360" w:lineRule="auto"/>
        <w:ind w:firstLine="420" w:firstLineChars="200"/>
        <w:jc w:val="left"/>
        <w:textAlignment w:val="auto"/>
        <w:rPr>
          <w:rFonts w:hint="default" w:ascii="Times New Roman" w:hAnsi="Times New Roman" w:eastAsia="宋体" w:cs="Times New Roman"/>
          <w:color w:val="auto"/>
          <w:sz w:val="21"/>
          <w:szCs w:val="21"/>
        </w:rPr>
      </w:pPr>
      <w:r>
        <w:rPr>
          <w:rFonts w:hint="eastAsia" w:cs="Times New Roman"/>
          <w:b w:val="0"/>
          <w:bCs/>
          <w:color w:val="auto"/>
          <w:sz w:val="21"/>
          <w:szCs w:val="21"/>
          <w:lang w:val="en-US" w:eastAsia="zh-CN"/>
        </w:rPr>
        <w:t>项目无生产废水产生及外排，生活污水经收集后接入市政污水管网，</w:t>
      </w:r>
      <w:r>
        <w:rPr>
          <w:rFonts w:hint="default" w:ascii="Times New Roman" w:hAnsi="Times New Roman" w:eastAsia="宋体" w:cs="Times New Roman"/>
          <w:b w:val="0"/>
          <w:bCs/>
          <w:color w:val="auto"/>
          <w:sz w:val="21"/>
          <w:szCs w:val="21"/>
        </w:rPr>
        <w:t>根据监测数据，</w:t>
      </w:r>
      <w:r>
        <w:rPr>
          <w:rFonts w:hint="eastAsia" w:cs="Times New Roman"/>
          <w:b w:val="0"/>
          <w:bCs/>
          <w:color w:val="auto"/>
          <w:sz w:val="21"/>
          <w:szCs w:val="21"/>
          <w:lang w:val="en-US" w:eastAsia="zh-CN"/>
        </w:rPr>
        <w:t>生活污水化粪池</w:t>
      </w:r>
      <w:r>
        <w:rPr>
          <w:rFonts w:hint="default" w:ascii="Times New Roman" w:hAnsi="Times New Roman" w:eastAsia="宋体" w:cs="Times New Roman"/>
          <w:b w:val="0"/>
          <w:bCs/>
          <w:color w:val="auto"/>
          <w:sz w:val="21"/>
          <w:szCs w:val="21"/>
        </w:rPr>
        <w:t>系统各项污染因子均满足</w:t>
      </w:r>
      <w:r>
        <w:rPr>
          <w:rFonts w:hint="eastAsia" w:cs="Times New Roman"/>
          <w:b w:val="0"/>
          <w:bCs/>
          <w:color w:val="auto"/>
          <w:sz w:val="21"/>
          <w:szCs w:val="21"/>
          <w:lang w:val="en-US" w:eastAsia="zh-CN"/>
        </w:rPr>
        <w:t>环评设计排放标准</w:t>
      </w:r>
      <w:r>
        <w:rPr>
          <w:rFonts w:hint="default" w:ascii="Times New Roman" w:hAnsi="Times New Roman" w:eastAsia="宋体" w:cs="Times New Roman"/>
          <w:b w:val="0"/>
          <w:bCs/>
          <w:color w:val="auto"/>
          <w:sz w:val="21"/>
          <w:szCs w:val="21"/>
        </w:rPr>
        <w:t>要求。</w:t>
      </w:r>
    </w:p>
    <w:p>
      <w:pPr>
        <w:pStyle w:val="5"/>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9.2.1.2 废气治理措施</w:t>
      </w:r>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废气治理措施处理效率见表9-</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w:t>
      </w:r>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表9-</w:t>
      </w:r>
      <w:r>
        <w:rPr>
          <w:rFonts w:hint="eastAsia" w:cs="Times New Roman"/>
          <w:color w:val="auto"/>
          <w:sz w:val="21"/>
          <w:szCs w:val="21"/>
          <w:lang w:val="en-US" w:eastAsia="zh-CN"/>
        </w:rPr>
        <w:t xml:space="preserve">2 </w:t>
      </w:r>
      <w:r>
        <w:rPr>
          <w:rFonts w:hint="default" w:ascii="Times New Roman" w:hAnsi="Times New Roman" w:eastAsia="宋体" w:cs="Times New Roman"/>
          <w:color w:val="auto"/>
          <w:sz w:val="21"/>
          <w:szCs w:val="21"/>
        </w:rPr>
        <w:t xml:space="preserve"> 废气治理设施去</w:t>
      </w:r>
      <w:r>
        <w:rPr>
          <w:rFonts w:hint="default" w:ascii="Times New Roman" w:hAnsi="Times New Roman" w:eastAsia="宋体" w:cs="Times New Roman"/>
          <w:color w:val="auto"/>
          <w:sz w:val="21"/>
          <w:szCs w:val="21"/>
        </w:rPr>
        <w:t>除效率监测结果</w:t>
      </w:r>
    </w:p>
    <w:tbl>
      <w:tblPr>
        <w:tblStyle w:val="25"/>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8"/>
        <w:gridCol w:w="1200"/>
        <w:gridCol w:w="1457"/>
        <w:gridCol w:w="1443"/>
        <w:gridCol w:w="1443"/>
        <w:gridCol w:w="1100"/>
        <w:gridCol w:w="11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7" w:hRule="atLeast"/>
          <w:tblHeader/>
          <w:jc w:val="center"/>
        </w:trPr>
        <w:tc>
          <w:tcPr>
            <w:tcW w:w="732" w:type="pct"/>
            <w:vMerge w:val="restart"/>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处理设施</w:t>
            </w:r>
          </w:p>
        </w:tc>
        <w:tc>
          <w:tcPr>
            <w:tcW w:w="661" w:type="pct"/>
            <w:vMerge w:val="restart"/>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监测日期</w:t>
            </w:r>
          </w:p>
        </w:tc>
        <w:tc>
          <w:tcPr>
            <w:tcW w:w="803" w:type="pct"/>
            <w:vMerge w:val="restart"/>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污染物</w:t>
            </w:r>
          </w:p>
        </w:tc>
        <w:tc>
          <w:tcPr>
            <w:tcW w:w="1590" w:type="pct"/>
            <w:gridSpan w:val="2"/>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监测结果（mg/m</w:t>
            </w:r>
            <w:r>
              <w:rPr>
                <w:rFonts w:hint="default" w:ascii="Times New Roman" w:hAnsi="Times New Roman" w:eastAsia="宋体" w:cs="Times New Roman"/>
                <w:b/>
                <w:bCs/>
                <w:color w:val="auto"/>
                <w:sz w:val="21"/>
                <w:szCs w:val="21"/>
                <w:highlight w:val="none"/>
                <w:vertAlign w:val="superscript"/>
              </w:rPr>
              <w:t>3</w:t>
            </w:r>
            <w:r>
              <w:rPr>
                <w:rFonts w:hint="default" w:ascii="Times New Roman" w:hAnsi="Times New Roman" w:eastAsia="宋体" w:cs="Times New Roman"/>
                <w:b/>
                <w:bCs/>
                <w:color w:val="auto"/>
                <w:sz w:val="21"/>
                <w:szCs w:val="21"/>
                <w:highlight w:val="none"/>
              </w:rPr>
              <w:t>）</w:t>
            </w:r>
          </w:p>
        </w:tc>
        <w:tc>
          <w:tcPr>
            <w:tcW w:w="606" w:type="pct"/>
            <w:vMerge w:val="restart"/>
            <w:vAlign w:val="center"/>
          </w:tcPr>
          <w:p>
            <w:pPr>
              <w:pStyle w:val="28"/>
              <w:rPr>
                <w:rFonts w:hint="default" w:ascii="Times New Roman" w:hAnsi="Times New Roman" w:eastAsia="宋体" w:cs="Times New Roman"/>
                <w:b/>
                <w:bCs/>
                <w:color w:val="auto"/>
                <w:sz w:val="21"/>
                <w:szCs w:val="21"/>
                <w:highlight w:val="none"/>
              </w:rPr>
            </w:pPr>
            <w:r>
              <w:rPr>
                <w:rFonts w:hint="eastAsia" w:cs="Times New Roman"/>
                <w:b/>
                <w:bCs/>
                <w:color w:val="auto"/>
                <w:sz w:val="21"/>
                <w:szCs w:val="21"/>
                <w:highlight w:val="none"/>
                <w:lang w:val="en-US" w:eastAsia="zh-CN"/>
              </w:rPr>
              <w:t>实际</w:t>
            </w:r>
            <w:r>
              <w:rPr>
                <w:rFonts w:hint="default" w:ascii="Times New Roman" w:hAnsi="Times New Roman" w:eastAsia="宋体" w:cs="Times New Roman"/>
                <w:b/>
                <w:bCs/>
                <w:color w:val="auto"/>
                <w:sz w:val="21"/>
                <w:szCs w:val="21"/>
                <w:highlight w:val="none"/>
              </w:rPr>
              <w:t>处理效率</w:t>
            </w:r>
          </w:p>
        </w:tc>
        <w:tc>
          <w:tcPr>
            <w:tcW w:w="606" w:type="pct"/>
            <w:vMerge w:val="restart"/>
            <w:vAlign w:val="center"/>
          </w:tcPr>
          <w:p>
            <w:pPr>
              <w:pStyle w:val="28"/>
              <w:rPr>
                <w:rFonts w:hint="default" w:ascii="Times New Roman" w:hAnsi="Times New Roman" w:eastAsia="宋体" w:cs="Times New Roman"/>
                <w:b/>
                <w:bCs/>
                <w:color w:val="auto"/>
                <w:sz w:val="21"/>
                <w:szCs w:val="21"/>
                <w:highlight w:val="none"/>
                <w:lang w:val="en-US" w:eastAsia="zh-CN"/>
              </w:rPr>
            </w:pPr>
            <w:r>
              <w:rPr>
                <w:rFonts w:hint="eastAsia" w:cs="Times New Roman"/>
                <w:b/>
                <w:bCs/>
                <w:color w:val="auto"/>
                <w:sz w:val="21"/>
                <w:szCs w:val="21"/>
                <w:highlight w:val="none"/>
                <w:lang w:val="en-US" w:eastAsia="zh-CN"/>
              </w:rPr>
              <w:t>设计处理效率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7" w:hRule="atLeast"/>
          <w:tblHeader/>
          <w:jc w:val="center"/>
        </w:trPr>
        <w:tc>
          <w:tcPr>
            <w:tcW w:w="732" w:type="pct"/>
            <w:vMerge w:val="continue"/>
            <w:tcBorders>
              <w:bottom w:val="single" w:color="auto" w:sz="12" w:space="0"/>
            </w:tcBorders>
            <w:vAlign w:val="center"/>
          </w:tcPr>
          <w:p>
            <w:pPr>
              <w:pStyle w:val="28"/>
              <w:rPr>
                <w:rFonts w:hint="default" w:ascii="Times New Roman" w:hAnsi="Times New Roman" w:eastAsia="宋体" w:cs="Times New Roman"/>
                <w:color w:val="FF0000"/>
                <w:sz w:val="21"/>
                <w:szCs w:val="21"/>
              </w:rPr>
            </w:pPr>
          </w:p>
        </w:tc>
        <w:tc>
          <w:tcPr>
            <w:tcW w:w="661" w:type="pct"/>
            <w:vMerge w:val="continue"/>
            <w:tcBorders>
              <w:bottom w:val="single" w:color="auto" w:sz="12" w:space="0"/>
            </w:tcBorders>
            <w:vAlign w:val="center"/>
          </w:tcPr>
          <w:p>
            <w:pPr>
              <w:pStyle w:val="28"/>
              <w:rPr>
                <w:rFonts w:hint="default" w:ascii="Times New Roman" w:hAnsi="Times New Roman" w:eastAsia="宋体" w:cs="Times New Roman"/>
                <w:color w:val="FF0000"/>
                <w:sz w:val="21"/>
                <w:szCs w:val="21"/>
                <w:highlight w:val="none"/>
              </w:rPr>
            </w:pPr>
          </w:p>
        </w:tc>
        <w:tc>
          <w:tcPr>
            <w:tcW w:w="803" w:type="pct"/>
            <w:vMerge w:val="continue"/>
            <w:tcBorders>
              <w:bottom w:val="single" w:color="auto" w:sz="12" w:space="0"/>
            </w:tcBorders>
            <w:vAlign w:val="center"/>
          </w:tcPr>
          <w:p>
            <w:pPr>
              <w:pStyle w:val="28"/>
              <w:rPr>
                <w:rFonts w:hint="default" w:ascii="Times New Roman" w:hAnsi="Times New Roman" w:eastAsia="宋体" w:cs="Times New Roman"/>
                <w:color w:val="FF0000"/>
                <w:sz w:val="21"/>
                <w:szCs w:val="21"/>
                <w:highlight w:val="none"/>
              </w:rPr>
            </w:pPr>
          </w:p>
        </w:tc>
        <w:tc>
          <w:tcPr>
            <w:tcW w:w="795"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rPr>
              <w:t>进口</w:t>
            </w:r>
            <w:r>
              <w:rPr>
                <w:rFonts w:hint="eastAsia" w:cs="Times New Roman"/>
                <w:b/>
                <w:bCs/>
                <w:color w:val="auto"/>
                <w:sz w:val="21"/>
                <w:szCs w:val="21"/>
                <w:highlight w:val="none"/>
                <w:lang w:val="en-US" w:eastAsia="zh-CN"/>
              </w:rPr>
              <w:t>平均浓度</w:t>
            </w:r>
          </w:p>
        </w:tc>
        <w:tc>
          <w:tcPr>
            <w:tcW w:w="795" w:type="pct"/>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rPr>
              <w:t>出口</w:t>
            </w:r>
            <w:r>
              <w:rPr>
                <w:rFonts w:hint="eastAsia" w:cs="Times New Roman"/>
                <w:b/>
                <w:bCs/>
                <w:color w:val="auto"/>
                <w:sz w:val="21"/>
                <w:szCs w:val="21"/>
                <w:highlight w:val="none"/>
                <w:lang w:val="en-US" w:eastAsia="zh-CN"/>
              </w:rPr>
              <w:t>平均浓度</w:t>
            </w:r>
          </w:p>
        </w:tc>
        <w:tc>
          <w:tcPr>
            <w:tcW w:w="606" w:type="pct"/>
            <w:vMerge w:val="continue"/>
            <w:tcBorders>
              <w:bottom w:val="single" w:color="auto" w:sz="12" w:space="0"/>
            </w:tcBorders>
            <w:vAlign w:val="center"/>
          </w:tcPr>
          <w:p>
            <w:pPr>
              <w:pStyle w:val="28"/>
              <w:rPr>
                <w:rFonts w:hint="default" w:ascii="Times New Roman" w:hAnsi="Times New Roman" w:eastAsia="宋体" w:cs="Times New Roman"/>
                <w:b/>
                <w:bCs/>
                <w:color w:val="FF0000"/>
                <w:sz w:val="21"/>
                <w:szCs w:val="21"/>
                <w:highlight w:val="none"/>
              </w:rPr>
            </w:pPr>
          </w:p>
        </w:tc>
        <w:tc>
          <w:tcPr>
            <w:tcW w:w="606" w:type="pct"/>
            <w:vMerge w:val="continue"/>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2" w:type="pct"/>
            <w:vMerge w:val="restart"/>
            <w:tcBorders>
              <w:top w:val="single" w:color="auto" w:sz="12" w:space="0"/>
            </w:tcBorders>
            <w:vAlign w:val="center"/>
          </w:tcPr>
          <w:p>
            <w:pPr>
              <w:pStyle w:val="28"/>
              <w:rPr>
                <w:rFonts w:hint="default" w:ascii="Times New Roman" w:hAnsi="Times New Roman" w:eastAsia="宋体" w:cs="Times New Roman"/>
                <w:color w:val="auto"/>
                <w:sz w:val="21"/>
                <w:szCs w:val="21"/>
              </w:rPr>
            </w:pPr>
            <w:r>
              <w:rPr>
                <w:rFonts w:ascii="Times New Roman" w:hAnsi="Times New Roman"/>
                <w:color w:val="auto"/>
                <w:sz w:val="21"/>
                <w:szCs w:val="21"/>
              </w:rPr>
              <w:t>旋转式RTO</w:t>
            </w:r>
            <w:r>
              <w:rPr>
                <w:rFonts w:hint="eastAsia" w:ascii="Times New Roman" w:hAnsi="Times New Roman"/>
                <w:color w:val="auto"/>
                <w:sz w:val="21"/>
                <w:szCs w:val="21"/>
                <w:lang w:val="en-US" w:eastAsia="zh-CN"/>
              </w:rPr>
              <w:t>装置</w:t>
            </w:r>
            <w:r>
              <w:rPr>
                <w:rFonts w:hint="default" w:ascii="Times New Roman" w:hAnsi="Times New Roman" w:eastAsia="宋体" w:cs="Times New Roman"/>
                <w:color w:val="auto"/>
                <w:sz w:val="21"/>
                <w:szCs w:val="21"/>
              </w:rPr>
              <w:t>（DA001排气筒）</w:t>
            </w:r>
          </w:p>
        </w:tc>
        <w:tc>
          <w:tcPr>
            <w:tcW w:w="661" w:type="pct"/>
            <w:vMerge w:val="restart"/>
            <w:tcBorders>
              <w:top w:val="single" w:color="auto" w:sz="12" w:space="0"/>
            </w:tcBorders>
            <w:vAlign w:val="center"/>
          </w:tcPr>
          <w:p>
            <w:pPr>
              <w:pStyle w:val="28"/>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3.2.10</w:t>
            </w:r>
          </w:p>
        </w:tc>
        <w:tc>
          <w:tcPr>
            <w:tcW w:w="803" w:type="pct"/>
            <w:tcBorders>
              <w:top w:val="single" w:color="auto" w:sz="12" w:space="0"/>
            </w:tcBorders>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乙酸乙酯</w:t>
            </w:r>
          </w:p>
        </w:tc>
        <w:tc>
          <w:tcPr>
            <w:tcW w:w="795" w:type="pct"/>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3.97</w:t>
            </w:r>
          </w:p>
        </w:tc>
        <w:tc>
          <w:tcPr>
            <w:tcW w:w="795" w:type="pct"/>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0.076</w:t>
            </w:r>
          </w:p>
        </w:tc>
        <w:tc>
          <w:tcPr>
            <w:tcW w:w="606" w:type="pct"/>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98.1%</w:t>
            </w:r>
          </w:p>
        </w:tc>
        <w:tc>
          <w:tcPr>
            <w:tcW w:w="606" w:type="pct"/>
            <w:tcBorders>
              <w:top w:val="single" w:color="auto" w:sz="12" w:space="0"/>
            </w:tcBorders>
            <w:vAlign w:val="center"/>
          </w:tcPr>
          <w:p>
            <w:pPr>
              <w:pStyle w:val="28"/>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97.5%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2" w:type="pct"/>
            <w:vMerge w:val="continue"/>
            <w:vAlign w:val="center"/>
          </w:tcPr>
          <w:p>
            <w:pPr>
              <w:pStyle w:val="28"/>
              <w:rPr>
                <w:rFonts w:ascii="Times New Roman" w:hAnsi="Times New Roman"/>
                <w:color w:val="auto"/>
                <w:sz w:val="21"/>
                <w:szCs w:val="21"/>
              </w:rPr>
            </w:pPr>
          </w:p>
        </w:tc>
        <w:tc>
          <w:tcPr>
            <w:tcW w:w="661" w:type="pct"/>
            <w:vMerge w:val="continue"/>
            <w:vAlign w:val="center"/>
          </w:tcPr>
          <w:p>
            <w:pPr>
              <w:pStyle w:val="28"/>
              <w:rPr>
                <w:rFonts w:hint="default" w:ascii="Times New Roman" w:hAnsi="Times New Roman" w:eastAsia="宋体" w:cs="Times New Roman"/>
                <w:color w:val="auto"/>
                <w:sz w:val="21"/>
                <w:szCs w:val="21"/>
                <w:highlight w:val="none"/>
              </w:rPr>
            </w:pPr>
          </w:p>
        </w:tc>
        <w:tc>
          <w:tcPr>
            <w:tcW w:w="803" w:type="pct"/>
            <w:tcBorders>
              <w:top w:val="single" w:color="auto" w:sz="12" w:space="0"/>
            </w:tcBorders>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甲苯</w:t>
            </w:r>
          </w:p>
        </w:tc>
        <w:tc>
          <w:tcPr>
            <w:tcW w:w="795" w:type="pct"/>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3.48</w:t>
            </w:r>
          </w:p>
        </w:tc>
        <w:tc>
          <w:tcPr>
            <w:tcW w:w="795" w:type="pct"/>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0.044</w:t>
            </w:r>
          </w:p>
        </w:tc>
        <w:tc>
          <w:tcPr>
            <w:tcW w:w="606" w:type="pct"/>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98.7%</w:t>
            </w:r>
          </w:p>
        </w:tc>
        <w:tc>
          <w:tcPr>
            <w:tcW w:w="606" w:type="pct"/>
            <w:tcBorders>
              <w:top w:val="single" w:color="auto" w:sz="12" w:space="0"/>
            </w:tcBorders>
            <w:vAlign w:val="center"/>
          </w:tcPr>
          <w:p>
            <w:pPr>
              <w:pStyle w:val="28"/>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97.5%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2" w:type="pct"/>
            <w:vMerge w:val="continue"/>
            <w:vAlign w:val="center"/>
          </w:tcPr>
          <w:p>
            <w:pPr>
              <w:pStyle w:val="28"/>
              <w:rPr>
                <w:rFonts w:ascii="Times New Roman" w:hAnsi="Times New Roman"/>
                <w:color w:val="auto"/>
                <w:sz w:val="21"/>
                <w:szCs w:val="21"/>
              </w:rPr>
            </w:pPr>
          </w:p>
        </w:tc>
        <w:tc>
          <w:tcPr>
            <w:tcW w:w="661" w:type="pct"/>
            <w:vMerge w:val="continue"/>
            <w:vAlign w:val="center"/>
          </w:tcPr>
          <w:p>
            <w:pPr>
              <w:pStyle w:val="28"/>
              <w:rPr>
                <w:rFonts w:hint="default" w:ascii="Times New Roman" w:hAnsi="Times New Roman" w:eastAsia="宋体" w:cs="Times New Roman"/>
                <w:color w:val="auto"/>
                <w:sz w:val="21"/>
                <w:szCs w:val="21"/>
                <w:highlight w:val="none"/>
              </w:rPr>
            </w:pPr>
          </w:p>
        </w:tc>
        <w:tc>
          <w:tcPr>
            <w:tcW w:w="803" w:type="pct"/>
            <w:tcBorders>
              <w:top w:val="single" w:color="auto" w:sz="12" w:space="0"/>
            </w:tcBorders>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color w:val="auto"/>
                <w:sz w:val="21"/>
                <w:szCs w:val="21"/>
                <w:highlight w:val="none"/>
              </w:rPr>
              <w:t>甲醇</w:t>
            </w:r>
          </w:p>
        </w:tc>
        <w:tc>
          <w:tcPr>
            <w:tcW w:w="795" w:type="pct"/>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ND</w:t>
            </w:r>
          </w:p>
        </w:tc>
        <w:tc>
          <w:tcPr>
            <w:tcW w:w="795" w:type="pct"/>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ND</w:t>
            </w:r>
          </w:p>
        </w:tc>
        <w:tc>
          <w:tcPr>
            <w:tcW w:w="606" w:type="pct"/>
            <w:tcBorders>
              <w:top w:val="single" w:color="auto" w:sz="12" w:space="0"/>
            </w:tcBorders>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w:t>
            </w:r>
          </w:p>
        </w:tc>
        <w:tc>
          <w:tcPr>
            <w:tcW w:w="606" w:type="pct"/>
            <w:tcBorders>
              <w:top w:val="single" w:color="auto" w:sz="12" w:space="0"/>
            </w:tcBorders>
            <w:vAlign w:val="center"/>
          </w:tcPr>
          <w:p>
            <w:pPr>
              <w:pStyle w:val="28"/>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97.5%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2" w:type="pct"/>
            <w:vMerge w:val="continue"/>
            <w:vAlign w:val="center"/>
          </w:tcPr>
          <w:p>
            <w:pPr>
              <w:pStyle w:val="28"/>
              <w:rPr>
                <w:rFonts w:hint="default" w:ascii="Times New Roman" w:hAnsi="Times New Roman" w:eastAsia="宋体" w:cs="Times New Roman"/>
                <w:color w:val="auto"/>
                <w:sz w:val="21"/>
                <w:szCs w:val="21"/>
              </w:rPr>
            </w:pPr>
          </w:p>
        </w:tc>
        <w:tc>
          <w:tcPr>
            <w:tcW w:w="661" w:type="pct"/>
            <w:vMerge w:val="continue"/>
            <w:vAlign w:val="center"/>
          </w:tcPr>
          <w:p>
            <w:pPr>
              <w:pStyle w:val="28"/>
              <w:rPr>
                <w:rFonts w:hint="default" w:ascii="Times New Roman" w:hAnsi="Times New Roman" w:eastAsia="宋体" w:cs="Times New Roman"/>
                <w:color w:val="auto"/>
                <w:sz w:val="21"/>
                <w:szCs w:val="21"/>
                <w:highlight w:val="none"/>
              </w:rPr>
            </w:pPr>
          </w:p>
        </w:tc>
        <w:tc>
          <w:tcPr>
            <w:tcW w:w="803" w:type="pct"/>
            <w:vAlign w:val="center"/>
          </w:tcPr>
          <w:p>
            <w:pPr>
              <w:pStyle w:val="28"/>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非甲烷总烃</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53.7</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1.23</w:t>
            </w:r>
          </w:p>
        </w:tc>
        <w:tc>
          <w:tcPr>
            <w:tcW w:w="60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97.7%</w:t>
            </w:r>
          </w:p>
        </w:tc>
        <w:tc>
          <w:tcPr>
            <w:tcW w:w="606" w:type="pct"/>
            <w:vAlign w:val="center"/>
          </w:tcPr>
          <w:p>
            <w:pPr>
              <w:pStyle w:val="28"/>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97.5%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2" w:type="pct"/>
            <w:vMerge w:val="continue"/>
            <w:vAlign w:val="center"/>
          </w:tcPr>
          <w:p>
            <w:pPr>
              <w:pStyle w:val="28"/>
              <w:rPr>
                <w:rFonts w:hint="default" w:ascii="Times New Roman" w:hAnsi="Times New Roman" w:eastAsia="宋体" w:cs="Times New Roman"/>
                <w:color w:val="auto"/>
                <w:sz w:val="21"/>
                <w:szCs w:val="21"/>
              </w:rPr>
            </w:pPr>
          </w:p>
        </w:tc>
        <w:tc>
          <w:tcPr>
            <w:tcW w:w="661" w:type="pct"/>
            <w:vMerge w:val="restart"/>
            <w:vAlign w:val="center"/>
          </w:tcPr>
          <w:p>
            <w:pPr>
              <w:pStyle w:val="28"/>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3.2.11</w:t>
            </w:r>
          </w:p>
        </w:tc>
        <w:tc>
          <w:tcPr>
            <w:tcW w:w="803"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乙酸乙酯</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3.21</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0.043</w:t>
            </w:r>
          </w:p>
        </w:tc>
        <w:tc>
          <w:tcPr>
            <w:tcW w:w="60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98.7%</w:t>
            </w:r>
          </w:p>
        </w:tc>
        <w:tc>
          <w:tcPr>
            <w:tcW w:w="606" w:type="pct"/>
            <w:vAlign w:val="center"/>
          </w:tcPr>
          <w:p>
            <w:pPr>
              <w:pStyle w:val="28"/>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97.5%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2" w:type="pct"/>
            <w:vMerge w:val="continue"/>
            <w:vAlign w:val="center"/>
          </w:tcPr>
          <w:p>
            <w:pPr>
              <w:pStyle w:val="28"/>
              <w:rPr>
                <w:rFonts w:hint="default" w:ascii="Times New Roman" w:hAnsi="Times New Roman" w:eastAsia="宋体" w:cs="Times New Roman"/>
                <w:color w:val="auto"/>
                <w:sz w:val="21"/>
                <w:szCs w:val="21"/>
              </w:rPr>
            </w:pPr>
          </w:p>
        </w:tc>
        <w:tc>
          <w:tcPr>
            <w:tcW w:w="661" w:type="pct"/>
            <w:vMerge w:val="continue"/>
            <w:vAlign w:val="center"/>
          </w:tcPr>
          <w:p>
            <w:pPr>
              <w:pStyle w:val="28"/>
              <w:rPr>
                <w:rFonts w:hint="default" w:ascii="Times New Roman" w:hAnsi="Times New Roman" w:eastAsia="宋体" w:cs="Times New Roman"/>
                <w:color w:val="auto"/>
                <w:sz w:val="21"/>
                <w:szCs w:val="21"/>
                <w:highlight w:val="none"/>
              </w:rPr>
            </w:pPr>
          </w:p>
        </w:tc>
        <w:tc>
          <w:tcPr>
            <w:tcW w:w="803"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甲苯</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2.38</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0.019</w:t>
            </w:r>
          </w:p>
        </w:tc>
        <w:tc>
          <w:tcPr>
            <w:tcW w:w="60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99.2%</w:t>
            </w:r>
          </w:p>
        </w:tc>
        <w:tc>
          <w:tcPr>
            <w:tcW w:w="606" w:type="pct"/>
            <w:vAlign w:val="center"/>
          </w:tcPr>
          <w:p>
            <w:pPr>
              <w:pStyle w:val="28"/>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97.5%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2" w:type="pct"/>
            <w:vMerge w:val="continue"/>
            <w:vAlign w:val="center"/>
          </w:tcPr>
          <w:p>
            <w:pPr>
              <w:pStyle w:val="28"/>
              <w:rPr>
                <w:rFonts w:hint="default" w:ascii="Times New Roman" w:hAnsi="Times New Roman" w:eastAsia="宋体" w:cs="Times New Roman"/>
                <w:color w:val="auto"/>
                <w:sz w:val="21"/>
                <w:szCs w:val="21"/>
              </w:rPr>
            </w:pPr>
          </w:p>
        </w:tc>
        <w:tc>
          <w:tcPr>
            <w:tcW w:w="661" w:type="pct"/>
            <w:vMerge w:val="continue"/>
            <w:vAlign w:val="center"/>
          </w:tcPr>
          <w:p>
            <w:pPr>
              <w:pStyle w:val="28"/>
              <w:rPr>
                <w:rFonts w:hint="default" w:ascii="Times New Roman" w:hAnsi="Times New Roman" w:eastAsia="宋体" w:cs="Times New Roman"/>
                <w:color w:val="auto"/>
                <w:sz w:val="21"/>
                <w:szCs w:val="21"/>
                <w:highlight w:val="none"/>
              </w:rPr>
            </w:pPr>
          </w:p>
        </w:tc>
        <w:tc>
          <w:tcPr>
            <w:tcW w:w="803"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color w:val="auto"/>
                <w:sz w:val="21"/>
                <w:szCs w:val="21"/>
                <w:highlight w:val="none"/>
              </w:rPr>
              <w:t>甲醇</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ND</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ND</w:t>
            </w:r>
          </w:p>
        </w:tc>
        <w:tc>
          <w:tcPr>
            <w:tcW w:w="60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w:t>
            </w:r>
          </w:p>
        </w:tc>
        <w:tc>
          <w:tcPr>
            <w:tcW w:w="606" w:type="pct"/>
            <w:vAlign w:val="center"/>
          </w:tcPr>
          <w:p>
            <w:pPr>
              <w:pStyle w:val="28"/>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97.5%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2" w:type="pct"/>
            <w:vMerge w:val="continue"/>
            <w:vAlign w:val="center"/>
          </w:tcPr>
          <w:p>
            <w:pPr>
              <w:pStyle w:val="28"/>
              <w:rPr>
                <w:rFonts w:hint="default" w:ascii="Times New Roman" w:hAnsi="Times New Roman" w:eastAsia="宋体" w:cs="Times New Roman"/>
                <w:color w:val="auto"/>
                <w:sz w:val="21"/>
                <w:szCs w:val="21"/>
              </w:rPr>
            </w:pPr>
          </w:p>
        </w:tc>
        <w:tc>
          <w:tcPr>
            <w:tcW w:w="661" w:type="pct"/>
            <w:vMerge w:val="continue"/>
            <w:vAlign w:val="center"/>
          </w:tcPr>
          <w:p>
            <w:pPr>
              <w:pStyle w:val="28"/>
              <w:rPr>
                <w:rFonts w:hint="default" w:ascii="Times New Roman" w:hAnsi="Times New Roman" w:eastAsia="宋体" w:cs="Times New Roman"/>
                <w:color w:val="auto"/>
                <w:sz w:val="21"/>
                <w:szCs w:val="21"/>
                <w:highlight w:val="none"/>
              </w:rPr>
            </w:pPr>
          </w:p>
        </w:tc>
        <w:tc>
          <w:tcPr>
            <w:tcW w:w="803" w:type="pct"/>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非甲烷总烃</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52.7</w:t>
            </w:r>
          </w:p>
        </w:tc>
        <w:tc>
          <w:tcPr>
            <w:tcW w:w="79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1.00</w:t>
            </w:r>
          </w:p>
        </w:tc>
        <w:tc>
          <w:tcPr>
            <w:tcW w:w="60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cs="Times New Roman"/>
                <w:bCs/>
                <w:color w:val="auto"/>
                <w:sz w:val="21"/>
                <w:szCs w:val="21"/>
                <w:highlight w:val="none"/>
                <w:lang w:val="en-US" w:eastAsia="zh-CN"/>
              </w:rPr>
              <w:t>98.1%</w:t>
            </w:r>
          </w:p>
        </w:tc>
        <w:tc>
          <w:tcPr>
            <w:tcW w:w="606" w:type="pct"/>
            <w:vAlign w:val="center"/>
          </w:tcPr>
          <w:p>
            <w:pPr>
              <w:pStyle w:val="28"/>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97.5%</w:t>
            </w:r>
          </w:p>
        </w:tc>
      </w:tr>
    </w:tbl>
    <w:p>
      <w:pPr>
        <w:pStyle w:val="29"/>
        <w:keepNext w:val="0"/>
        <w:keepLines w:val="0"/>
        <w:pageBreakBefore w:val="0"/>
        <w:widowControl/>
        <w:kinsoku/>
        <w:wordWrap/>
        <w:overflowPunct/>
        <w:topLinePunct w:val="0"/>
        <w:autoSpaceDE/>
        <w:autoSpaceDN/>
        <w:bidi w:val="0"/>
        <w:adjustRightInd w:val="0"/>
        <w:snapToGrid w:val="0"/>
        <w:spacing w:beforeLines="0" w:line="360" w:lineRule="auto"/>
        <w:jc w:val="left"/>
        <w:textAlignment w:val="auto"/>
        <w:rPr>
          <w:rFonts w:hint="eastAsia" w:cs="Times New Roman"/>
          <w:color w:val="auto"/>
          <w:sz w:val="18"/>
          <w:szCs w:val="18"/>
          <w:lang w:val="en-US" w:eastAsia="zh-CN"/>
        </w:rPr>
      </w:pPr>
      <w:r>
        <w:rPr>
          <w:rFonts w:hint="default" w:ascii="Times New Roman" w:hAnsi="Times New Roman" w:eastAsia="宋体" w:cs="Times New Roman"/>
          <w:color w:val="auto"/>
          <w:sz w:val="18"/>
          <w:szCs w:val="18"/>
        </w:rPr>
        <w:t>注：</w:t>
      </w:r>
      <w:r>
        <w:rPr>
          <w:rFonts w:hint="eastAsia" w:cs="Times New Roman"/>
          <w:color w:val="auto"/>
          <w:sz w:val="18"/>
          <w:szCs w:val="18"/>
          <w:lang w:val="en-US" w:eastAsia="zh-CN"/>
        </w:rPr>
        <w:t>ND表示未检出，甲醇</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0.1</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lang w:val="en-US" w:eastAsia="zh-CN"/>
        </w:rPr>
        <w:t>。</w:t>
      </w:r>
    </w:p>
    <w:p>
      <w:pPr>
        <w:pStyle w:val="29"/>
        <w:pageBreakBefore w:val="0"/>
        <w:kinsoku/>
        <w:wordWrap/>
        <w:overflowPunct/>
        <w:topLinePunct w:val="0"/>
        <w:bidi w:val="0"/>
        <w:adjustRightInd w:val="0"/>
        <w:snapToGrid w:val="0"/>
        <w:spacing w:beforeLines="0" w:line="360" w:lineRule="auto"/>
        <w:ind w:firstLine="420" w:firstLineChars="200"/>
        <w:jc w:val="left"/>
        <w:textAlignment w:val="auto"/>
        <w:rPr>
          <w:rFonts w:hint="default" w:eastAsia="宋体" w:cs="Times New Roman"/>
          <w:b w:val="0"/>
          <w:bCs/>
          <w:color w:val="auto"/>
          <w:sz w:val="21"/>
          <w:szCs w:val="21"/>
          <w:lang w:val="en-US" w:eastAsia="zh-CN"/>
        </w:rPr>
      </w:pPr>
      <w:r>
        <w:rPr>
          <w:rFonts w:hint="eastAsia" w:eastAsia="宋体" w:cs="Times New Roman"/>
          <w:b w:val="0"/>
          <w:bCs/>
          <w:color w:val="auto"/>
          <w:sz w:val="21"/>
          <w:szCs w:val="21"/>
          <w:lang w:val="en-US" w:eastAsia="zh-CN"/>
        </w:rPr>
        <w:t>根据上表可知，项目旋转式RTO装置实际检测处理效率达到97.5%以上，满足环评设计要求。</w:t>
      </w:r>
    </w:p>
    <w:p>
      <w:pPr>
        <w:pStyle w:val="5"/>
        <w:pageBreakBefore w:val="0"/>
        <w:kinsoku/>
        <w:wordWrap/>
        <w:overflowPunct/>
        <w:topLinePunct w:val="0"/>
        <w:bidi w:val="0"/>
        <w:adjustRightInd w:val="0"/>
        <w:snapToGrid w:val="0"/>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9.2.1.3 噪声治理设施</w:t>
      </w:r>
    </w:p>
    <w:p>
      <w:pPr>
        <w:pageBreakBefore w:val="0"/>
        <w:kinsoku/>
        <w:wordWrap/>
        <w:overflowPunct/>
        <w:topLinePunct w:val="0"/>
        <w:bidi w:val="0"/>
        <w:adjustRightInd w:val="0"/>
        <w:snapToGrid w:val="0"/>
        <w:spacing w:line="360" w:lineRule="auto"/>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rPr>
        <w:t>验收项目通过选用</w:t>
      </w:r>
      <w:r>
        <w:rPr>
          <w:rFonts w:hint="default" w:ascii="Times New Roman" w:hAnsi="Times New Roman" w:eastAsia="宋体" w:cs="Times New Roman"/>
          <w:color w:val="auto"/>
          <w:sz w:val="21"/>
          <w:szCs w:val="21"/>
          <w:highlight w:val="none"/>
        </w:rPr>
        <w:t>低噪声设备、合理布局、对主要噪声源采取隔音、消声或减震等措施来控制噪声。经检测，验收项目西、南、东厂界昼夜间噪声均符合《工业企业厂界环境噪声排放标准》（GB12348-2008）中</w:t>
      </w:r>
      <w:r>
        <w:rPr>
          <w:rFonts w:hint="eastAsia"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类区域标准要求。</w:t>
      </w:r>
    </w:p>
    <w:p>
      <w:pPr>
        <w:pStyle w:val="2"/>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9.2.2 污染物排放监测结果</w:t>
      </w:r>
    </w:p>
    <w:p>
      <w:pPr>
        <w:pStyle w:val="5"/>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9.2.2.1 废水</w:t>
      </w:r>
    </w:p>
    <w:p>
      <w:pPr>
        <w:pageBreakBefore w:val="0"/>
        <w:kinsoku/>
        <w:wordWrap/>
        <w:overflowPunct/>
        <w:topLinePunct w:val="0"/>
        <w:bidi w:val="0"/>
        <w:adjustRightInd/>
        <w:snapToGrid/>
        <w:spacing w:line="360" w:lineRule="auto"/>
        <w:ind w:left="0" w:leftChars="0" w:firstLine="420" w:firstLineChars="20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验收项目废水监测结果如下：</w:t>
      </w:r>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FF0000"/>
          <w:sz w:val="21"/>
          <w:szCs w:val="21"/>
        </w:rPr>
      </w:pPr>
      <w:r>
        <w:rPr>
          <w:rFonts w:hint="default" w:ascii="Times New Roman" w:hAnsi="Times New Roman" w:eastAsia="宋体" w:cs="Times New Roman"/>
          <w:color w:val="auto"/>
          <w:sz w:val="21"/>
          <w:szCs w:val="21"/>
        </w:rPr>
        <w:t>表9-</w:t>
      </w:r>
      <w:r>
        <w:rPr>
          <w:rFonts w:hint="eastAsia" w:cs="Times New Roman"/>
          <w:color w:val="auto"/>
          <w:sz w:val="21"/>
          <w:szCs w:val="21"/>
          <w:lang w:val="en-US" w:eastAsia="zh-CN"/>
        </w:rPr>
        <w:t>3</w:t>
      </w:r>
      <w:r>
        <w:rPr>
          <w:rFonts w:hint="default" w:ascii="Times New Roman" w:hAnsi="Times New Roman" w:eastAsia="宋体" w:cs="Times New Roman"/>
          <w:color w:val="auto"/>
          <w:sz w:val="21"/>
          <w:szCs w:val="21"/>
        </w:rPr>
        <w:t xml:space="preserve">  废水监测结果</w:t>
      </w:r>
    </w:p>
    <w:tbl>
      <w:tblPr>
        <w:tblStyle w:val="24"/>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782"/>
        <w:gridCol w:w="1387"/>
        <w:gridCol w:w="1044"/>
        <w:gridCol w:w="947"/>
        <w:gridCol w:w="984"/>
        <w:gridCol w:w="976"/>
        <w:gridCol w:w="927"/>
        <w:gridCol w:w="8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28" w:type="pct"/>
            <w:vMerge w:val="restart"/>
            <w:tcBorders>
              <w:top w:val="single" w:color="auto" w:sz="12"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采样日期</w:t>
            </w:r>
          </w:p>
        </w:tc>
        <w:tc>
          <w:tcPr>
            <w:tcW w:w="431" w:type="pct"/>
            <w:vMerge w:val="restart"/>
            <w:tcBorders>
              <w:top w:val="single" w:color="auto" w:sz="12"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采样点位</w:t>
            </w:r>
          </w:p>
        </w:tc>
        <w:tc>
          <w:tcPr>
            <w:tcW w:w="764" w:type="pct"/>
            <w:vMerge w:val="restart"/>
            <w:tcBorders>
              <w:top w:val="single" w:color="auto" w:sz="12"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检测项目</w:t>
            </w:r>
          </w:p>
        </w:tc>
        <w:tc>
          <w:tcPr>
            <w:tcW w:w="575" w:type="pct"/>
            <w:vMerge w:val="restart"/>
            <w:tcBorders>
              <w:top w:val="single" w:color="auto" w:sz="12"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单位</w:t>
            </w:r>
          </w:p>
        </w:tc>
        <w:tc>
          <w:tcPr>
            <w:tcW w:w="2113" w:type="pct"/>
            <w:gridSpan w:val="4"/>
            <w:tcBorders>
              <w:top w:val="single" w:color="auto" w:sz="12"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检测结果</w:t>
            </w:r>
          </w:p>
        </w:tc>
        <w:tc>
          <w:tcPr>
            <w:tcW w:w="487" w:type="pct"/>
            <w:vMerge w:val="restart"/>
            <w:tcBorders>
              <w:top w:val="single" w:color="auto" w:sz="12"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执行标准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57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5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第一次</w:t>
            </w:r>
          </w:p>
        </w:tc>
        <w:tc>
          <w:tcPr>
            <w:tcW w:w="54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第二次</w:t>
            </w:r>
          </w:p>
        </w:tc>
        <w:tc>
          <w:tcPr>
            <w:tcW w:w="53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第三次</w:t>
            </w:r>
          </w:p>
        </w:tc>
        <w:tc>
          <w:tcPr>
            <w:tcW w:w="510"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第四次</w:t>
            </w:r>
          </w:p>
        </w:tc>
        <w:tc>
          <w:tcPr>
            <w:tcW w:w="487" w:type="pct"/>
            <w:vMerge w:val="continue"/>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restart"/>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highlight w:val="none"/>
                <w:lang w:val="en-US" w:eastAsia="zh-CN"/>
              </w:rPr>
              <w:t>202</w:t>
            </w:r>
            <w:r>
              <w:rPr>
                <w:rFonts w:hint="eastAsia" w:cs="Times New Roman"/>
                <w:color w:val="auto"/>
                <w:sz w:val="21"/>
                <w:szCs w:val="21"/>
                <w:highlight w:val="none"/>
                <w:lang w:val="en-US" w:eastAsia="zh-CN"/>
              </w:rPr>
              <w:t>3.2.10</w:t>
            </w:r>
          </w:p>
        </w:tc>
        <w:tc>
          <w:tcPr>
            <w:tcW w:w="43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厂区总排口</w:t>
            </w: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pH值</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无量纲</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7.8</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7.8</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7.7</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7.7</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化学需氧量</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183</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169</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174</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154</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悬浮物</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87</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98</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80</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95</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氨氮</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3.03</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3.84</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3.69</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3.37</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总磷</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0.82</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0.95</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1.19</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1.04</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总氮</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12.9</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10.3</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11.1</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12.3</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restart"/>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highlight w:val="none"/>
                <w:lang w:val="en-US" w:eastAsia="zh-CN"/>
              </w:rPr>
              <w:t>202</w:t>
            </w:r>
            <w:r>
              <w:rPr>
                <w:rFonts w:hint="eastAsia" w:cs="Times New Roman"/>
                <w:color w:val="auto"/>
                <w:sz w:val="21"/>
                <w:szCs w:val="21"/>
                <w:highlight w:val="none"/>
                <w:lang w:val="en-US" w:eastAsia="zh-CN"/>
              </w:rPr>
              <w:t>3.2.11</w:t>
            </w: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pH值</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无量纲</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7.7</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7.8</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7.8</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7.7</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化学需氧量</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179</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159</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186</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170</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悬浮物</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89</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95</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82</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97</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氨氮</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3.54</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3.91</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3.20</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3.75</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4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总磷</w:t>
            </w:r>
          </w:p>
        </w:tc>
        <w:tc>
          <w:tcPr>
            <w:tcW w:w="575"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0.97</w:t>
            </w:r>
          </w:p>
        </w:tc>
        <w:tc>
          <w:tcPr>
            <w:tcW w:w="9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0.85</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1.04</w:t>
            </w:r>
          </w:p>
        </w:tc>
        <w:tc>
          <w:tcPr>
            <w:tcW w:w="92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1.12</w:t>
            </w:r>
          </w:p>
        </w:tc>
        <w:tc>
          <w:tcPr>
            <w:tcW w:w="487" w:type="pct"/>
            <w:tcBorders>
              <w:top w:val="single" w:color="auto" w:sz="4" w:space="0"/>
              <w:left w:val="single" w:color="auto" w:sz="4" w:space="0"/>
              <w:bottom w:val="single" w:color="auto" w:sz="4"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8" w:type="pct"/>
            <w:vMerge w:val="continue"/>
            <w:tcBorders>
              <w:top w:val="single" w:color="auto" w:sz="4" w:space="0"/>
              <w:left w:val="nil"/>
              <w:bottom w:val="single" w:color="auto" w:sz="12"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431" w:type="pct"/>
            <w:vMerge w:val="continue"/>
            <w:tcBorders>
              <w:top w:val="single" w:color="auto" w:sz="4" w:space="0"/>
              <w:left w:val="single" w:color="auto" w:sz="4" w:space="0"/>
              <w:bottom w:val="single" w:color="auto" w:sz="12"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p>
        </w:tc>
        <w:tc>
          <w:tcPr>
            <w:tcW w:w="764" w:type="pct"/>
            <w:tcBorders>
              <w:top w:val="single" w:color="auto" w:sz="4" w:space="0"/>
              <w:left w:val="single" w:color="auto" w:sz="4" w:space="0"/>
              <w:bottom w:val="single" w:color="auto" w:sz="12"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总氮</w:t>
            </w:r>
          </w:p>
        </w:tc>
        <w:tc>
          <w:tcPr>
            <w:tcW w:w="575" w:type="pct"/>
            <w:tcBorders>
              <w:top w:val="single" w:color="auto" w:sz="4" w:space="0"/>
              <w:left w:val="single" w:color="auto" w:sz="4" w:space="0"/>
              <w:bottom w:val="single" w:color="auto" w:sz="12"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mg/L</w:t>
            </w:r>
          </w:p>
        </w:tc>
        <w:tc>
          <w:tcPr>
            <w:tcW w:w="944" w:type="dxa"/>
            <w:tcBorders>
              <w:top w:val="single" w:color="auto" w:sz="4" w:space="0"/>
              <w:left w:val="single" w:color="auto" w:sz="4" w:space="0"/>
              <w:bottom w:val="single" w:color="auto" w:sz="12"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11.2</w:t>
            </w:r>
          </w:p>
        </w:tc>
        <w:tc>
          <w:tcPr>
            <w:tcW w:w="981" w:type="dxa"/>
            <w:tcBorders>
              <w:top w:val="single" w:color="auto" w:sz="4" w:space="0"/>
              <w:left w:val="single" w:color="auto" w:sz="4" w:space="0"/>
              <w:bottom w:val="single" w:color="auto" w:sz="12"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13.0</w:t>
            </w:r>
          </w:p>
        </w:tc>
        <w:tc>
          <w:tcPr>
            <w:tcW w:w="974" w:type="dxa"/>
            <w:tcBorders>
              <w:top w:val="single" w:color="auto" w:sz="4" w:space="0"/>
              <w:left w:val="single" w:color="auto" w:sz="4" w:space="0"/>
              <w:bottom w:val="single" w:color="auto" w:sz="12"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12.3</w:t>
            </w:r>
          </w:p>
        </w:tc>
        <w:tc>
          <w:tcPr>
            <w:tcW w:w="925" w:type="dxa"/>
            <w:tcBorders>
              <w:top w:val="single" w:color="auto" w:sz="4" w:space="0"/>
              <w:left w:val="single" w:color="auto" w:sz="4" w:space="0"/>
              <w:bottom w:val="single" w:color="auto" w:sz="12" w:space="0"/>
              <w:right w:val="single" w:color="auto" w:sz="4"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11.0</w:t>
            </w:r>
          </w:p>
        </w:tc>
        <w:tc>
          <w:tcPr>
            <w:tcW w:w="487" w:type="pct"/>
            <w:tcBorders>
              <w:top w:val="single" w:color="auto" w:sz="4" w:space="0"/>
              <w:left w:val="single" w:color="auto" w:sz="4" w:space="0"/>
              <w:bottom w:val="single" w:color="auto" w:sz="12" w:space="0"/>
              <w:right w:val="nil"/>
            </w:tcBorders>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50</w:t>
            </w:r>
          </w:p>
        </w:tc>
      </w:tr>
    </w:tbl>
    <w:p>
      <w:pPr>
        <w:pageBreakBefore w:val="0"/>
        <w:kinsoku/>
        <w:wordWrap/>
        <w:overflowPunct/>
        <w:topLinePunct w:val="0"/>
        <w:bidi w:val="0"/>
        <w:adjustRightInd/>
        <w:snapToGrid/>
        <w:spacing w:line="360" w:lineRule="auto"/>
        <w:jc w:val="both"/>
        <w:textAlignment w:val="auto"/>
        <w:rPr>
          <w:rFonts w:hint="eastAsia" w:ascii="宋体" w:hAnsi="宋体" w:eastAsia="宋体" w:cs="宋体"/>
          <w:color w:val="auto"/>
          <w:sz w:val="24"/>
          <w:szCs w:val="24"/>
        </w:rPr>
      </w:pPr>
      <w:r>
        <w:rPr>
          <w:rFonts w:hint="default" w:ascii="Times New Roman" w:hAnsi="Times New Roman" w:eastAsia="宋体" w:cs="Times New Roman"/>
          <w:color w:val="auto"/>
          <w:sz w:val="21"/>
          <w:szCs w:val="21"/>
        </w:rPr>
        <w:t>废水验收监测结果评价：根据验收监测期间监测数据，</w:t>
      </w:r>
      <w:r>
        <w:rPr>
          <w:rFonts w:hint="eastAsia" w:ascii="宋体" w:hAnsi="宋体" w:eastAsia="宋体" w:cs="宋体"/>
          <w:color w:val="auto"/>
          <w:sz w:val="21"/>
          <w:szCs w:val="21"/>
        </w:rPr>
        <w:t>在生活污水正常排放的工况下，厂区污水总排口中污染物浓度均能达到金坛区第二污水处理厂接管标准。</w:t>
      </w:r>
    </w:p>
    <w:p>
      <w:pPr>
        <w:pStyle w:val="5"/>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9.2.2.2 废气</w:t>
      </w:r>
    </w:p>
    <w:p>
      <w:pPr>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（1）有组织废气</w:t>
      </w:r>
    </w:p>
    <w:p>
      <w:pPr>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验收项目有组织废气监测结果如下：</w:t>
      </w:r>
    </w:p>
    <w:p>
      <w:pPr>
        <w:pStyle w:val="29"/>
        <w:keepNext w:val="0"/>
        <w:keepLines w:val="0"/>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表9</w:t>
      </w:r>
      <w:r>
        <w:rPr>
          <w:rFonts w:hint="eastAsia" w:cs="Times New Roman"/>
          <w:color w:val="auto"/>
          <w:sz w:val="21"/>
          <w:szCs w:val="21"/>
          <w:lang w:val="en-US" w:eastAsia="zh-CN"/>
        </w:rPr>
        <w:t>-4</w:t>
      </w:r>
      <w:r>
        <w:rPr>
          <w:rFonts w:hint="default" w:ascii="Times New Roman" w:hAnsi="Times New Roman" w:eastAsia="宋体" w:cs="Times New Roman"/>
          <w:color w:val="auto"/>
          <w:sz w:val="21"/>
          <w:szCs w:val="21"/>
        </w:rPr>
        <w:t xml:space="preserve">  有组织废气监测结果</w:t>
      </w:r>
    </w:p>
    <w:tbl>
      <w:tblPr>
        <w:tblStyle w:val="24"/>
        <w:tblW w:w="490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37"/>
        <w:gridCol w:w="931"/>
        <w:gridCol w:w="2029"/>
        <w:gridCol w:w="1223"/>
        <w:gridCol w:w="1223"/>
        <w:gridCol w:w="1227"/>
        <w:gridCol w:w="7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56"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监测时间</w:t>
            </w:r>
          </w:p>
        </w:tc>
        <w:tc>
          <w:tcPr>
            <w:tcW w:w="461"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监测</w:t>
            </w:r>
          </w:p>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点位</w:t>
            </w:r>
          </w:p>
        </w:tc>
        <w:tc>
          <w:tcPr>
            <w:tcW w:w="1631" w:type="pct"/>
            <w:gridSpan w:val="2"/>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监测项目</w:t>
            </w:r>
          </w:p>
        </w:tc>
        <w:tc>
          <w:tcPr>
            <w:tcW w:w="2024" w:type="pct"/>
            <w:gridSpan w:val="3"/>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监测结果</w:t>
            </w:r>
          </w:p>
        </w:tc>
        <w:tc>
          <w:tcPr>
            <w:tcW w:w="425"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执行</w:t>
            </w:r>
          </w:p>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
                <w:color w:val="auto"/>
                <w:sz w:val="21"/>
                <w:szCs w:val="21"/>
              </w:rPr>
              <w:t>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56" w:type="pct"/>
            <w:vMerge w:val="continue"/>
            <w:tcBorders>
              <w:bottom w:val="single" w:color="auto" w:sz="4"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p>
        </w:tc>
        <w:tc>
          <w:tcPr>
            <w:tcW w:w="461" w:type="pct"/>
            <w:vMerge w:val="continue"/>
            <w:tcBorders>
              <w:bottom w:val="single" w:color="auto" w:sz="4"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p>
        </w:tc>
        <w:tc>
          <w:tcPr>
            <w:tcW w:w="1631" w:type="pct"/>
            <w:gridSpan w:val="2"/>
            <w:vMerge w:val="continue"/>
            <w:tcBorders>
              <w:bottom w:val="single" w:color="auto" w:sz="4"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p>
        </w:tc>
        <w:tc>
          <w:tcPr>
            <w:tcW w:w="674" w:type="pct"/>
            <w:tcBorders>
              <w:bottom w:val="single" w:color="auto" w:sz="4" w:space="0"/>
            </w:tcBorders>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
                <w:color w:val="auto"/>
                <w:sz w:val="21"/>
                <w:szCs w:val="21"/>
                <w:highlight w:val="none"/>
                <w:lang w:val="en-US" w:eastAsia="zh-CN"/>
              </w:rPr>
            </w:pPr>
            <w:r>
              <w:rPr>
                <w:rFonts w:hint="eastAsia" w:cs="Times New Roman"/>
                <w:b/>
                <w:color w:val="auto"/>
                <w:sz w:val="21"/>
                <w:szCs w:val="21"/>
                <w:highlight w:val="none"/>
                <w:lang w:val="en-US" w:eastAsia="zh-CN"/>
              </w:rPr>
              <w:t>第一次</w:t>
            </w:r>
          </w:p>
        </w:tc>
        <w:tc>
          <w:tcPr>
            <w:tcW w:w="674" w:type="pct"/>
            <w:tcBorders>
              <w:bottom w:val="single" w:color="auto" w:sz="4" w:space="0"/>
            </w:tcBorders>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
                <w:color w:val="auto"/>
                <w:sz w:val="21"/>
                <w:szCs w:val="21"/>
                <w:highlight w:val="none"/>
                <w:lang w:eastAsia="zh-CN"/>
              </w:rPr>
            </w:pPr>
            <w:r>
              <w:rPr>
                <w:rFonts w:hint="eastAsia" w:cs="Times New Roman"/>
                <w:b/>
                <w:color w:val="auto"/>
                <w:sz w:val="21"/>
                <w:szCs w:val="21"/>
                <w:highlight w:val="none"/>
                <w:lang w:val="en-US" w:eastAsia="zh-CN"/>
              </w:rPr>
              <w:t>第二次</w:t>
            </w:r>
          </w:p>
        </w:tc>
        <w:tc>
          <w:tcPr>
            <w:tcW w:w="676" w:type="pct"/>
            <w:tcBorders>
              <w:bottom w:val="single" w:color="auto" w:sz="4" w:space="0"/>
            </w:tcBorders>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
                <w:color w:val="auto"/>
                <w:sz w:val="21"/>
                <w:szCs w:val="21"/>
                <w:highlight w:val="none"/>
                <w:lang w:eastAsia="zh-CN"/>
              </w:rPr>
            </w:pPr>
            <w:r>
              <w:rPr>
                <w:rFonts w:hint="eastAsia" w:cs="Times New Roman"/>
                <w:b/>
                <w:color w:val="auto"/>
                <w:sz w:val="21"/>
                <w:szCs w:val="21"/>
                <w:highlight w:val="none"/>
                <w:lang w:val="en-US" w:eastAsia="zh-CN"/>
              </w:rPr>
              <w:t>第三次</w:t>
            </w:r>
          </w:p>
        </w:tc>
        <w:tc>
          <w:tcPr>
            <w:tcW w:w="425" w:type="pct"/>
            <w:vMerge w:val="continue"/>
            <w:tcBorders>
              <w:bottom w:val="single" w:color="auto" w:sz="4"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kern w:val="2"/>
                <w:sz w:val="21"/>
                <w:szCs w:val="21"/>
                <w:highlight w:val="none"/>
                <w:lang w:val="en-US" w:eastAsia="zh-CN"/>
              </w:rPr>
            </w:pPr>
            <w:r>
              <w:rPr>
                <w:rFonts w:hint="default" w:ascii="Times New Roman" w:hAnsi="Times New Roman" w:eastAsia="宋体" w:cs="Times New Roman"/>
                <w:bCs/>
                <w:color w:val="auto"/>
                <w:sz w:val="21"/>
                <w:szCs w:val="21"/>
                <w:highlight w:val="none"/>
              </w:rPr>
              <w:t>202</w:t>
            </w:r>
            <w:r>
              <w:rPr>
                <w:rFonts w:hint="eastAsia" w:cs="Times New Roman"/>
                <w:bCs/>
                <w:color w:val="auto"/>
                <w:sz w:val="21"/>
                <w:szCs w:val="21"/>
                <w:highlight w:val="none"/>
                <w:lang w:val="en-US" w:eastAsia="zh-CN"/>
              </w:rPr>
              <w:t>3.2.10</w:t>
            </w:r>
          </w:p>
        </w:tc>
        <w:tc>
          <w:tcPr>
            <w:tcW w:w="461"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kern w:val="2"/>
                <w:sz w:val="21"/>
                <w:szCs w:val="21"/>
                <w:highlight w:val="none"/>
              </w:rPr>
            </w:pPr>
            <w:r>
              <w:rPr>
                <w:rFonts w:ascii="Times New Roman" w:hAnsi="Times New Roman"/>
                <w:color w:val="auto"/>
                <w:sz w:val="21"/>
                <w:szCs w:val="21"/>
                <w:highlight w:val="none"/>
              </w:rPr>
              <w:t>旋转式RTO</w:t>
            </w:r>
            <w:r>
              <w:rPr>
                <w:rFonts w:hint="eastAsia" w:ascii="Times New Roman" w:hAnsi="Times New Roman"/>
                <w:color w:val="auto"/>
                <w:sz w:val="21"/>
                <w:szCs w:val="21"/>
                <w:highlight w:val="none"/>
                <w:lang w:val="en-US" w:eastAsia="zh-CN"/>
              </w:rPr>
              <w:t>装置</w:t>
            </w:r>
            <w:r>
              <w:rPr>
                <w:rFonts w:hint="default" w:ascii="Times New Roman" w:hAnsi="Times New Roman" w:eastAsia="宋体" w:cs="Times New Roman"/>
                <w:bCs/>
                <w:color w:val="auto"/>
                <w:kern w:val="2"/>
                <w:sz w:val="21"/>
                <w:szCs w:val="21"/>
                <w:highlight w:val="none"/>
              </w:rPr>
              <w:t>进口</w:t>
            </w: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ascii="Times New Roman" w:hAnsi="Times New Roman"/>
                <w:color w:val="auto"/>
                <w:sz w:val="21"/>
                <w:szCs w:val="21"/>
                <w:highlight w:val="none"/>
              </w:rPr>
              <w:t>乙酸乙酯</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4.73</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4.19</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2.99</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0.071</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0.068</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0.046</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ascii="Times New Roman" w:hAnsi="Times New Roman"/>
                <w:color w:val="auto"/>
                <w:sz w:val="21"/>
                <w:szCs w:val="21"/>
                <w:highlight w:val="none"/>
              </w:rPr>
              <w:t>甲苯</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5.07</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2.96</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2.4</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0.076</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0.048</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0.037</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cs="Times New Roman"/>
                <w:bCs/>
                <w:color w:val="auto"/>
                <w:sz w:val="21"/>
                <w:szCs w:val="21"/>
                <w:highlight w:val="none"/>
                <w:lang w:val="en-US" w:eastAsia="zh-CN"/>
              </w:rPr>
              <w:t>非甲烷总烃</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56</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51.2</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53.9</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continue"/>
            <w:vAlign w:val="center"/>
          </w:tcPr>
          <w:p>
            <w:pPr>
              <w:widowControl/>
              <w:spacing w:line="240" w:lineRule="auto"/>
              <w:ind w:firstLine="0" w:firstLineChars="0"/>
              <w:jc w:val="center"/>
              <w:rPr>
                <w:rFonts w:hint="eastAsia"/>
                <w:color w:val="auto"/>
                <w:sz w:val="22"/>
                <w:szCs w:val="22"/>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0.839</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0.829</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0.829</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olor w:val="auto"/>
                <w:sz w:val="22"/>
                <w:szCs w:val="22"/>
                <w:highlight w:val="none"/>
              </w:rPr>
              <w:t>甲醇</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continue"/>
            <w:vAlign w:val="center"/>
          </w:tcPr>
          <w:p>
            <w:pPr>
              <w:autoSpaceDE/>
              <w:autoSpaceDN/>
              <w:adjustRightInd w:val="0"/>
              <w:snapToGrid w:val="0"/>
              <w:spacing w:line="240" w:lineRule="auto"/>
              <w:ind w:firstLine="0" w:firstLineChars="0"/>
              <w:jc w:val="center"/>
              <w:rPr>
                <w:rFonts w:hint="eastAsia" w:cs="Times New Roman"/>
                <w:bCs/>
                <w:color w:val="auto"/>
                <w:sz w:val="21"/>
                <w:szCs w:val="21"/>
                <w:highlight w:val="none"/>
                <w:lang w:val="en-US" w:eastAsia="zh-CN"/>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restar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eastAsia="zh-CN"/>
              </w:rPr>
            </w:pPr>
            <w:r>
              <w:rPr>
                <w:rFonts w:ascii="Times New Roman" w:hAnsi="Times New Roman"/>
                <w:color w:val="auto"/>
                <w:sz w:val="21"/>
                <w:szCs w:val="21"/>
                <w:highlight w:val="none"/>
              </w:rPr>
              <w:t>旋转式RTO</w:t>
            </w:r>
            <w:r>
              <w:rPr>
                <w:rFonts w:hint="eastAsia" w:ascii="Times New Roman" w:hAnsi="Times New Roman"/>
                <w:color w:val="auto"/>
                <w:sz w:val="21"/>
                <w:szCs w:val="21"/>
                <w:highlight w:val="none"/>
                <w:lang w:val="en-US" w:eastAsia="zh-CN"/>
              </w:rPr>
              <w:t>装置</w:t>
            </w:r>
            <w:r>
              <w:rPr>
                <w:rFonts w:hint="eastAsia" w:cs="Times New Roman"/>
                <w:bCs/>
                <w:color w:val="auto"/>
                <w:kern w:val="2"/>
                <w:sz w:val="21"/>
                <w:szCs w:val="21"/>
                <w:highlight w:val="none"/>
                <w:lang w:val="en-US" w:eastAsia="zh-CN"/>
              </w:rPr>
              <w:t>出口</w:t>
            </w:r>
          </w:p>
        </w:tc>
        <w:tc>
          <w:tcPr>
            <w:tcW w:w="513" w:type="pct"/>
            <w:vMerge w:val="restart"/>
            <w:vAlign w:val="center"/>
          </w:tcPr>
          <w:p>
            <w:pPr>
              <w:widowControl/>
              <w:spacing w:line="240" w:lineRule="auto"/>
              <w:ind w:firstLine="0" w:firstLineChars="0"/>
              <w:jc w:val="center"/>
              <w:rPr>
                <w:rFonts w:hint="eastAsia" w:cs="Times New Roman"/>
                <w:bCs/>
                <w:color w:val="auto"/>
                <w:sz w:val="21"/>
                <w:szCs w:val="21"/>
                <w:highlight w:val="none"/>
                <w:lang w:val="en-US" w:eastAsia="zh-CN"/>
              </w:rPr>
            </w:pPr>
            <w:r>
              <w:rPr>
                <w:rFonts w:ascii="Times New Roman" w:hAnsi="Times New Roman"/>
                <w:color w:val="auto"/>
                <w:sz w:val="21"/>
                <w:szCs w:val="21"/>
                <w:highlight w:val="none"/>
              </w:rPr>
              <w:t>乙酸乙酯</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0.098</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0.081</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0.048</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continue"/>
            <w:vAlign w:val="center"/>
          </w:tcPr>
          <w:p>
            <w:pPr>
              <w:autoSpaceDE/>
              <w:autoSpaceDN/>
              <w:adjustRightInd w:val="0"/>
              <w:snapToGrid w:val="0"/>
              <w:spacing w:line="240" w:lineRule="auto"/>
              <w:ind w:firstLine="0" w:firstLineChars="0"/>
              <w:jc w:val="center"/>
              <w:rPr>
                <w:rFonts w:hint="eastAsia" w:cs="Times New Roman"/>
                <w:bCs/>
                <w:color w:val="auto"/>
                <w:sz w:val="21"/>
                <w:szCs w:val="21"/>
                <w:highlight w:val="none"/>
                <w:lang w:val="en-US" w:eastAsia="zh-CN"/>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1.44×10</w:t>
            </w:r>
            <w:r>
              <w:rPr>
                <w:rFonts w:hint="default" w:ascii="Times New Roman" w:hAnsi="Times New Roman" w:eastAsia="宋体" w:cs="Times New Roman"/>
                <w:color w:val="auto"/>
                <w:sz w:val="21"/>
                <w:szCs w:val="21"/>
                <w:highlight w:val="none"/>
                <w:vertAlign w:val="superscript"/>
                <w:lang w:val="en-US" w:eastAsia="zh-CN"/>
              </w:rPr>
              <w:t>-3</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1.23×10</w:t>
            </w:r>
            <w:r>
              <w:rPr>
                <w:rFonts w:hint="default" w:ascii="Times New Roman" w:hAnsi="Times New Roman" w:eastAsia="宋体" w:cs="Times New Roman"/>
                <w:color w:val="auto"/>
                <w:sz w:val="21"/>
                <w:szCs w:val="21"/>
                <w:highlight w:val="none"/>
                <w:vertAlign w:val="superscript"/>
                <w:lang w:val="en-US" w:eastAsia="zh-CN"/>
              </w:rPr>
              <w:t>-3</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7.02×10</w:t>
            </w:r>
            <w:r>
              <w:rPr>
                <w:rFonts w:hint="default" w:ascii="Times New Roman" w:hAnsi="Times New Roman" w:eastAsia="宋体" w:cs="Times New Roman"/>
                <w:color w:val="auto"/>
                <w:sz w:val="21"/>
                <w:szCs w:val="21"/>
                <w:highlight w:val="none"/>
                <w:vertAlign w:val="superscript"/>
                <w:lang w:val="en-US" w:eastAsia="zh-CN"/>
              </w:rPr>
              <w:t>-4</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restart"/>
            <w:vAlign w:val="center"/>
          </w:tcPr>
          <w:p>
            <w:pPr>
              <w:widowControl/>
              <w:spacing w:line="240" w:lineRule="auto"/>
              <w:ind w:firstLine="0" w:firstLineChars="0"/>
              <w:jc w:val="center"/>
              <w:rPr>
                <w:rFonts w:hint="eastAsia" w:cs="Times New Roman"/>
                <w:bCs/>
                <w:color w:val="auto"/>
                <w:sz w:val="21"/>
                <w:szCs w:val="21"/>
                <w:highlight w:val="none"/>
                <w:lang w:val="en-US" w:eastAsia="zh-CN"/>
              </w:rPr>
            </w:pPr>
            <w:r>
              <w:rPr>
                <w:rFonts w:ascii="Times New Roman" w:hAnsi="Times New Roman"/>
                <w:color w:val="auto"/>
                <w:sz w:val="21"/>
                <w:szCs w:val="21"/>
                <w:highlight w:val="none"/>
              </w:rPr>
              <w:t>甲苯</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0.067</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0.041</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0.025</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continue"/>
            <w:vAlign w:val="center"/>
          </w:tcPr>
          <w:p>
            <w:pPr>
              <w:autoSpaceDE/>
              <w:autoSpaceDN/>
              <w:adjustRightInd w:val="0"/>
              <w:snapToGrid w:val="0"/>
              <w:spacing w:line="240" w:lineRule="auto"/>
              <w:ind w:firstLine="0" w:firstLineChars="0"/>
              <w:jc w:val="center"/>
              <w:rPr>
                <w:rFonts w:hint="eastAsia" w:cs="Times New Roman"/>
                <w:bCs/>
                <w:color w:val="auto"/>
                <w:sz w:val="21"/>
                <w:szCs w:val="21"/>
                <w:highlight w:val="none"/>
                <w:lang w:val="en-US" w:eastAsia="zh-CN"/>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1.44×10</w:t>
            </w:r>
            <w:r>
              <w:rPr>
                <w:rFonts w:hint="eastAsia" w:ascii="Times New Roman" w:hAnsi="Times New Roman" w:eastAsia="宋体" w:cs="Times New Roman"/>
                <w:color w:val="auto"/>
                <w:sz w:val="21"/>
                <w:szCs w:val="21"/>
                <w:highlight w:val="none"/>
                <w:vertAlign w:val="superscript"/>
                <w:lang w:val="en-US" w:eastAsia="zh-CN"/>
              </w:rPr>
              <w:t>-3</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6.24×10</w:t>
            </w:r>
            <w:r>
              <w:rPr>
                <w:rFonts w:hint="eastAsia" w:ascii="Times New Roman" w:hAnsi="Times New Roman" w:eastAsia="宋体" w:cs="Times New Roman"/>
                <w:color w:val="auto"/>
                <w:sz w:val="21"/>
                <w:szCs w:val="21"/>
                <w:highlight w:val="none"/>
                <w:vertAlign w:val="superscript"/>
                <w:lang w:val="en-US" w:eastAsia="zh-CN"/>
              </w:rPr>
              <w:t>-4</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3.65×10</w:t>
            </w:r>
            <w:r>
              <w:rPr>
                <w:rFonts w:hint="eastAsia" w:ascii="Times New Roman" w:hAnsi="Times New Roman" w:eastAsia="宋体" w:cs="Times New Roman"/>
                <w:color w:val="auto"/>
                <w:sz w:val="21"/>
                <w:szCs w:val="21"/>
                <w:highlight w:val="none"/>
                <w:vertAlign w:val="superscript"/>
                <w:lang w:val="en-US" w:eastAsia="zh-CN"/>
              </w:rPr>
              <w:t>-4</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restart"/>
            <w:vAlign w:val="center"/>
          </w:tcPr>
          <w:p>
            <w:pPr>
              <w:widowControl/>
              <w:spacing w:line="240" w:lineRule="auto"/>
              <w:ind w:firstLine="0" w:firstLineChars="0"/>
              <w:jc w:val="center"/>
              <w:rPr>
                <w:rFonts w:hint="eastAsia" w:cs="Times New Roman"/>
                <w:bCs/>
                <w:color w:val="auto"/>
                <w:sz w:val="21"/>
                <w:szCs w:val="21"/>
                <w:highlight w:val="none"/>
                <w:lang w:val="en-US" w:eastAsia="zh-CN"/>
              </w:rPr>
            </w:pPr>
            <w:r>
              <w:rPr>
                <w:rFonts w:hint="eastAsia" w:cs="Times New Roman"/>
                <w:bCs/>
                <w:color w:val="auto"/>
                <w:sz w:val="21"/>
                <w:szCs w:val="21"/>
                <w:highlight w:val="none"/>
                <w:lang w:val="en-US" w:eastAsia="zh-CN"/>
              </w:rPr>
              <w:t>非甲烷总烃</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1.2</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1.19</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1.3</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continue"/>
            <w:vAlign w:val="center"/>
          </w:tcPr>
          <w:p>
            <w:pPr>
              <w:widowControl/>
              <w:spacing w:line="240" w:lineRule="auto"/>
              <w:ind w:firstLine="0" w:firstLineChars="0"/>
              <w:jc w:val="center"/>
              <w:rPr>
                <w:rFonts w:hint="eastAsia" w:cs="Times New Roman"/>
                <w:bCs/>
                <w:color w:val="auto"/>
                <w:sz w:val="21"/>
                <w:szCs w:val="21"/>
                <w:highlight w:val="none"/>
                <w:lang w:val="en-US" w:eastAsia="zh-CN"/>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0.018</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0.018</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0.019</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restart"/>
            <w:vAlign w:val="center"/>
          </w:tcPr>
          <w:p>
            <w:pPr>
              <w:autoSpaceDE/>
              <w:autoSpaceDN/>
              <w:adjustRightInd w:val="0"/>
              <w:snapToGrid w:val="0"/>
              <w:spacing w:line="240" w:lineRule="auto"/>
              <w:ind w:firstLine="0" w:firstLineChars="0"/>
              <w:jc w:val="center"/>
              <w:rPr>
                <w:rFonts w:hint="eastAsia" w:cs="Times New Roman"/>
                <w:bCs/>
                <w:color w:val="auto"/>
                <w:sz w:val="21"/>
                <w:szCs w:val="21"/>
                <w:highlight w:val="none"/>
                <w:lang w:val="en-US" w:eastAsia="zh-CN"/>
              </w:rPr>
            </w:pPr>
            <w:r>
              <w:rPr>
                <w:rFonts w:hint="eastAsia"/>
                <w:color w:val="auto"/>
                <w:sz w:val="22"/>
                <w:szCs w:val="22"/>
                <w:highlight w:val="none"/>
              </w:rPr>
              <w:t>甲醇</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513" w:type="pct"/>
            <w:vMerge w:val="continue"/>
            <w:vAlign w:val="center"/>
          </w:tcPr>
          <w:p>
            <w:pPr>
              <w:autoSpaceDE/>
              <w:autoSpaceDN/>
              <w:adjustRightInd w:val="0"/>
              <w:snapToGrid w:val="0"/>
              <w:spacing w:line="240" w:lineRule="auto"/>
              <w:ind w:firstLine="0" w:firstLineChars="0"/>
              <w:jc w:val="center"/>
              <w:rPr>
                <w:rFonts w:hint="eastAsia" w:cs="Times New Roman"/>
                <w:bCs/>
                <w:color w:val="auto"/>
                <w:sz w:val="21"/>
                <w:szCs w:val="21"/>
                <w:highlight w:val="none"/>
                <w:lang w:val="en-US" w:eastAsia="zh-CN"/>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cs="Times New Roman"/>
                <w:bCs/>
                <w:color w:val="auto"/>
                <w:sz w:val="21"/>
                <w:szCs w:val="21"/>
                <w:highlight w:val="none"/>
                <w:lang w:val="en-US" w:eastAsia="zh-CN"/>
              </w:rPr>
              <w:t>导热油炉燃烧装置出口</w:t>
            </w: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color w:val="auto"/>
                <w:kern w:val="0"/>
                <w:sz w:val="21"/>
                <w:szCs w:val="21"/>
                <w:highlight w:val="none"/>
              </w:rPr>
              <w:t>颗粒物</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bCs/>
                <w:color w:val="FF0000"/>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674" w:type="pct"/>
            <w:vAlign w:val="center"/>
          </w:tcPr>
          <w:p>
            <w:pPr>
              <w:widowControl/>
              <w:spacing w:line="240" w:lineRule="auto"/>
              <w:ind w:firstLine="0" w:firstLineChars="0"/>
              <w:jc w:val="center"/>
              <w:rPr>
                <w:rFonts w:hint="default" w:ascii="Times New Roman" w:hAnsi="Times New Roman" w:eastAsia="宋体" w:cs="Times New Roman"/>
                <w:bCs/>
                <w:color w:val="FF0000"/>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676" w:type="pct"/>
            <w:vAlign w:val="center"/>
          </w:tcPr>
          <w:p>
            <w:pPr>
              <w:widowControl/>
              <w:spacing w:line="240" w:lineRule="auto"/>
              <w:ind w:firstLine="0" w:firstLineChars="0"/>
              <w:jc w:val="center"/>
              <w:rPr>
                <w:rFonts w:hint="default" w:ascii="Times New Roman" w:hAnsi="Times New Roman" w:eastAsia="宋体" w:cs="Times New Roman"/>
                <w:bCs/>
                <w:color w:val="FF0000"/>
                <w:sz w:val="21"/>
                <w:szCs w:val="21"/>
                <w:highlight w:val="none"/>
              </w:rPr>
            </w:pPr>
            <w:r>
              <w:rPr>
                <w:rFonts w:hint="eastAsia" w:ascii="Times New Roman" w:hAnsi="Times New Roman" w:eastAsia="宋体" w:cs="Times New Roman"/>
                <w:color w:val="auto"/>
                <w:sz w:val="21"/>
                <w:szCs w:val="21"/>
                <w:highlight w:val="none"/>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yellow"/>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w:t>
            </w:r>
          </w:p>
        </w:tc>
        <w:tc>
          <w:tcPr>
            <w:tcW w:w="674" w:type="pct"/>
            <w:vAlign w:val="bottom"/>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w:t>
            </w:r>
          </w:p>
        </w:tc>
        <w:tc>
          <w:tcPr>
            <w:tcW w:w="676" w:type="pct"/>
            <w:vAlign w:val="bottom"/>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yellow"/>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rPr>
            </w:pPr>
            <w:r>
              <w:rPr>
                <w:rFonts w:ascii="Times New Roman" w:hAnsi="Times New Roman"/>
                <w:color w:val="auto"/>
                <w:kern w:val="0"/>
                <w:sz w:val="21"/>
                <w:szCs w:val="21"/>
              </w:rPr>
              <w:t>SO</w:t>
            </w:r>
            <w:r>
              <w:rPr>
                <w:rFonts w:ascii="Times New Roman" w:hAnsi="Times New Roman"/>
                <w:color w:val="auto"/>
                <w:kern w:val="0"/>
                <w:sz w:val="21"/>
                <w:szCs w:val="21"/>
                <w:vertAlign w:val="subscript"/>
              </w:rPr>
              <w:t>2</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排放浓度（mg/m</w:t>
            </w:r>
            <w:r>
              <w:rPr>
                <w:rFonts w:hint="default" w:ascii="Times New Roman" w:hAnsi="Times New Roman" w:eastAsia="宋体" w:cs="Times New Roman"/>
                <w:bCs/>
                <w:color w:val="auto"/>
                <w:sz w:val="21"/>
                <w:szCs w:val="21"/>
                <w:vertAlign w:val="superscript"/>
              </w:rPr>
              <w:t>3</w:t>
            </w:r>
            <w:r>
              <w:rPr>
                <w:rFonts w:hint="default" w:ascii="Times New Roman" w:hAnsi="Times New Roman" w:eastAsia="宋体" w:cs="Times New Roman"/>
                <w:bCs/>
                <w:color w:val="auto"/>
                <w:sz w:val="21"/>
                <w:szCs w:val="21"/>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ND</w:t>
            </w:r>
          </w:p>
        </w:tc>
        <w:tc>
          <w:tcPr>
            <w:tcW w:w="674" w:type="pct"/>
            <w:vAlign w:val="center"/>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ND</w:t>
            </w:r>
          </w:p>
        </w:tc>
        <w:tc>
          <w:tcPr>
            <w:tcW w:w="676" w:type="pct"/>
            <w:vAlign w:val="center"/>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yellow"/>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w:t>
            </w:r>
          </w:p>
        </w:tc>
        <w:tc>
          <w:tcPr>
            <w:tcW w:w="674" w:type="pct"/>
            <w:vAlign w:val="bottom"/>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w:t>
            </w:r>
          </w:p>
        </w:tc>
        <w:tc>
          <w:tcPr>
            <w:tcW w:w="676" w:type="pct"/>
            <w:vAlign w:val="bottom"/>
          </w:tcPr>
          <w:p>
            <w:pPr>
              <w:widowControl/>
              <w:spacing w:line="240" w:lineRule="auto"/>
              <w:ind w:firstLine="0" w:firstLineChars="0"/>
              <w:jc w:val="center"/>
              <w:rPr>
                <w:rFonts w:hint="default" w:ascii="Times New Roman" w:hAnsi="Times New Roman" w:eastAsia="宋体" w:cs="Times New Roman"/>
                <w:bCs/>
                <w:color w:val="FF0000"/>
                <w:sz w:val="21"/>
                <w:szCs w:val="21"/>
              </w:rPr>
            </w:pPr>
            <w:r>
              <w:rPr>
                <w:rFonts w:hint="eastAsia" w:ascii="Times New Roman" w:hAnsi="Times New Roman" w:eastAsia="宋体" w:cs="Times New Roman"/>
                <w:color w:val="auto"/>
                <w:sz w:val="21"/>
                <w:szCs w:val="21"/>
                <w:lang w:val="en-US" w:eastAsia="zh-CN"/>
              </w:rPr>
              <w:t>/</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yellow"/>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rPr>
            </w:pPr>
            <w:r>
              <w:rPr>
                <w:rFonts w:ascii="Times New Roman" w:hAnsi="Times New Roman"/>
                <w:color w:val="auto"/>
                <w:kern w:val="0"/>
                <w:sz w:val="21"/>
                <w:szCs w:val="21"/>
              </w:rPr>
              <w:t>NO</w:t>
            </w:r>
            <w:r>
              <w:rPr>
                <w:rFonts w:ascii="Times New Roman" w:hAnsi="Times New Roman"/>
                <w:color w:val="auto"/>
                <w:kern w:val="0"/>
                <w:sz w:val="21"/>
                <w:szCs w:val="21"/>
                <w:vertAlign w:val="subscript"/>
              </w:rPr>
              <w:t>X</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排放浓度（mg/m</w:t>
            </w:r>
            <w:r>
              <w:rPr>
                <w:rFonts w:hint="default" w:ascii="Times New Roman" w:hAnsi="Times New Roman" w:eastAsia="宋体" w:cs="Times New Roman"/>
                <w:bCs/>
                <w:color w:val="auto"/>
                <w:sz w:val="21"/>
                <w:szCs w:val="21"/>
                <w:vertAlign w:val="superscript"/>
              </w:rPr>
              <w:t>3</w:t>
            </w:r>
            <w:r>
              <w:rPr>
                <w:rFonts w:hint="default" w:ascii="Times New Roman" w:hAnsi="Times New Roman" w:eastAsia="宋体" w:cs="Times New Roman"/>
                <w:bCs/>
                <w:color w:val="auto"/>
                <w:sz w:val="21"/>
                <w:szCs w:val="21"/>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yellow"/>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rPr>
              <w:t>202</w:t>
            </w:r>
            <w:r>
              <w:rPr>
                <w:rFonts w:hint="eastAsia" w:cs="Times New Roman"/>
                <w:bCs/>
                <w:color w:val="auto"/>
                <w:sz w:val="21"/>
                <w:szCs w:val="21"/>
                <w:highlight w:val="none"/>
                <w:lang w:val="en-US" w:eastAsia="zh-CN"/>
              </w:rPr>
              <w:t>3.2.11</w:t>
            </w:r>
          </w:p>
        </w:tc>
        <w:tc>
          <w:tcPr>
            <w:tcW w:w="461"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ascii="Times New Roman" w:hAnsi="Times New Roman"/>
                <w:color w:val="auto"/>
                <w:sz w:val="21"/>
                <w:szCs w:val="21"/>
                <w:highlight w:val="none"/>
              </w:rPr>
              <w:t>旋转式RTO</w:t>
            </w:r>
            <w:r>
              <w:rPr>
                <w:rFonts w:hint="eastAsia" w:ascii="Times New Roman" w:hAnsi="Times New Roman"/>
                <w:color w:val="auto"/>
                <w:sz w:val="21"/>
                <w:szCs w:val="21"/>
                <w:highlight w:val="none"/>
                <w:lang w:val="en-US" w:eastAsia="zh-CN"/>
              </w:rPr>
              <w:t>装置</w:t>
            </w:r>
            <w:r>
              <w:rPr>
                <w:rFonts w:hint="default" w:ascii="Times New Roman" w:hAnsi="Times New Roman" w:eastAsia="宋体" w:cs="Times New Roman"/>
                <w:bCs/>
                <w:color w:val="auto"/>
                <w:kern w:val="2"/>
                <w:sz w:val="21"/>
                <w:szCs w:val="21"/>
                <w:highlight w:val="none"/>
              </w:rPr>
              <w:t>进口</w:t>
            </w: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ascii="Times New Roman" w:hAnsi="Times New Roman"/>
                <w:color w:val="auto"/>
                <w:sz w:val="21"/>
                <w:szCs w:val="21"/>
                <w:highlight w:val="none"/>
              </w:rPr>
              <w:t>乙酸乙酯</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2.69</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2.26</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4.68</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0.042</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0.035</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0.073</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ascii="Times New Roman" w:hAnsi="Times New Roman"/>
                <w:color w:val="auto"/>
                <w:sz w:val="21"/>
                <w:szCs w:val="21"/>
                <w:highlight w:val="none"/>
              </w:rPr>
              <w:t>甲苯</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2.31</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1.87</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2.95</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0.036</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0.029</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0.046</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cs="Times New Roman"/>
                <w:bCs/>
                <w:color w:val="auto"/>
                <w:sz w:val="21"/>
                <w:szCs w:val="21"/>
                <w:highlight w:val="none"/>
                <w:lang w:val="en-US" w:eastAsia="zh-CN"/>
              </w:rPr>
              <w:t>非甲烷总烃</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51.2</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51.1</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55.8</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0.799</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0.791</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0.869</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color w:val="auto"/>
                <w:sz w:val="22"/>
                <w:szCs w:val="22"/>
                <w:highlight w:val="none"/>
              </w:rPr>
              <w:t>甲醇</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ND</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ND</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w:t>
            </w:r>
          </w:p>
        </w:tc>
        <w:tc>
          <w:tcPr>
            <w:tcW w:w="676"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461" w:type="pct"/>
            <w:vMerge w:val="restar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eastAsia="zh-CN"/>
              </w:rPr>
            </w:pPr>
            <w:r>
              <w:rPr>
                <w:rFonts w:ascii="Times New Roman" w:hAnsi="Times New Roman"/>
                <w:color w:val="auto"/>
                <w:sz w:val="21"/>
                <w:szCs w:val="21"/>
                <w:highlight w:val="none"/>
              </w:rPr>
              <w:t>旋转式RTO</w:t>
            </w:r>
            <w:r>
              <w:rPr>
                <w:rFonts w:hint="eastAsia" w:ascii="Times New Roman" w:hAnsi="Times New Roman"/>
                <w:color w:val="auto"/>
                <w:sz w:val="21"/>
                <w:szCs w:val="21"/>
                <w:highlight w:val="none"/>
                <w:lang w:val="en-US" w:eastAsia="zh-CN"/>
              </w:rPr>
              <w:t>装置</w:t>
            </w:r>
            <w:r>
              <w:rPr>
                <w:rFonts w:hint="eastAsia" w:cs="Times New Roman"/>
                <w:bCs/>
                <w:color w:val="auto"/>
                <w:kern w:val="2"/>
                <w:sz w:val="21"/>
                <w:szCs w:val="21"/>
                <w:highlight w:val="none"/>
                <w:lang w:val="en-US" w:eastAsia="zh-CN"/>
              </w:rPr>
              <w:t>出口</w:t>
            </w: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ascii="Times New Roman" w:hAnsi="Times New Roman"/>
                <w:color w:val="auto"/>
                <w:sz w:val="21"/>
                <w:szCs w:val="21"/>
                <w:highlight w:val="none"/>
              </w:rPr>
              <w:t>乙酸乙酯</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ND</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0.034</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0.095</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4.98×10</w:t>
            </w:r>
            <w:r>
              <w:rPr>
                <w:rFonts w:hint="default" w:ascii="Times New Roman" w:hAnsi="Times New Roman" w:eastAsia="宋体" w:cs="Times New Roman"/>
                <w:bCs/>
                <w:color w:val="auto"/>
                <w:sz w:val="21"/>
                <w:szCs w:val="21"/>
                <w:highlight w:val="none"/>
                <w:vertAlign w:val="superscript"/>
                <w:lang w:val="en-US" w:eastAsia="zh-CN"/>
              </w:rPr>
              <w:t>-4</w:t>
            </w:r>
          </w:p>
        </w:tc>
        <w:tc>
          <w:tcPr>
            <w:tcW w:w="676"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1.39×10</w:t>
            </w:r>
            <w:r>
              <w:rPr>
                <w:rFonts w:hint="default" w:ascii="Times New Roman" w:hAnsi="Times New Roman" w:eastAsia="宋体" w:cs="Times New Roman"/>
                <w:bCs/>
                <w:color w:val="auto"/>
                <w:sz w:val="21"/>
                <w:szCs w:val="21"/>
                <w:highlight w:val="none"/>
                <w:vertAlign w:val="superscript"/>
                <w:lang w:val="en-US" w:eastAsia="zh-CN"/>
              </w:rPr>
              <w:t>-3</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ascii="Times New Roman" w:hAnsi="Times New Roman"/>
                <w:color w:val="auto"/>
                <w:sz w:val="21"/>
                <w:szCs w:val="21"/>
                <w:highlight w:val="none"/>
              </w:rPr>
              <w:t>甲苯</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ND</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0.022</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0.035</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3.22×10</w:t>
            </w:r>
            <w:r>
              <w:rPr>
                <w:rFonts w:hint="eastAsia" w:ascii="Times New Roman" w:hAnsi="Times New Roman" w:eastAsia="宋体" w:cs="Times New Roman"/>
                <w:bCs/>
                <w:color w:val="auto"/>
                <w:sz w:val="21"/>
                <w:szCs w:val="21"/>
                <w:highlight w:val="none"/>
                <w:vertAlign w:val="superscript"/>
                <w:lang w:val="en-US" w:eastAsia="zh-CN"/>
              </w:rPr>
              <w:t>-4</w:t>
            </w:r>
          </w:p>
        </w:tc>
        <w:tc>
          <w:tcPr>
            <w:tcW w:w="676"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5.12×10</w:t>
            </w:r>
            <w:r>
              <w:rPr>
                <w:rFonts w:hint="eastAsia" w:ascii="Times New Roman" w:hAnsi="Times New Roman" w:eastAsia="宋体" w:cs="Times New Roman"/>
                <w:bCs/>
                <w:color w:val="auto"/>
                <w:sz w:val="21"/>
                <w:szCs w:val="21"/>
                <w:highlight w:val="none"/>
                <w:vertAlign w:val="superscript"/>
                <w:lang w:val="en-US" w:eastAsia="zh-CN"/>
              </w:rPr>
              <w:t>-4</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cs="Times New Roman"/>
                <w:bCs/>
                <w:color w:val="auto"/>
                <w:sz w:val="21"/>
                <w:szCs w:val="21"/>
                <w:highlight w:val="none"/>
                <w:lang w:val="en-US" w:eastAsia="zh-CN"/>
              </w:rPr>
              <w:t>非甲烷总烃</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0.971</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0.873</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1.17</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0.015</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0.013</w:t>
            </w:r>
          </w:p>
        </w:tc>
        <w:tc>
          <w:tcPr>
            <w:tcW w:w="676"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0.017</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color w:val="auto"/>
                <w:sz w:val="22"/>
                <w:szCs w:val="22"/>
                <w:highlight w:val="none"/>
              </w:rPr>
              <w:t>甲醇</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ND</w:t>
            </w:r>
          </w:p>
        </w:tc>
        <w:tc>
          <w:tcPr>
            <w:tcW w:w="674"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ND</w:t>
            </w:r>
          </w:p>
        </w:tc>
        <w:tc>
          <w:tcPr>
            <w:tcW w:w="676"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排放速率（kg/h）</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w:t>
            </w:r>
          </w:p>
        </w:tc>
        <w:tc>
          <w:tcPr>
            <w:tcW w:w="674"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w:t>
            </w:r>
          </w:p>
        </w:tc>
        <w:tc>
          <w:tcPr>
            <w:tcW w:w="676" w:type="pct"/>
            <w:vAlign w:val="bottom"/>
          </w:tcPr>
          <w:p>
            <w:pPr>
              <w:autoSpaceDE/>
              <w:autoSpaceDN/>
              <w:adjustRightInd w:val="0"/>
              <w:snapToGrid w:val="0"/>
              <w:spacing w:line="240" w:lineRule="auto"/>
              <w:ind w:firstLine="0" w:firstLineChars="0"/>
              <w:jc w:val="center"/>
              <w:rPr>
                <w:rFonts w:hint="default" w:ascii="Times New Roman" w:hAnsi="Times New Roman" w:eastAsia="宋体" w:cs="Times New Roman"/>
                <w:bCs/>
                <w:snapToGrid w:val="0"/>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cs="Times New Roman"/>
                <w:bCs/>
                <w:color w:val="auto"/>
                <w:sz w:val="21"/>
                <w:szCs w:val="21"/>
                <w:highlight w:val="none"/>
                <w:lang w:val="en-US" w:eastAsia="zh-CN"/>
              </w:rPr>
              <w:t>导热油炉燃烧装置出口</w:t>
            </w: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color w:val="auto"/>
                <w:kern w:val="0"/>
                <w:sz w:val="21"/>
                <w:szCs w:val="21"/>
                <w:highlight w:val="none"/>
              </w:rPr>
              <w:t>颗粒物</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排放浓度（mg/m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FF0000"/>
                <w:sz w:val="21"/>
                <w:highlight w:val="none"/>
              </w:rPr>
            </w:pPr>
            <w:r>
              <w:rPr>
                <w:rFonts w:hint="eastAsia" w:ascii="Times New Roman" w:hAnsi="Times New Roman" w:eastAsia="宋体" w:cs="Times New Roman"/>
                <w:color w:val="auto"/>
                <w:sz w:val="21"/>
                <w:szCs w:val="21"/>
                <w:highlight w:val="none"/>
                <w:lang w:val="en-US" w:eastAsia="zh-CN"/>
              </w:rPr>
              <w:t>ND</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FF0000"/>
                <w:sz w:val="21"/>
                <w:highlight w:val="none"/>
              </w:rPr>
            </w:pPr>
            <w:r>
              <w:rPr>
                <w:rFonts w:hint="eastAsia" w:ascii="Times New Roman" w:hAnsi="Times New Roman" w:eastAsia="宋体" w:cs="Times New Roman"/>
                <w:color w:val="auto"/>
                <w:sz w:val="21"/>
                <w:szCs w:val="21"/>
                <w:highlight w:val="none"/>
                <w:lang w:val="en-US" w:eastAsia="zh-CN"/>
              </w:rPr>
              <w:t>ND</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FF0000"/>
                <w:sz w:val="21"/>
                <w:highlight w:val="none"/>
              </w:rPr>
            </w:pPr>
            <w:r>
              <w:rPr>
                <w:rFonts w:hint="eastAsia" w:ascii="Times New Roman" w:hAnsi="Times New Roman" w:eastAsia="宋体" w:cs="Times New Roman"/>
                <w:color w:val="auto"/>
                <w:sz w:val="21"/>
                <w:szCs w:val="21"/>
                <w:highlight w:val="none"/>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rPr>
            </w:pPr>
            <w:r>
              <w:rPr>
                <w:rFonts w:ascii="Times New Roman" w:hAnsi="Times New Roman"/>
                <w:color w:val="auto"/>
                <w:kern w:val="0"/>
                <w:sz w:val="21"/>
                <w:szCs w:val="21"/>
              </w:rPr>
              <w:t>SO</w:t>
            </w:r>
            <w:r>
              <w:rPr>
                <w:rFonts w:ascii="Times New Roman" w:hAnsi="Times New Roman"/>
                <w:color w:val="auto"/>
                <w:kern w:val="0"/>
                <w:sz w:val="21"/>
                <w:szCs w:val="21"/>
                <w:vertAlign w:val="subscript"/>
              </w:rPr>
              <w:t>2</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排放浓度（mg/m</w:t>
            </w:r>
            <w:r>
              <w:rPr>
                <w:rFonts w:hint="default" w:ascii="Times New Roman" w:hAnsi="Times New Roman" w:eastAsia="宋体" w:cs="Times New Roman"/>
                <w:bCs/>
                <w:color w:val="auto"/>
                <w:sz w:val="21"/>
                <w:szCs w:val="21"/>
                <w:vertAlign w:val="superscript"/>
              </w:rPr>
              <w:t>3</w:t>
            </w:r>
            <w:r>
              <w:rPr>
                <w:rFonts w:hint="default" w:ascii="Times New Roman" w:hAnsi="Times New Roman" w:eastAsia="宋体" w:cs="Times New Roman"/>
                <w:bCs/>
                <w:color w:val="auto"/>
                <w:sz w:val="21"/>
                <w:szCs w:val="21"/>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restart"/>
            <w:vAlign w:val="center"/>
          </w:tcPr>
          <w:p>
            <w:pPr>
              <w:widowControl/>
              <w:spacing w:line="240" w:lineRule="auto"/>
              <w:ind w:firstLine="0" w:firstLineChars="0"/>
              <w:jc w:val="center"/>
              <w:rPr>
                <w:rFonts w:hint="default" w:ascii="Times New Roman" w:hAnsi="Times New Roman" w:eastAsia="宋体" w:cs="Times New Roman"/>
                <w:bCs/>
                <w:color w:val="auto"/>
                <w:sz w:val="21"/>
                <w:szCs w:val="21"/>
              </w:rPr>
            </w:pPr>
            <w:r>
              <w:rPr>
                <w:rFonts w:ascii="Times New Roman" w:hAnsi="Times New Roman"/>
                <w:color w:val="auto"/>
                <w:kern w:val="0"/>
                <w:sz w:val="21"/>
                <w:szCs w:val="21"/>
              </w:rPr>
              <w:t>NO</w:t>
            </w:r>
            <w:r>
              <w:rPr>
                <w:rFonts w:ascii="Times New Roman" w:hAnsi="Times New Roman"/>
                <w:color w:val="auto"/>
                <w:kern w:val="0"/>
                <w:sz w:val="21"/>
                <w:szCs w:val="21"/>
                <w:vertAlign w:val="subscript"/>
              </w:rPr>
              <w:t>X</w:t>
            </w: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排放浓度（mg/m</w:t>
            </w:r>
            <w:r>
              <w:rPr>
                <w:rFonts w:hint="default" w:ascii="Times New Roman" w:hAnsi="Times New Roman" w:eastAsia="宋体" w:cs="Times New Roman"/>
                <w:bCs/>
                <w:color w:val="auto"/>
                <w:sz w:val="21"/>
                <w:szCs w:val="21"/>
                <w:vertAlign w:val="superscript"/>
              </w:rPr>
              <w:t>3</w:t>
            </w:r>
            <w:r>
              <w:rPr>
                <w:rFonts w:hint="default" w:ascii="Times New Roman" w:hAnsi="Times New Roman" w:eastAsia="宋体" w:cs="Times New Roman"/>
                <w:bCs/>
                <w:color w:val="auto"/>
                <w:sz w:val="21"/>
                <w:szCs w:val="21"/>
              </w:rPr>
              <w:t>）</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674"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676" w:type="pct"/>
            <w:vAlign w:val="center"/>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ND</w:t>
            </w:r>
          </w:p>
        </w:tc>
        <w:tc>
          <w:tcPr>
            <w:tcW w:w="425"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6"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461"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513" w:type="pct"/>
            <w:vMerge w:val="continue"/>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p>
        </w:tc>
        <w:tc>
          <w:tcPr>
            <w:tcW w:w="1118"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排放速率（kg/h）</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674"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676" w:type="pct"/>
            <w:vAlign w:val="bottom"/>
          </w:tcPr>
          <w:p>
            <w:pPr>
              <w:widowControl/>
              <w:spacing w:line="240" w:lineRule="auto"/>
              <w:ind w:firstLine="0" w:firstLineChars="0"/>
              <w:jc w:val="center"/>
              <w:rPr>
                <w:rFonts w:hint="default" w:ascii="Times New Roman" w:hAnsi="Times New Roman" w:eastAsia="宋体" w:cs="Times New Roman"/>
                <w:color w:val="FF0000"/>
                <w:sz w:val="21"/>
              </w:rPr>
            </w:pPr>
            <w:r>
              <w:rPr>
                <w:rFonts w:hint="eastAsia" w:ascii="Times New Roman" w:hAnsi="Times New Roman" w:eastAsia="宋体" w:cs="Times New Roman"/>
                <w:color w:val="auto"/>
                <w:sz w:val="21"/>
                <w:szCs w:val="21"/>
                <w:lang w:val="en-US" w:eastAsia="zh-CN"/>
              </w:rPr>
              <w:t>/</w:t>
            </w:r>
          </w:p>
        </w:tc>
        <w:tc>
          <w:tcPr>
            <w:tcW w:w="425" w:type="pct"/>
            <w:vAlign w:val="center"/>
          </w:tcPr>
          <w:p>
            <w:pPr>
              <w:autoSpaceDE/>
              <w:autoSpaceDN/>
              <w:adjustRightInd w:val="0"/>
              <w:snapToGrid w:val="0"/>
              <w:spacing w:line="240" w:lineRule="auto"/>
              <w:ind w:firstLine="0" w:firstLineChars="0"/>
              <w:jc w:val="center"/>
              <w:rPr>
                <w:rFonts w:hint="eastAsia"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w:t>
            </w:r>
          </w:p>
        </w:tc>
      </w:tr>
    </w:tbl>
    <w:p>
      <w:pPr>
        <w:pStyle w:val="29"/>
        <w:keepNext w:val="0"/>
        <w:keepLines w:val="0"/>
        <w:pageBreakBefore w:val="0"/>
        <w:widowControl/>
        <w:kinsoku/>
        <w:wordWrap/>
        <w:overflowPunct/>
        <w:topLinePunct w:val="0"/>
        <w:autoSpaceDE/>
        <w:autoSpaceDN/>
        <w:bidi w:val="0"/>
        <w:adjustRightInd w:val="0"/>
        <w:snapToGrid w:val="0"/>
        <w:spacing w:beforeLines="0" w:line="240" w:lineRule="auto"/>
        <w:jc w:val="left"/>
        <w:textAlignment w:val="auto"/>
        <w:rPr>
          <w:rFonts w:hint="eastAsia"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注：</w:t>
      </w:r>
      <w:r>
        <w:rPr>
          <w:rFonts w:hint="eastAsia" w:cs="Times New Roman"/>
          <w:color w:val="auto"/>
          <w:sz w:val="18"/>
          <w:szCs w:val="18"/>
          <w:lang w:val="en-US" w:eastAsia="zh-CN"/>
        </w:rPr>
        <w:t>ND表示未检出，甲醇</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0.1</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lang w:val="en-US" w:eastAsia="zh-CN"/>
        </w:rPr>
        <w:t>，甲苯</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0..004</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lang w:val="en-US" w:eastAsia="zh-CN"/>
        </w:rPr>
        <w:t>，乙酸乙酯</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0.006</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lang w:val="en-US" w:eastAsia="zh-CN"/>
        </w:rPr>
        <w:t>，颗粒物</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1.0</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vertAlign w:val="baseline"/>
          <w:lang w:eastAsia="zh-CN"/>
        </w:rPr>
        <w:t>，</w:t>
      </w:r>
      <w:r>
        <w:rPr>
          <w:rFonts w:hint="eastAsia" w:cs="Times New Roman"/>
          <w:color w:val="auto"/>
          <w:sz w:val="18"/>
          <w:szCs w:val="18"/>
          <w:lang w:val="en-US" w:eastAsia="zh-CN"/>
        </w:rPr>
        <w:t>二氧化硫</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3</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vertAlign w:val="baseline"/>
          <w:lang w:eastAsia="zh-CN"/>
        </w:rPr>
        <w:t>，</w:t>
      </w:r>
      <w:r>
        <w:rPr>
          <w:rFonts w:hint="eastAsia" w:cs="Times New Roman"/>
          <w:color w:val="auto"/>
          <w:sz w:val="18"/>
          <w:szCs w:val="18"/>
          <w:lang w:val="en-US" w:eastAsia="zh-CN"/>
        </w:rPr>
        <w:t>甲氮氧化物</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3</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vertAlign w:val="baseline"/>
          <w:lang w:val="en-US" w:eastAsia="zh-CN"/>
        </w:rPr>
        <w:t>。</w:t>
      </w:r>
    </w:p>
    <w:p>
      <w:pPr>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（2）无组织废气</w:t>
      </w:r>
    </w:p>
    <w:p>
      <w:pPr>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验收项目无组织废气监测结果如下：</w:t>
      </w:r>
    </w:p>
    <w:p>
      <w:pPr>
        <w:pStyle w:val="29"/>
        <w:keepNext w:val="0"/>
        <w:keepLines w:val="0"/>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表9</w:t>
      </w:r>
      <w:r>
        <w:rPr>
          <w:rFonts w:hint="eastAsia" w:cs="Times New Roman"/>
          <w:color w:val="auto"/>
          <w:sz w:val="21"/>
          <w:szCs w:val="21"/>
          <w:lang w:val="en-US" w:eastAsia="zh-CN"/>
        </w:rPr>
        <w:t>-5</w:t>
      </w:r>
      <w:r>
        <w:rPr>
          <w:rFonts w:hint="default" w:ascii="Times New Roman" w:hAnsi="Times New Roman" w:eastAsia="宋体" w:cs="Times New Roman"/>
          <w:color w:val="auto"/>
          <w:sz w:val="21"/>
          <w:szCs w:val="21"/>
        </w:rPr>
        <w:t xml:space="preserve">  厂界无组织废气监测结果</w:t>
      </w:r>
    </w:p>
    <w:tbl>
      <w:tblPr>
        <w:tblStyle w:val="24"/>
        <w:tblW w:w="490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1106"/>
        <w:gridCol w:w="544"/>
        <w:gridCol w:w="1221"/>
        <w:gridCol w:w="1221"/>
        <w:gridCol w:w="1221"/>
        <w:gridCol w:w="800"/>
        <w:gridCol w:w="1185"/>
        <w:gridCol w:w="57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4" w:type="pct"/>
            <w:vMerge w:val="restart"/>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w:t>
            </w:r>
          </w:p>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项目</w:t>
            </w:r>
          </w:p>
        </w:tc>
        <w:tc>
          <w:tcPr>
            <w:tcW w:w="629" w:type="pct"/>
            <w:vMerge w:val="restart"/>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w:t>
            </w:r>
          </w:p>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日期</w:t>
            </w:r>
          </w:p>
        </w:tc>
        <w:tc>
          <w:tcPr>
            <w:tcW w:w="319" w:type="pct"/>
            <w:vMerge w:val="restart"/>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监测点位</w:t>
            </w:r>
          </w:p>
        </w:tc>
        <w:tc>
          <w:tcPr>
            <w:tcW w:w="2536" w:type="pct"/>
            <w:gridSpan w:val="4"/>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监测结果</w:t>
            </w:r>
          </w:p>
        </w:tc>
        <w:tc>
          <w:tcPr>
            <w:tcW w:w="672" w:type="pct"/>
            <w:vMerge w:val="restar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执行标准</w:t>
            </w:r>
          </w:p>
        </w:tc>
        <w:tc>
          <w:tcPr>
            <w:tcW w:w="337" w:type="pct"/>
            <w:vMerge w:val="restar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4" w:type="pct"/>
            <w:vMerge w:val="continue"/>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p>
        </w:tc>
        <w:tc>
          <w:tcPr>
            <w:tcW w:w="629" w:type="pct"/>
            <w:vMerge w:val="continue"/>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p>
        </w:tc>
        <w:tc>
          <w:tcPr>
            <w:tcW w:w="319" w:type="pct"/>
            <w:vMerge w:val="continue"/>
            <w:tcBorders>
              <w:bottom w:val="single" w:color="auto" w:sz="12" w:space="0"/>
            </w:tcBorders>
            <w:vAlign w:val="center"/>
          </w:tcPr>
          <w:p>
            <w:pPr>
              <w:pStyle w:val="28"/>
              <w:rPr>
                <w:rFonts w:hint="default" w:ascii="Times New Roman" w:hAnsi="Times New Roman" w:eastAsia="宋体" w:cs="Times New Roman"/>
                <w:b/>
                <w:bCs/>
                <w:color w:val="auto"/>
                <w:sz w:val="21"/>
                <w:szCs w:val="21"/>
                <w:highlight w:val="none"/>
              </w:rPr>
            </w:pPr>
          </w:p>
        </w:tc>
        <w:tc>
          <w:tcPr>
            <w:tcW w:w="692" w:type="pct"/>
            <w:tcBorders>
              <w:bottom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bCs/>
                <w:color w:val="auto"/>
                <w:sz w:val="21"/>
                <w:szCs w:val="21"/>
                <w:highlight w:val="none"/>
              </w:rPr>
            </w:pPr>
            <w:r>
              <w:rPr>
                <w:rFonts w:hint="eastAsia" w:cs="Times New Roman"/>
                <w:b/>
                <w:color w:val="auto"/>
                <w:sz w:val="21"/>
                <w:szCs w:val="21"/>
                <w:highlight w:val="none"/>
                <w:lang w:val="en-US" w:eastAsia="zh-CN"/>
              </w:rPr>
              <w:t>第一次</w:t>
            </w:r>
          </w:p>
        </w:tc>
        <w:tc>
          <w:tcPr>
            <w:tcW w:w="692" w:type="pct"/>
            <w:tcBorders>
              <w:bottom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bCs/>
                <w:color w:val="auto"/>
                <w:sz w:val="21"/>
                <w:szCs w:val="21"/>
                <w:highlight w:val="none"/>
              </w:rPr>
            </w:pPr>
            <w:r>
              <w:rPr>
                <w:rFonts w:hint="eastAsia" w:cs="Times New Roman"/>
                <w:b/>
                <w:color w:val="auto"/>
                <w:sz w:val="21"/>
                <w:szCs w:val="21"/>
                <w:highlight w:val="none"/>
                <w:lang w:val="en-US" w:eastAsia="zh-CN"/>
              </w:rPr>
              <w:t>第二次</w:t>
            </w:r>
          </w:p>
        </w:tc>
        <w:tc>
          <w:tcPr>
            <w:tcW w:w="692" w:type="pct"/>
            <w:tcBorders>
              <w:bottom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
                <w:bCs/>
                <w:color w:val="auto"/>
                <w:sz w:val="21"/>
                <w:szCs w:val="21"/>
                <w:highlight w:val="none"/>
              </w:rPr>
            </w:pPr>
            <w:r>
              <w:rPr>
                <w:rFonts w:hint="eastAsia" w:cs="Times New Roman"/>
                <w:b/>
                <w:color w:val="auto"/>
                <w:sz w:val="21"/>
                <w:szCs w:val="21"/>
                <w:highlight w:val="none"/>
                <w:lang w:val="en-US" w:eastAsia="zh-CN"/>
              </w:rPr>
              <w:t>第三次</w:t>
            </w:r>
          </w:p>
        </w:tc>
        <w:tc>
          <w:tcPr>
            <w:tcW w:w="459" w:type="pct"/>
            <w:tcBorders>
              <w:bottom w:val="single" w:color="auto" w:sz="12" w:space="0"/>
            </w:tcBorders>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最大值</w:t>
            </w:r>
          </w:p>
        </w:tc>
        <w:tc>
          <w:tcPr>
            <w:tcW w:w="672" w:type="pct"/>
            <w:vMerge w:val="continue"/>
            <w:tcBorders>
              <w:bottom w:val="single" w:color="auto" w:sz="12" w:space="0"/>
            </w:tcBorders>
            <w:vAlign w:val="center"/>
          </w:tcPr>
          <w:p>
            <w:pPr>
              <w:pStyle w:val="28"/>
              <w:rPr>
                <w:rFonts w:hint="default" w:ascii="Times New Roman" w:hAnsi="Times New Roman" w:eastAsia="宋体" w:cs="Times New Roman"/>
                <w:b/>
                <w:bCs/>
                <w:color w:val="auto"/>
                <w:sz w:val="21"/>
                <w:szCs w:val="21"/>
              </w:rPr>
            </w:pPr>
          </w:p>
        </w:tc>
        <w:tc>
          <w:tcPr>
            <w:tcW w:w="337" w:type="pct"/>
            <w:vMerge w:val="continue"/>
            <w:tcBorders>
              <w:bottom w:val="single" w:color="auto" w:sz="12" w:space="0"/>
            </w:tcBorders>
            <w:vAlign w:val="center"/>
          </w:tcPr>
          <w:p>
            <w:pPr>
              <w:pStyle w:val="28"/>
              <w:rPr>
                <w:rFonts w:hint="default" w:ascii="Times New Roman" w:hAnsi="Times New Roman" w:eastAsia="宋体" w:cs="Times New Roman"/>
                <w:b/>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restart"/>
            <w:tcBorders>
              <w:top w:val="single" w:color="auto" w:sz="12" w:space="0"/>
            </w:tcBorders>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乙酸乙酯</w:t>
            </w:r>
            <w:r>
              <w:rPr>
                <w:rFonts w:hint="default" w:ascii="Times New Roman" w:hAnsi="Times New Roman"/>
                <w:color w:val="auto"/>
                <w:sz w:val="21"/>
                <w:szCs w:val="21"/>
                <w:highlight w:val="none"/>
              </w:rPr>
              <w:t>（</w:t>
            </w:r>
            <w:r>
              <w:rPr>
                <w:rFonts w:hint="eastAsia" w:ascii="Times New Roman" w:hAnsi="Times New Roman"/>
                <w:color w:val="auto"/>
                <w:sz w:val="21"/>
                <w:szCs w:val="21"/>
                <w:highlight w:val="none"/>
                <w:lang w:val="en-US" w:eastAsia="zh-CN"/>
              </w:rPr>
              <w:t>µg</w:t>
            </w:r>
            <w:r>
              <w:rPr>
                <w:rFonts w:hint="default" w:ascii="Times New Roman" w:hAnsi="Times New Roman"/>
                <w:color w:val="auto"/>
                <w:sz w:val="21"/>
                <w:szCs w:val="21"/>
                <w:highlight w:val="none"/>
              </w:rPr>
              <w:t>/m</w:t>
            </w:r>
            <w:r>
              <w:rPr>
                <w:rFonts w:hint="default" w:ascii="Times New Roman" w:hAnsi="Times New Roman"/>
                <w:color w:val="auto"/>
                <w:sz w:val="21"/>
                <w:szCs w:val="21"/>
                <w:highlight w:val="none"/>
                <w:vertAlign w:val="superscript"/>
              </w:rPr>
              <w:t>3</w:t>
            </w:r>
            <w:r>
              <w:rPr>
                <w:rFonts w:hint="default" w:ascii="Times New Roman" w:hAnsi="Times New Roman"/>
                <w:color w:val="auto"/>
                <w:sz w:val="21"/>
                <w:szCs w:val="21"/>
                <w:highlight w:val="none"/>
              </w:rPr>
              <w:t>）</w:t>
            </w:r>
          </w:p>
        </w:tc>
        <w:tc>
          <w:tcPr>
            <w:tcW w:w="629" w:type="pct"/>
            <w:vMerge w:val="restart"/>
            <w:tcBorders>
              <w:top w:val="single" w:color="auto" w:sz="12" w:space="0"/>
            </w:tcBorders>
            <w:vAlign w:val="center"/>
          </w:tcPr>
          <w:p>
            <w:pPr>
              <w:pStyle w:val="28"/>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3.2.10</w:t>
            </w:r>
          </w:p>
        </w:tc>
        <w:tc>
          <w:tcPr>
            <w:tcW w:w="319" w:type="pct"/>
            <w:tcBorders>
              <w:top w:val="single" w:color="auto" w:sz="12" w:space="0"/>
            </w:tcBorders>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1256" w:type="dxa"/>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0.9</w:t>
            </w:r>
          </w:p>
        </w:tc>
        <w:tc>
          <w:tcPr>
            <w:tcW w:w="1256" w:type="dxa"/>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15.3</w:t>
            </w:r>
          </w:p>
        </w:tc>
        <w:tc>
          <w:tcPr>
            <w:tcW w:w="1256" w:type="dxa"/>
            <w:tcBorders>
              <w:top w:val="single" w:color="auto" w:sz="12" w:space="0"/>
            </w:tcBorders>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15</w:t>
            </w:r>
          </w:p>
        </w:tc>
        <w:tc>
          <w:tcPr>
            <w:tcW w:w="459" w:type="pct"/>
            <w:vMerge w:val="restart"/>
            <w:tcBorders>
              <w:top w:val="single" w:color="auto" w:sz="12" w:space="0"/>
            </w:tcBorders>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305</w:t>
            </w:r>
          </w:p>
        </w:tc>
        <w:tc>
          <w:tcPr>
            <w:tcW w:w="672" w:type="pct"/>
            <w:vMerge w:val="restart"/>
            <w:tcBorders>
              <w:top w:val="single" w:color="auto" w:sz="12" w:space="0"/>
            </w:tcBorders>
            <w:vAlign w:val="center"/>
          </w:tcPr>
          <w:p>
            <w:pPr>
              <w:pStyle w:val="28"/>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w:t>
            </w:r>
          </w:p>
        </w:tc>
        <w:tc>
          <w:tcPr>
            <w:tcW w:w="337" w:type="pct"/>
            <w:vMerge w:val="restart"/>
            <w:tcBorders>
              <w:top w:val="single" w:color="auto" w:sz="12" w:space="0"/>
            </w:tcBorders>
            <w:vAlign w:val="center"/>
          </w:tcPr>
          <w:p>
            <w:pPr>
              <w:pStyle w:val="28"/>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G2</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55.3</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66.4</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67.1</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G3</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25.6</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37.7</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41.4</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G4</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305</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136</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263</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restart"/>
            <w:vAlign w:val="center"/>
          </w:tcPr>
          <w:p>
            <w:pPr>
              <w:pStyle w:val="28"/>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3.2.11</w:t>
            </w: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8.6</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1.9</w:t>
            </w:r>
          </w:p>
        </w:tc>
        <w:tc>
          <w:tcPr>
            <w:tcW w:w="459"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287</w:t>
            </w: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restart"/>
            <w:vAlign w:val="center"/>
          </w:tcPr>
          <w:p>
            <w:pPr>
              <w:pStyle w:val="28"/>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G2</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46.8</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26.1</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19.9</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G3</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59.8</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40.1</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88.1</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G4</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198</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198</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287</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restar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ascii="Times New Roman" w:hAnsi="Times New Roman"/>
                <w:color w:val="auto"/>
                <w:sz w:val="21"/>
                <w:szCs w:val="21"/>
                <w:highlight w:val="none"/>
              </w:rPr>
              <w:t>甲苯</w:t>
            </w:r>
            <w:r>
              <w:rPr>
                <w:rFonts w:hint="default" w:ascii="Times New Roman" w:hAnsi="Times New Roman"/>
                <w:color w:val="auto"/>
                <w:sz w:val="21"/>
                <w:szCs w:val="21"/>
                <w:highlight w:val="none"/>
              </w:rPr>
              <w:t>（</w:t>
            </w:r>
            <w:r>
              <w:rPr>
                <w:rFonts w:hint="eastAsia" w:ascii="Times New Roman" w:hAnsi="Times New Roman"/>
                <w:color w:val="auto"/>
                <w:sz w:val="21"/>
                <w:szCs w:val="21"/>
                <w:highlight w:val="none"/>
                <w:lang w:val="en-US" w:eastAsia="zh-CN"/>
              </w:rPr>
              <w:t>µg</w:t>
            </w:r>
            <w:r>
              <w:rPr>
                <w:rFonts w:hint="default" w:ascii="Times New Roman" w:hAnsi="Times New Roman"/>
                <w:color w:val="auto"/>
                <w:sz w:val="21"/>
                <w:szCs w:val="21"/>
                <w:highlight w:val="none"/>
              </w:rPr>
              <w:t>/m</w:t>
            </w:r>
            <w:r>
              <w:rPr>
                <w:rFonts w:hint="default" w:ascii="Times New Roman" w:hAnsi="Times New Roman"/>
                <w:color w:val="auto"/>
                <w:sz w:val="21"/>
                <w:szCs w:val="21"/>
                <w:highlight w:val="none"/>
                <w:vertAlign w:val="superscript"/>
              </w:rPr>
              <w:t>3</w:t>
            </w:r>
            <w:r>
              <w:rPr>
                <w:rFonts w:hint="default" w:ascii="Times New Roman" w:hAnsi="Times New Roman"/>
                <w:color w:val="auto"/>
                <w:sz w:val="21"/>
                <w:szCs w:val="21"/>
                <w:highlight w:val="none"/>
              </w:rPr>
              <w:t>）</w:t>
            </w:r>
          </w:p>
        </w:tc>
        <w:tc>
          <w:tcPr>
            <w:tcW w:w="629" w:type="pct"/>
            <w:vMerge w:val="restart"/>
            <w:vAlign w:val="center"/>
          </w:tcPr>
          <w:p>
            <w:pPr>
              <w:pStyle w:val="28"/>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3.2.10</w:t>
            </w: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3.3</w:t>
            </w:r>
          </w:p>
        </w:tc>
        <w:tc>
          <w:tcPr>
            <w:tcW w:w="672"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200</w:t>
            </w:r>
            <w:r>
              <w:rPr>
                <w:rFonts w:hint="eastAsia" w:ascii="Times New Roman" w:hAnsi="Times New Roman"/>
                <w:color w:val="auto"/>
                <w:sz w:val="21"/>
                <w:szCs w:val="21"/>
                <w:lang w:val="en-US" w:eastAsia="zh-CN"/>
              </w:rPr>
              <w:t>µg</w:t>
            </w:r>
            <w:r>
              <w:rPr>
                <w:rFonts w:hint="default" w:ascii="Times New Roman" w:hAnsi="Times New Roman"/>
                <w:color w:val="auto"/>
                <w:sz w:val="21"/>
                <w:szCs w:val="21"/>
              </w:rPr>
              <w:t>/m</w:t>
            </w:r>
            <w:r>
              <w:rPr>
                <w:rFonts w:hint="default" w:ascii="Times New Roman" w:hAnsi="Times New Roman"/>
                <w:color w:val="auto"/>
                <w:sz w:val="21"/>
                <w:szCs w:val="21"/>
                <w:vertAlign w:val="superscript"/>
              </w:rPr>
              <w:t>3</w:t>
            </w:r>
          </w:p>
        </w:tc>
        <w:tc>
          <w:tcPr>
            <w:tcW w:w="337"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0.5</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G3</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G4</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3.3</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2.9</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restart"/>
            <w:vAlign w:val="center"/>
          </w:tcPr>
          <w:p>
            <w:pPr>
              <w:pStyle w:val="28"/>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3.2.11</w:t>
            </w: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6.7</w:t>
            </w: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G3</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G4</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2.3</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6.7</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restart"/>
            <w:vAlign w:val="center"/>
          </w:tcPr>
          <w:p>
            <w:pPr>
              <w:widowControl/>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color w:val="auto"/>
                <w:sz w:val="22"/>
                <w:szCs w:val="22"/>
                <w:highlight w:val="none"/>
              </w:rPr>
              <w:t>甲醇</w:t>
            </w:r>
            <w:r>
              <w:rPr>
                <w:rFonts w:hint="default" w:ascii="Times New Roman" w:hAnsi="Times New Roman" w:eastAsia="宋体" w:cs="Times New Roman"/>
                <w:b w:val="0"/>
                <w:bCs w:val="0"/>
                <w:color w:val="auto"/>
                <w:sz w:val="21"/>
                <w:szCs w:val="21"/>
                <w:highlight w:val="none"/>
              </w:rPr>
              <w:t>（mg/m</w:t>
            </w:r>
            <w:r>
              <w:rPr>
                <w:rFonts w:hint="default" w:ascii="Times New Roman" w:hAnsi="Times New Roman" w:eastAsia="宋体" w:cs="Times New Roman"/>
                <w:b w:val="0"/>
                <w:bCs w:val="0"/>
                <w:color w:val="auto"/>
                <w:sz w:val="21"/>
                <w:szCs w:val="21"/>
                <w:highlight w:val="none"/>
                <w:vertAlign w:val="superscript"/>
              </w:rPr>
              <w:t>3</w:t>
            </w:r>
            <w:r>
              <w:rPr>
                <w:rFonts w:hint="default" w:ascii="Times New Roman" w:hAnsi="Times New Roman" w:eastAsia="宋体" w:cs="Times New Roman"/>
                <w:b w:val="0"/>
                <w:bCs w:val="0"/>
                <w:color w:val="auto"/>
                <w:sz w:val="21"/>
                <w:szCs w:val="21"/>
                <w:highlight w:val="none"/>
              </w:rPr>
              <w:t>）</w:t>
            </w:r>
          </w:p>
        </w:tc>
        <w:tc>
          <w:tcPr>
            <w:tcW w:w="629" w:type="pct"/>
            <w:vMerge w:val="restart"/>
            <w:vAlign w:val="center"/>
          </w:tcPr>
          <w:p>
            <w:pPr>
              <w:pStyle w:val="28"/>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3.2.10</w:t>
            </w: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ND</w:t>
            </w:r>
          </w:p>
        </w:tc>
        <w:tc>
          <w:tcPr>
            <w:tcW w:w="672" w:type="pct"/>
            <w:vMerge w:val="restart"/>
            <w:vAlign w:val="center"/>
          </w:tcPr>
          <w:p>
            <w:pPr>
              <w:pStyle w:val="28"/>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1</w:t>
            </w:r>
            <w:r>
              <w:rPr>
                <w:rFonts w:hint="default" w:ascii="Times New Roman" w:hAnsi="Times New Roman" w:eastAsia="宋体" w:cs="Times New Roman"/>
                <w:b w:val="0"/>
                <w:bCs w:val="0"/>
                <w:color w:val="auto"/>
                <w:sz w:val="21"/>
                <w:szCs w:val="21"/>
              </w:rPr>
              <w:t>mg/m</w:t>
            </w:r>
            <w:r>
              <w:rPr>
                <w:rFonts w:hint="default" w:ascii="Times New Roman" w:hAnsi="Times New Roman" w:eastAsia="宋体" w:cs="Times New Roman"/>
                <w:b w:val="0"/>
                <w:bCs w:val="0"/>
                <w:color w:val="auto"/>
                <w:sz w:val="21"/>
                <w:szCs w:val="21"/>
                <w:vertAlign w:val="superscript"/>
              </w:rPr>
              <w:t>3</w:t>
            </w:r>
          </w:p>
        </w:tc>
        <w:tc>
          <w:tcPr>
            <w:tcW w:w="337"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G2</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G3</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G4</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restart"/>
            <w:vAlign w:val="center"/>
          </w:tcPr>
          <w:p>
            <w:pPr>
              <w:pStyle w:val="28"/>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3.2.11</w:t>
            </w: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ND</w:t>
            </w: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G2</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G3</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G4</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1256"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ND</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restar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cs="Times New Roman"/>
                <w:bCs/>
                <w:color w:val="auto"/>
                <w:sz w:val="21"/>
                <w:szCs w:val="21"/>
                <w:highlight w:val="none"/>
                <w:lang w:val="en-US" w:eastAsia="zh-CN"/>
              </w:rPr>
              <w:t>非甲烷总烃</w:t>
            </w:r>
            <w:r>
              <w:rPr>
                <w:rFonts w:hint="default" w:ascii="Times New Roman" w:hAnsi="Times New Roman"/>
                <w:color w:val="auto"/>
                <w:sz w:val="21"/>
                <w:szCs w:val="21"/>
                <w:highlight w:val="none"/>
              </w:rPr>
              <w:t>（</w:t>
            </w:r>
            <w:r>
              <w:rPr>
                <w:rFonts w:hint="eastAsia" w:ascii="Times New Roman" w:hAnsi="Times New Roman"/>
                <w:color w:val="auto"/>
                <w:sz w:val="21"/>
                <w:szCs w:val="21"/>
                <w:highlight w:val="none"/>
                <w:lang w:val="en-US" w:eastAsia="zh-CN"/>
              </w:rPr>
              <w:t>µg</w:t>
            </w:r>
            <w:r>
              <w:rPr>
                <w:rFonts w:hint="default" w:ascii="Times New Roman" w:hAnsi="Times New Roman"/>
                <w:color w:val="auto"/>
                <w:sz w:val="21"/>
                <w:szCs w:val="21"/>
                <w:highlight w:val="none"/>
              </w:rPr>
              <w:t>/m</w:t>
            </w:r>
            <w:r>
              <w:rPr>
                <w:rFonts w:hint="default" w:ascii="Times New Roman" w:hAnsi="Times New Roman"/>
                <w:color w:val="auto"/>
                <w:sz w:val="21"/>
                <w:szCs w:val="21"/>
                <w:highlight w:val="none"/>
                <w:vertAlign w:val="superscript"/>
              </w:rPr>
              <w:t>3</w:t>
            </w:r>
            <w:r>
              <w:rPr>
                <w:rFonts w:hint="default" w:ascii="Times New Roman" w:hAnsi="Times New Roman"/>
                <w:color w:val="auto"/>
                <w:sz w:val="21"/>
                <w:szCs w:val="21"/>
                <w:highlight w:val="none"/>
              </w:rPr>
              <w:t>）</w:t>
            </w:r>
          </w:p>
        </w:tc>
        <w:tc>
          <w:tcPr>
            <w:tcW w:w="629" w:type="pct"/>
            <w:vMerge w:val="restart"/>
            <w:vAlign w:val="center"/>
          </w:tcPr>
          <w:p>
            <w:pPr>
              <w:pStyle w:val="28"/>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3.2.10</w:t>
            </w: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10.3</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23.1</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11.1</w:t>
            </w:r>
          </w:p>
        </w:tc>
        <w:tc>
          <w:tcPr>
            <w:tcW w:w="459"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158</w:t>
            </w:r>
          </w:p>
        </w:tc>
        <w:tc>
          <w:tcPr>
            <w:tcW w:w="672" w:type="pct"/>
            <w:vMerge w:val="restart"/>
            <w:vAlign w:val="center"/>
          </w:tcPr>
          <w:p>
            <w:pPr>
              <w:pStyle w:val="28"/>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4000</w:t>
            </w:r>
            <w:r>
              <w:rPr>
                <w:rFonts w:hint="eastAsia" w:ascii="Times New Roman" w:hAnsi="Times New Roman"/>
                <w:color w:val="auto"/>
                <w:sz w:val="21"/>
                <w:szCs w:val="21"/>
                <w:lang w:val="en-US" w:eastAsia="zh-CN"/>
              </w:rPr>
              <w:t>µg</w:t>
            </w:r>
            <w:r>
              <w:rPr>
                <w:rFonts w:hint="default" w:ascii="Times New Roman" w:hAnsi="Times New Roman"/>
                <w:color w:val="auto"/>
                <w:sz w:val="21"/>
                <w:szCs w:val="21"/>
              </w:rPr>
              <w:t>/m</w:t>
            </w:r>
            <w:r>
              <w:rPr>
                <w:rFonts w:hint="default" w:ascii="Times New Roman" w:hAnsi="Times New Roman"/>
                <w:color w:val="auto"/>
                <w:sz w:val="21"/>
                <w:szCs w:val="21"/>
                <w:vertAlign w:val="superscript"/>
              </w:rPr>
              <w:t>3</w:t>
            </w:r>
          </w:p>
        </w:tc>
        <w:tc>
          <w:tcPr>
            <w:tcW w:w="337"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76.6</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31.2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37.7</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G3</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23.8</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35.2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30.8</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continue"/>
            <w:vAlign w:val="center"/>
          </w:tcPr>
          <w:p>
            <w:pPr>
              <w:pStyle w:val="28"/>
              <w:rPr>
                <w:rFonts w:hint="default" w:ascii="Times New Roman" w:hAnsi="Times New Roman" w:eastAsia="宋体" w:cs="Times New Roman"/>
                <w:color w:val="auto"/>
                <w:sz w:val="21"/>
                <w:szCs w:val="21"/>
                <w:highlight w:val="none"/>
              </w:rPr>
            </w:pP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G4</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118</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158</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104</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highlight w:val="none"/>
              </w:rPr>
            </w:pPr>
          </w:p>
        </w:tc>
        <w:tc>
          <w:tcPr>
            <w:tcW w:w="629" w:type="pct"/>
            <w:vMerge w:val="restart"/>
            <w:vAlign w:val="center"/>
          </w:tcPr>
          <w:p>
            <w:pPr>
              <w:pStyle w:val="28"/>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3.2.11</w:t>
            </w:r>
          </w:p>
        </w:tc>
        <w:tc>
          <w:tcPr>
            <w:tcW w:w="319" w:type="pct"/>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7.8</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4.7</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1.7</w:t>
            </w:r>
          </w:p>
        </w:tc>
        <w:tc>
          <w:tcPr>
            <w:tcW w:w="459" w:type="pct"/>
            <w:vMerge w:val="restar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278</w:t>
            </w: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rPr>
            </w:pPr>
          </w:p>
        </w:tc>
        <w:tc>
          <w:tcPr>
            <w:tcW w:w="629" w:type="pct"/>
            <w:vMerge w:val="continue"/>
            <w:vAlign w:val="center"/>
          </w:tcPr>
          <w:p>
            <w:pPr>
              <w:pStyle w:val="28"/>
              <w:rPr>
                <w:rFonts w:hint="default" w:ascii="Times New Roman" w:hAnsi="Times New Roman" w:eastAsia="宋体" w:cs="Times New Roman"/>
                <w:color w:val="auto"/>
                <w:sz w:val="21"/>
                <w:szCs w:val="21"/>
              </w:rPr>
            </w:pPr>
          </w:p>
        </w:tc>
        <w:tc>
          <w:tcPr>
            <w:tcW w:w="31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23.2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23.2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68.1</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rPr>
            </w:pPr>
          </w:p>
        </w:tc>
        <w:tc>
          <w:tcPr>
            <w:tcW w:w="629" w:type="pct"/>
            <w:vMerge w:val="continue"/>
            <w:vAlign w:val="center"/>
          </w:tcPr>
          <w:p>
            <w:pPr>
              <w:pStyle w:val="28"/>
              <w:rPr>
                <w:rFonts w:hint="default" w:ascii="Times New Roman" w:hAnsi="Times New Roman" w:eastAsia="宋体" w:cs="Times New Roman"/>
                <w:color w:val="auto"/>
                <w:sz w:val="21"/>
                <w:szCs w:val="21"/>
              </w:rPr>
            </w:pPr>
          </w:p>
        </w:tc>
        <w:tc>
          <w:tcPr>
            <w:tcW w:w="31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G3</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9.2</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13.9</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9.5</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4" w:type="pct"/>
            <w:vMerge w:val="continue"/>
            <w:vAlign w:val="center"/>
          </w:tcPr>
          <w:p>
            <w:pPr>
              <w:pStyle w:val="28"/>
              <w:rPr>
                <w:rFonts w:hint="default" w:ascii="Times New Roman" w:hAnsi="Times New Roman" w:eastAsia="宋体" w:cs="Times New Roman"/>
                <w:color w:val="auto"/>
                <w:sz w:val="21"/>
                <w:szCs w:val="21"/>
              </w:rPr>
            </w:pPr>
          </w:p>
        </w:tc>
        <w:tc>
          <w:tcPr>
            <w:tcW w:w="629" w:type="pct"/>
            <w:vMerge w:val="continue"/>
            <w:vAlign w:val="center"/>
          </w:tcPr>
          <w:p>
            <w:pPr>
              <w:pStyle w:val="28"/>
              <w:rPr>
                <w:rFonts w:hint="default" w:ascii="Times New Roman" w:hAnsi="Times New Roman" w:eastAsia="宋体" w:cs="Times New Roman"/>
                <w:color w:val="auto"/>
                <w:sz w:val="21"/>
                <w:szCs w:val="21"/>
              </w:rPr>
            </w:pPr>
          </w:p>
        </w:tc>
        <w:tc>
          <w:tcPr>
            <w:tcW w:w="319" w:type="pc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G4</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137</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278</w:t>
            </w:r>
          </w:p>
        </w:tc>
        <w:tc>
          <w:tcPr>
            <w:tcW w:w="692" w:type="pct"/>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150</w:t>
            </w:r>
          </w:p>
        </w:tc>
        <w:tc>
          <w:tcPr>
            <w:tcW w:w="459" w:type="pct"/>
            <w:vMerge w:val="continue"/>
            <w:vAlign w:val="center"/>
          </w:tcPr>
          <w:p>
            <w:pPr>
              <w:pStyle w:val="28"/>
              <w:rPr>
                <w:rFonts w:hint="default" w:ascii="Times New Roman" w:hAnsi="Times New Roman" w:eastAsia="宋体" w:cs="Times New Roman"/>
                <w:color w:val="auto"/>
                <w:sz w:val="21"/>
                <w:szCs w:val="21"/>
              </w:rPr>
            </w:pPr>
          </w:p>
        </w:tc>
        <w:tc>
          <w:tcPr>
            <w:tcW w:w="672" w:type="pct"/>
            <w:vMerge w:val="continue"/>
            <w:vAlign w:val="center"/>
          </w:tcPr>
          <w:p>
            <w:pPr>
              <w:pStyle w:val="28"/>
              <w:rPr>
                <w:rFonts w:hint="default" w:ascii="Times New Roman" w:hAnsi="Times New Roman" w:eastAsia="宋体" w:cs="Times New Roman"/>
                <w:color w:val="auto"/>
                <w:sz w:val="21"/>
                <w:szCs w:val="21"/>
              </w:rPr>
            </w:pPr>
          </w:p>
        </w:tc>
        <w:tc>
          <w:tcPr>
            <w:tcW w:w="337" w:type="pct"/>
            <w:vMerge w:val="continue"/>
            <w:vAlign w:val="center"/>
          </w:tcPr>
          <w:p>
            <w:pPr>
              <w:pStyle w:val="28"/>
              <w:rPr>
                <w:rFonts w:hint="default" w:ascii="Times New Roman" w:hAnsi="Times New Roman" w:eastAsia="宋体" w:cs="Times New Roman"/>
                <w:color w:val="auto"/>
                <w:sz w:val="21"/>
                <w:szCs w:val="21"/>
              </w:rPr>
            </w:pPr>
          </w:p>
        </w:tc>
      </w:tr>
    </w:tbl>
    <w:p>
      <w:pPr>
        <w:pStyle w:val="29"/>
        <w:keepNext w:val="0"/>
        <w:keepLines w:val="0"/>
        <w:pageBreakBefore w:val="0"/>
        <w:widowControl/>
        <w:kinsoku/>
        <w:wordWrap/>
        <w:overflowPunct/>
        <w:topLinePunct w:val="0"/>
        <w:autoSpaceDE/>
        <w:autoSpaceDN/>
        <w:bidi w:val="0"/>
        <w:adjustRightInd w:val="0"/>
        <w:snapToGrid w:val="0"/>
        <w:spacing w:beforeLines="0" w:line="240" w:lineRule="auto"/>
        <w:jc w:val="left"/>
        <w:textAlignment w:val="auto"/>
        <w:rPr>
          <w:rFonts w:hint="eastAsia"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注：</w:t>
      </w:r>
      <w:r>
        <w:rPr>
          <w:rFonts w:hint="eastAsia" w:cs="Times New Roman"/>
          <w:color w:val="auto"/>
          <w:sz w:val="18"/>
          <w:szCs w:val="18"/>
          <w:lang w:val="en-US" w:eastAsia="zh-CN"/>
        </w:rPr>
        <w:t>ND表示未检出，甲醇</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0.1</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lang w:val="en-US" w:eastAsia="zh-CN"/>
        </w:rPr>
        <w:t>，甲苯</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0..4</w:t>
      </w:r>
      <w:r>
        <w:rPr>
          <w:rFonts w:hint="eastAsia" w:ascii="Times New Roman" w:hAnsi="Times New Roman"/>
          <w:color w:val="auto"/>
          <w:sz w:val="21"/>
          <w:szCs w:val="21"/>
          <w:lang w:val="en-US" w:eastAsia="zh-CN"/>
        </w:rPr>
        <w:t>µ</w:t>
      </w:r>
      <w:r>
        <w:rPr>
          <w:rFonts w:hint="default" w:ascii="Times New Roman" w:hAnsi="Times New Roman" w:eastAsia="宋体" w:cs="Times New Roman"/>
          <w:color w:val="auto"/>
          <w:sz w:val="18"/>
          <w:szCs w:val="18"/>
        </w:rPr>
        <w:t>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lang w:val="en-US" w:eastAsia="zh-CN"/>
        </w:rPr>
        <w:t>，乙酸乙酯</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0.7</w:t>
      </w:r>
      <w:r>
        <w:rPr>
          <w:rFonts w:hint="eastAsia" w:ascii="Times New Roman" w:hAnsi="Times New Roman"/>
          <w:color w:val="auto"/>
          <w:sz w:val="21"/>
          <w:szCs w:val="21"/>
          <w:lang w:val="en-US" w:eastAsia="zh-CN"/>
        </w:rPr>
        <w:t>µ</w:t>
      </w:r>
      <w:r>
        <w:rPr>
          <w:rFonts w:hint="default" w:ascii="Times New Roman" w:hAnsi="Times New Roman" w:eastAsia="宋体" w:cs="Times New Roman"/>
          <w:color w:val="auto"/>
          <w:sz w:val="18"/>
          <w:szCs w:val="18"/>
        </w:rPr>
        <w:t>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vertAlign w:val="baseline"/>
          <w:lang w:val="en-US" w:eastAsia="zh-CN"/>
        </w:rPr>
        <w:t>。</w:t>
      </w:r>
    </w:p>
    <w:p>
      <w:pPr>
        <w:pStyle w:val="29"/>
        <w:spacing w:before="156"/>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表9</w:t>
      </w:r>
      <w:r>
        <w:rPr>
          <w:rFonts w:hint="eastAsia" w:cs="Times New Roman"/>
          <w:color w:val="auto"/>
          <w:sz w:val="21"/>
          <w:szCs w:val="21"/>
          <w:lang w:val="en-US" w:eastAsia="zh-CN"/>
        </w:rPr>
        <w:t>-6</w:t>
      </w:r>
      <w:r>
        <w:rPr>
          <w:rFonts w:hint="default" w:ascii="Times New Roman" w:hAnsi="Times New Roman" w:eastAsia="宋体" w:cs="Times New Roman"/>
          <w:color w:val="auto"/>
          <w:sz w:val="21"/>
          <w:szCs w:val="21"/>
        </w:rPr>
        <w:t xml:space="preserve"> 车间下风向无组织废气监测结果</w:t>
      </w:r>
    </w:p>
    <w:tbl>
      <w:tblPr>
        <w:tblStyle w:val="24"/>
        <w:tblW w:w="4904"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1342"/>
        <w:gridCol w:w="1204"/>
        <w:gridCol w:w="2082"/>
        <w:gridCol w:w="1605"/>
        <w:gridCol w:w="11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906" w:type="pct"/>
            <w:tcBorders>
              <w:tl2br w:val="nil"/>
              <w:tr2bl w:val="nil"/>
            </w:tcBorders>
            <w:vAlign w:val="center"/>
          </w:tcPr>
          <w:p>
            <w:pPr>
              <w:pStyle w:val="28"/>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监测项目</w:t>
            </w:r>
          </w:p>
        </w:tc>
        <w:tc>
          <w:tcPr>
            <w:tcW w:w="740" w:type="pct"/>
            <w:tcBorders>
              <w:tl2br w:val="nil"/>
              <w:tr2bl w:val="nil"/>
            </w:tcBorders>
            <w:vAlign w:val="center"/>
          </w:tcPr>
          <w:p>
            <w:pPr>
              <w:pStyle w:val="28"/>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监测日期</w:t>
            </w:r>
          </w:p>
        </w:tc>
        <w:tc>
          <w:tcPr>
            <w:tcW w:w="664" w:type="pct"/>
            <w:tcBorders>
              <w:tl2br w:val="nil"/>
              <w:tr2bl w:val="nil"/>
            </w:tcBorders>
            <w:vAlign w:val="center"/>
          </w:tcPr>
          <w:p>
            <w:pPr>
              <w:pStyle w:val="28"/>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监测点位</w:t>
            </w:r>
          </w:p>
        </w:tc>
        <w:tc>
          <w:tcPr>
            <w:tcW w:w="1148" w:type="pct"/>
            <w:tcBorders>
              <w:tl2br w:val="nil"/>
              <w:tr2bl w:val="nil"/>
            </w:tcBorders>
            <w:vAlign w:val="center"/>
          </w:tcPr>
          <w:p>
            <w:pPr>
              <w:pStyle w:val="28"/>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监测结果（mg/m</w:t>
            </w:r>
            <w:r>
              <w:rPr>
                <w:rFonts w:hint="default" w:ascii="Times New Roman" w:hAnsi="Times New Roman" w:eastAsia="宋体" w:cs="Times New Roman"/>
                <w:b/>
                <w:bCs/>
                <w:color w:val="auto"/>
                <w:sz w:val="21"/>
                <w:szCs w:val="21"/>
                <w:highlight w:val="none"/>
                <w:vertAlign w:val="superscript"/>
              </w:rPr>
              <w:t>3</w:t>
            </w:r>
            <w:r>
              <w:rPr>
                <w:rFonts w:hint="default" w:ascii="Times New Roman" w:hAnsi="Times New Roman" w:eastAsia="宋体" w:cs="Times New Roman"/>
                <w:b/>
                <w:bCs/>
                <w:color w:val="auto"/>
                <w:sz w:val="21"/>
                <w:szCs w:val="21"/>
                <w:highlight w:val="none"/>
              </w:rPr>
              <w:t>）</w:t>
            </w:r>
          </w:p>
        </w:tc>
        <w:tc>
          <w:tcPr>
            <w:tcW w:w="884" w:type="pct"/>
            <w:tcBorders>
              <w:tl2br w:val="nil"/>
              <w:tr2bl w:val="nil"/>
            </w:tcBorders>
            <w:vAlign w:val="center"/>
          </w:tcPr>
          <w:p>
            <w:pPr>
              <w:pStyle w:val="28"/>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执行标准（mg/m</w:t>
            </w:r>
            <w:r>
              <w:rPr>
                <w:rFonts w:hint="default" w:ascii="Times New Roman" w:hAnsi="Times New Roman" w:eastAsia="宋体" w:cs="Times New Roman"/>
                <w:b/>
                <w:bCs/>
                <w:color w:val="auto"/>
                <w:sz w:val="21"/>
                <w:szCs w:val="21"/>
                <w:highlight w:val="none"/>
                <w:vertAlign w:val="superscript"/>
              </w:rPr>
              <w:t>3</w:t>
            </w:r>
            <w:r>
              <w:rPr>
                <w:rFonts w:hint="default" w:ascii="Times New Roman" w:hAnsi="Times New Roman" w:eastAsia="宋体" w:cs="Times New Roman"/>
                <w:b/>
                <w:bCs/>
                <w:color w:val="auto"/>
                <w:sz w:val="21"/>
                <w:szCs w:val="21"/>
                <w:highlight w:val="none"/>
              </w:rPr>
              <w:t>）</w:t>
            </w:r>
          </w:p>
        </w:tc>
        <w:tc>
          <w:tcPr>
            <w:tcW w:w="655" w:type="pct"/>
            <w:tcBorders>
              <w:tl2br w:val="nil"/>
              <w:tr2bl w:val="nil"/>
            </w:tcBorders>
            <w:vAlign w:val="center"/>
          </w:tcPr>
          <w:p>
            <w:pPr>
              <w:pStyle w:val="28"/>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06" w:type="pct"/>
            <w:tcBorders>
              <w:tl2br w:val="nil"/>
              <w:tr2bl w:val="nil"/>
            </w:tcBorders>
            <w:vAlign w:val="center"/>
          </w:tcPr>
          <w:p>
            <w:pPr>
              <w:pStyle w:val="28"/>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非甲烷总烃</w:t>
            </w:r>
          </w:p>
        </w:tc>
        <w:tc>
          <w:tcPr>
            <w:tcW w:w="740" w:type="pct"/>
            <w:tcBorders>
              <w:tl2br w:val="nil"/>
              <w:tr2bl w:val="nil"/>
            </w:tcBorders>
            <w:vAlign w:val="center"/>
          </w:tcPr>
          <w:p>
            <w:pPr>
              <w:pStyle w:val="28"/>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3.2.10</w:t>
            </w:r>
          </w:p>
        </w:tc>
        <w:tc>
          <w:tcPr>
            <w:tcW w:w="664" w:type="pct"/>
            <w:tcBorders>
              <w:tl2br w:val="nil"/>
              <w:tr2bl w:val="nil"/>
            </w:tcBorders>
            <w:vAlign w:val="center"/>
          </w:tcPr>
          <w:p>
            <w:pPr>
              <w:pStyle w:val="28"/>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车间外</w:t>
            </w:r>
          </w:p>
        </w:tc>
        <w:tc>
          <w:tcPr>
            <w:tcW w:w="1148" w:type="pct"/>
            <w:tcBorders>
              <w:tl2br w:val="nil"/>
              <w:tr2bl w:val="nil"/>
            </w:tcBorders>
            <w:vAlign w:val="center"/>
          </w:tcPr>
          <w:p>
            <w:pPr>
              <w:pStyle w:val="28"/>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3.24</w:t>
            </w:r>
          </w:p>
        </w:tc>
        <w:tc>
          <w:tcPr>
            <w:tcW w:w="884" w:type="pct"/>
            <w:tcBorders>
              <w:tl2br w:val="nil"/>
              <w:tr2bl w:val="nil"/>
            </w:tcBorders>
            <w:vAlign w:val="center"/>
          </w:tcPr>
          <w:p>
            <w:pPr>
              <w:pStyle w:val="28"/>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p>
        </w:tc>
        <w:tc>
          <w:tcPr>
            <w:tcW w:w="655" w:type="pct"/>
            <w:tcBorders>
              <w:tl2br w:val="nil"/>
              <w:tr2bl w:val="nil"/>
            </w:tcBorders>
            <w:vAlign w:val="center"/>
          </w:tcPr>
          <w:p>
            <w:pPr>
              <w:pStyle w:val="28"/>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bl>
    <w:p>
      <w:pPr>
        <w:keepNext w:val="0"/>
        <w:keepLines w:val="0"/>
        <w:pageBreakBefore w:val="0"/>
        <w:widowControl w:val="0"/>
        <w:kinsoku/>
        <w:wordWrap/>
        <w:overflowPunct/>
        <w:topLinePunct w:val="0"/>
        <w:autoSpaceDE w:val="0"/>
        <w:autoSpaceDN w:val="0"/>
        <w:bidi w:val="0"/>
        <w:adjustRightInd/>
        <w:snapToGrid w:val="0"/>
        <w:spacing w:before="157" w:beforeLines="50" w:line="36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废气验收监测结果评价：</w:t>
      </w:r>
    </w:p>
    <w:p>
      <w:pPr>
        <w:pStyle w:val="12"/>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200"/>
        <w:jc w:val="both"/>
        <w:textAlignment w:val="auto"/>
        <w:rPr>
          <w:color w:val="auto"/>
          <w:kern w:val="0"/>
          <w:sz w:val="21"/>
          <w:szCs w:val="21"/>
        </w:rPr>
      </w:pPr>
      <w:bookmarkStart w:id="53" w:name="_Hlk118879732"/>
      <w:r>
        <w:rPr>
          <w:rFonts w:hint="default" w:ascii="Times New Roman" w:hAnsi="Times New Roman" w:eastAsia="宋体" w:cs="Times New Roman"/>
          <w:color w:val="auto"/>
          <w:sz w:val="21"/>
          <w:szCs w:val="21"/>
        </w:rPr>
        <w:t>验收监测期间，项目</w:t>
      </w:r>
      <w:r>
        <w:rPr>
          <w:color w:val="auto"/>
          <w:kern w:val="0"/>
          <w:sz w:val="21"/>
          <w:szCs w:val="21"/>
        </w:rPr>
        <w:t>甲苯</w:t>
      </w:r>
      <w:r>
        <w:rPr>
          <w:rFonts w:hint="eastAsia"/>
          <w:color w:val="auto"/>
          <w:kern w:val="0"/>
          <w:sz w:val="21"/>
          <w:szCs w:val="21"/>
        </w:rPr>
        <w:t>、甲醇</w:t>
      </w:r>
      <w:r>
        <w:rPr>
          <w:rFonts w:hint="eastAsia"/>
          <w:color w:val="auto"/>
          <w:kern w:val="0"/>
          <w:sz w:val="21"/>
          <w:szCs w:val="21"/>
          <w:lang w:val="en-US" w:eastAsia="zh-CN"/>
        </w:rPr>
        <w:t>有组织及厂界无组织排放满足</w:t>
      </w:r>
      <w:r>
        <w:rPr>
          <w:color w:val="auto"/>
          <w:kern w:val="0"/>
          <w:sz w:val="21"/>
          <w:szCs w:val="21"/>
        </w:rPr>
        <w:t>《大气污染物综合排放标准》（DB32/4041-2021）表1</w:t>
      </w:r>
      <w:r>
        <w:rPr>
          <w:rFonts w:hint="eastAsia"/>
          <w:color w:val="auto"/>
          <w:kern w:val="0"/>
          <w:sz w:val="21"/>
          <w:szCs w:val="21"/>
          <w:lang w:val="en-US" w:eastAsia="zh-CN"/>
        </w:rPr>
        <w:t>和表3</w:t>
      </w:r>
      <w:r>
        <w:rPr>
          <w:color w:val="auto"/>
          <w:kern w:val="0"/>
          <w:sz w:val="21"/>
          <w:szCs w:val="21"/>
        </w:rPr>
        <w:t>中标准</w:t>
      </w:r>
      <w:r>
        <w:rPr>
          <w:rFonts w:hint="eastAsia"/>
          <w:color w:val="auto"/>
          <w:kern w:val="0"/>
          <w:sz w:val="21"/>
          <w:szCs w:val="21"/>
          <w:lang w:eastAsia="zh-CN"/>
        </w:rPr>
        <w:t>；</w:t>
      </w:r>
      <w:r>
        <w:rPr>
          <w:rFonts w:hint="eastAsia"/>
          <w:color w:val="auto"/>
          <w:kern w:val="0"/>
          <w:sz w:val="21"/>
          <w:szCs w:val="21"/>
          <w:lang w:val="en-US" w:eastAsia="zh-CN"/>
        </w:rPr>
        <w:t>非甲烷总烃有组织及厂界无组织排放满足</w:t>
      </w:r>
      <w:r>
        <w:rPr>
          <w:color w:val="auto"/>
          <w:kern w:val="0"/>
          <w:sz w:val="21"/>
          <w:szCs w:val="21"/>
        </w:rPr>
        <w:t>《</w:t>
      </w:r>
      <w:r>
        <w:rPr>
          <w:rFonts w:hint="eastAsia"/>
          <w:color w:val="auto"/>
          <w:kern w:val="0"/>
          <w:sz w:val="21"/>
          <w:szCs w:val="21"/>
        </w:rPr>
        <w:t>合成树脂工业污染物</w:t>
      </w:r>
      <w:r>
        <w:rPr>
          <w:color w:val="auto"/>
          <w:kern w:val="0"/>
          <w:sz w:val="21"/>
          <w:szCs w:val="21"/>
        </w:rPr>
        <w:t>排放标准》（GB 31572-2015）表5</w:t>
      </w:r>
      <w:r>
        <w:rPr>
          <w:rFonts w:hint="eastAsia"/>
          <w:color w:val="auto"/>
          <w:kern w:val="0"/>
          <w:sz w:val="21"/>
          <w:szCs w:val="21"/>
        </w:rPr>
        <w:t>大气污染物特别排放限值中非甲烷总烃</w:t>
      </w:r>
      <w:r>
        <w:rPr>
          <w:color w:val="auto"/>
          <w:kern w:val="0"/>
          <w:sz w:val="21"/>
          <w:szCs w:val="21"/>
        </w:rPr>
        <w:t>标准</w:t>
      </w:r>
      <w:r>
        <w:rPr>
          <w:rFonts w:hint="eastAsia"/>
          <w:color w:val="auto"/>
          <w:kern w:val="0"/>
          <w:sz w:val="21"/>
          <w:szCs w:val="21"/>
          <w:lang w:eastAsia="zh-CN"/>
        </w:rPr>
        <w:t>；</w:t>
      </w:r>
      <w:r>
        <w:rPr>
          <w:rFonts w:hint="eastAsia"/>
          <w:color w:val="auto"/>
          <w:kern w:val="0"/>
          <w:sz w:val="21"/>
          <w:szCs w:val="21"/>
        </w:rPr>
        <w:t>颗粒物</w:t>
      </w:r>
      <w:r>
        <w:rPr>
          <w:color w:val="auto"/>
          <w:kern w:val="0"/>
          <w:sz w:val="21"/>
          <w:szCs w:val="21"/>
        </w:rPr>
        <w:t>、SO</w:t>
      </w:r>
      <w:r>
        <w:rPr>
          <w:color w:val="auto"/>
          <w:kern w:val="0"/>
          <w:sz w:val="21"/>
          <w:szCs w:val="21"/>
          <w:vertAlign w:val="subscript"/>
        </w:rPr>
        <w:t>2</w:t>
      </w:r>
      <w:r>
        <w:rPr>
          <w:rFonts w:hint="eastAsia"/>
          <w:color w:val="auto"/>
          <w:kern w:val="0"/>
          <w:sz w:val="21"/>
          <w:szCs w:val="21"/>
          <w:vertAlign w:val="baseline"/>
          <w:lang w:val="en-US" w:eastAsia="zh-CN"/>
        </w:rPr>
        <w:t>以及氮氧化物</w:t>
      </w:r>
      <w:r>
        <w:rPr>
          <w:rFonts w:hint="eastAsia"/>
          <w:color w:val="auto"/>
          <w:kern w:val="0"/>
          <w:sz w:val="21"/>
          <w:szCs w:val="21"/>
          <w:lang w:val="en-US" w:eastAsia="zh-CN"/>
        </w:rPr>
        <w:t>排放满足</w:t>
      </w:r>
      <w:r>
        <w:rPr>
          <w:rFonts w:hint="eastAsia"/>
          <w:b w:val="0"/>
          <w:bCs/>
          <w:color w:val="auto"/>
          <w:kern w:val="0"/>
          <w:sz w:val="21"/>
          <w:szCs w:val="21"/>
          <w:highlight w:val="none"/>
        </w:rPr>
        <w:t>《锅炉大气污染物排放标准》（</w:t>
      </w:r>
      <w:r>
        <w:rPr>
          <w:rFonts w:hint="eastAsia"/>
          <w:b w:val="0"/>
          <w:bCs/>
          <w:color w:val="auto"/>
          <w:kern w:val="0"/>
          <w:sz w:val="21"/>
          <w:szCs w:val="21"/>
          <w:highlight w:val="none"/>
          <w:lang w:val="en-US" w:eastAsia="zh-CN"/>
        </w:rPr>
        <w:t>DB32/4385-2022</w:t>
      </w:r>
      <w:r>
        <w:rPr>
          <w:rFonts w:hint="eastAsia"/>
          <w:b w:val="0"/>
          <w:bCs/>
          <w:color w:val="auto"/>
          <w:kern w:val="0"/>
          <w:sz w:val="21"/>
          <w:szCs w:val="21"/>
          <w:highlight w:val="none"/>
        </w:rPr>
        <w:t>）</w:t>
      </w:r>
      <w:r>
        <w:rPr>
          <w:rFonts w:hint="eastAsia"/>
          <w:b w:val="0"/>
          <w:bCs/>
          <w:color w:val="auto"/>
          <w:kern w:val="0"/>
          <w:sz w:val="21"/>
          <w:szCs w:val="21"/>
          <w:highlight w:val="none"/>
          <w:lang w:val="en-US" w:eastAsia="zh-CN"/>
        </w:rPr>
        <w:t>表1</w:t>
      </w:r>
      <w:r>
        <w:rPr>
          <w:rFonts w:hint="eastAsia"/>
          <w:b w:val="0"/>
          <w:bCs/>
          <w:color w:val="auto"/>
          <w:kern w:val="0"/>
          <w:sz w:val="21"/>
          <w:szCs w:val="21"/>
          <w:highlight w:val="none"/>
        </w:rPr>
        <w:t>排放限值</w:t>
      </w:r>
      <w:r>
        <w:rPr>
          <w:rFonts w:hint="eastAsia"/>
          <w:color w:val="auto"/>
          <w:kern w:val="0"/>
          <w:sz w:val="21"/>
          <w:szCs w:val="21"/>
          <w:lang w:eastAsia="zh-CN"/>
        </w:rPr>
        <w:t>；</w:t>
      </w:r>
      <w:r>
        <w:rPr>
          <w:color w:val="auto"/>
          <w:kern w:val="0"/>
          <w:sz w:val="21"/>
          <w:szCs w:val="21"/>
        </w:rPr>
        <w:t>厂区内无组织排放NMHC</w:t>
      </w:r>
      <w:r>
        <w:rPr>
          <w:rFonts w:hint="eastAsia"/>
          <w:color w:val="auto"/>
          <w:kern w:val="0"/>
          <w:sz w:val="21"/>
          <w:szCs w:val="21"/>
          <w:lang w:val="en-US" w:eastAsia="zh-CN"/>
        </w:rPr>
        <w:t>满足</w:t>
      </w:r>
      <w:r>
        <w:rPr>
          <w:color w:val="auto"/>
          <w:kern w:val="0"/>
          <w:sz w:val="21"/>
          <w:szCs w:val="21"/>
        </w:rPr>
        <w:t>《大气污染物综合排放标准》（DB32/4041-2021）表2中标准中排放限值。</w:t>
      </w:r>
    </w:p>
    <w:bookmarkEnd w:id="53"/>
    <w:p>
      <w:pPr>
        <w:pStyle w:val="5"/>
        <w:keepNext/>
        <w:keepLines/>
        <w:pageBreakBefore w:val="0"/>
        <w:widowControl w:val="0"/>
        <w:kinsoku/>
        <w:wordWrap/>
        <w:overflowPunct/>
        <w:topLinePunct w:val="0"/>
        <w:autoSpaceDE w:val="0"/>
        <w:autoSpaceDN w:val="0"/>
        <w:bidi w:val="0"/>
        <w:adjustRightInd/>
        <w:snapToGrid/>
        <w:spacing w:beforeLines="0" w:afterLines="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9.2.2.3 噪声</w:t>
      </w:r>
    </w:p>
    <w:p>
      <w:pPr>
        <w:keepNext w:val="0"/>
        <w:keepLines w:val="0"/>
        <w:pageBreakBefore w:val="0"/>
        <w:widowControl w:val="0"/>
        <w:kinsoku/>
        <w:wordWrap/>
        <w:overflowPunct/>
        <w:topLinePunct w:val="0"/>
        <w:autoSpaceDE w:val="0"/>
        <w:autoSpaceDN w:val="0"/>
        <w:bidi w:val="0"/>
        <w:adjustRightInd/>
        <w:snapToGrid/>
        <w:spacing w:line="360" w:lineRule="auto"/>
        <w:ind w:firstLine="562"/>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①项目厂界噪声</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rPr>
        <w:t>验收项目厂</w:t>
      </w:r>
      <w:r>
        <w:rPr>
          <w:rFonts w:hint="default" w:ascii="Times New Roman" w:hAnsi="Times New Roman" w:eastAsia="宋体" w:cs="Times New Roman"/>
          <w:color w:val="auto"/>
          <w:sz w:val="21"/>
          <w:szCs w:val="21"/>
          <w:highlight w:val="none"/>
        </w:rPr>
        <w:t>界噪声监测结果如下：</w:t>
      </w:r>
    </w:p>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hint="default"/>
        </w:rPr>
      </w:pPr>
      <w:r>
        <w:rPr>
          <w:rFonts w:hint="default"/>
          <w:b/>
          <w:bCs/>
          <w:color w:val="auto"/>
          <w:sz w:val="21"/>
          <w:szCs w:val="21"/>
          <w:highlight w:val="none"/>
        </w:rPr>
        <w:t>表</w:t>
      </w:r>
      <w:r>
        <w:rPr>
          <w:rFonts w:hint="eastAsia"/>
          <w:b/>
          <w:bCs/>
          <w:color w:val="auto"/>
          <w:sz w:val="21"/>
          <w:szCs w:val="21"/>
          <w:highlight w:val="none"/>
          <w:lang w:val="en-US" w:eastAsia="zh-CN"/>
        </w:rPr>
        <w:t xml:space="preserve"> 9-7</w:t>
      </w:r>
      <w:r>
        <w:rPr>
          <w:rFonts w:hint="default"/>
          <w:b/>
          <w:bCs/>
          <w:color w:val="auto"/>
          <w:sz w:val="21"/>
          <w:szCs w:val="21"/>
          <w:highlight w:val="none"/>
        </w:rPr>
        <w:t xml:space="preserve">  厂界噪声监测结果</w:t>
      </w:r>
    </w:p>
    <w:tbl>
      <w:tblPr>
        <w:tblStyle w:val="24"/>
        <w:tblpPr w:leftFromText="180" w:rightFromText="180" w:vertAnchor="text" w:horzAnchor="margin" w:tblpXSpec="center" w:tblpY="199"/>
        <w:tblOverlap w:val="never"/>
        <w:tblW w:w="490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421"/>
        <w:gridCol w:w="1072"/>
        <w:gridCol w:w="1766"/>
        <w:gridCol w:w="1265"/>
        <w:gridCol w:w="1488"/>
        <w:gridCol w:w="126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436" w:type="pct"/>
            <w:vMerge w:val="restart"/>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检测项目</w:t>
            </w:r>
          </w:p>
        </w:tc>
        <w:tc>
          <w:tcPr>
            <w:tcW w:w="783" w:type="pct"/>
            <w:vMerge w:val="restart"/>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采样地点</w:t>
            </w:r>
          </w:p>
        </w:tc>
        <w:tc>
          <w:tcPr>
            <w:tcW w:w="591" w:type="pct"/>
            <w:vMerge w:val="restart"/>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检测日期</w:t>
            </w:r>
          </w:p>
        </w:tc>
        <w:tc>
          <w:tcPr>
            <w:tcW w:w="1670" w:type="pct"/>
            <w:gridSpan w:val="2"/>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昼间</w:t>
            </w:r>
          </w:p>
        </w:tc>
        <w:tc>
          <w:tcPr>
            <w:tcW w:w="1517" w:type="pct"/>
            <w:gridSpan w:val="2"/>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夜间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436" w:type="pct"/>
            <w:vMerge w:val="continue"/>
            <w:tcBorders>
              <w:bottom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p>
        </w:tc>
        <w:tc>
          <w:tcPr>
            <w:tcW w:w="783" w:type="pct"/>
            <w:vMerge w:val="continue"/>
            <w:tcBorders>
              <w:bottom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p>
        </w:tc>
        <w:tc>
          <w:tcPr>
            <w:tcW w:w="591" w:type="pct"/>
            <w:vMerge w:val="continue"/>
            <w:tcBorders>
              <w:bottom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p>
        </w:tc>
        <w:tc>
          <w:tcPr>
            <w:tcW w:w="973" w:type="pct"/>
            <w:tcBorders>
              <w:bottom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采样时段</w:t>
            </w:r>
          </w:p>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（时、分）</w:t>
            </w:r>
          </w:p>
        </w:tc>
        <w:tc>
          <w:tcPr>
            <w:tcW w:w="697" w:type="pct"/>
            <w:tcBorders>
              <w:bottom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检测结果</w:t>
            </w:r>
          </w:p>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（dB(A)）</w:t>
            </w:r>
          </w:p>
        </w:tc>
        <w:tc>
          <w:tcPr>
            <w:tcW w:w="820" w:type="pct"/>
            <w:tcBorders>
              <w:bottom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采样时段</w:t>
            </w:r>
          </w:p>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（时、分）</w:t>
            </w:r>
          </w:p>
        </w:tc>
        <w:tc>
          <w:tcPr>
            <w:tcW w:w="697" w:type="pct"/>
            <w:tcBorders>
              <w:bottom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检测结果</w:t>
            </w:r>
          </w:p>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36" w:type="pct"/>
            <w:vMerge w:val="restart"/>
            <w:tcBorders>
              <w:top w:val="single" w:color="auto" w:sz="12" w:space="0"/>
              <w:righ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厂界噪声</w:t>
            </w:r>
          </w:p>
        </w:tc>
        <w:tc>
          <w:tcPr>
            <w:tcW w:w="783" w:type="pct"/>
            <w:tcBorders>
              <w:top w:val="single" w:color="auto" w:sz="12" w:space="0"/>
              <w:lef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厂界东</w:t>
            </w:r>
          </w:p>
        </w:tc>
        <w:tc>
          <w:tcPr>
            <w:tcW w:w="591" w:type="pct"/>
            <w:vMerge w:val="restart"/>
            <w:tcBorders>
              <w:top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3.2.10</w:t>
            </w:r>
          </w:p>
        </w:tc>
        <w:tc>
          <w:tcPr>
            <w:tcW w:w="1766" w:type="dxa"/>
            <w:tcBorders>
              <w:top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08:24-08:29</w:t>
            </w:r>
          </w:p>
        </w:tc>
        <w:tc>
          <w:tcPr>
            <w:tcW w:w="1265" w:type="dxa"/>
            <w:tcBorders>
              <w:top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59.4</w:t>
            </w:r>
          </w:p>
        </w:tc>
        <w:tc>
          <w:tcPr>
            <w:tcW w:w="1488" w:type="dxa"/>
            <w:tcBorders>
              <w:top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22:04-22:09</w:t>
            </w:r>
          </w:p>
        </w:tc>
        <w:tc>
          <w:tcPr>
            <w:tcW w:w="1265" w:type="dxa"/>
            <w:tcBorders>
              <w:top w:val="single" w:color="auto" w:sz="12"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49.8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23" w:hRule="atLeast"/>
          <w:jc w:val="center"/>
        </w:trPr>
        <w:tc>
          <w:tcPr>
            <w:tcW w:w="436" w:type="pct"/>
            <w:vMerge w:val="continue"/>
            <w:tcBorders>
              <w:righ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783" w:type="pct"/>
            <w:tcBorders>
              <w:lef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厂界南</w:t>
            </w:r>
          </w:p>
        </w:tc>
        <w:tc>
          <w:tcPr>
            <w:tcW w:w="591" w:type="pct"/>
            <w:vMerge w:val="continue"/>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1766"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08:35-08:40</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59.9</w:t>
            </w:r>
          </w:p>
        </w:tc>
        <w:tc>
          <w:tcPr>
            <w:tcW w:w="1488"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22:14-22:19</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48.6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36" w:type="pct"/>
            <w:vMerge w:val="continue"/>
            <w:tcBorders>
              <w:righ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783" w:type="pct"/>
            <w:tcBorders>
              <w:lef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厂界西</w:t>
            </w:r>
          </w:p>
        </w:tc>
        <w:tc>
          <w:tcPr>
            <w:tcW w:w="591" w:type="pct"/>
            <w:vMerge w:val="continue"/>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1766"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08:46-08:51</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59.6</w:t>
            </w:r>
          </w:p>
        </w:tc>
        <w:tc>
          <w:tcPr>
            <w:tcW w:w="1488"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22:23-22:28</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49.1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36" w:type="pct"/>
            <w:vMerge w:val="continue"/>
            <w:tcBorders>
              <w:righ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783" w:type="pct"/>
            <w:tcBorders>
              <w:lef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厂界北</w:t>
            </w:r>
          </w:p>
        </w:tc>
        <w:tc>
          <w:tcPr>
            <w:tcW w:w="591" w:type="pct"/>
            <w:vMerge w:val="continue"/>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1766"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08:56-09:01</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58.6</w:t>
            </w:r>
          </w:p>
        </w:tc>
        <w:tc>
          <w:tcPr>
            <w:tcW w:w="1488"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22:42-22:47</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49.5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36" w:type="pct"/>
            <w:vMerge w:val="continue"/>
            <w:tcBorders>
              <w:righ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783" w:type="pct"/>
            <w:tcBorders>
              <w:lef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厂界东</w:t>
            </w:r>
          </w:p>
        </w:tc>
        <w:tc>
          <w:tcPr>
            <w:tcW w:w="591" w:type="pct"/>
            <w:vMerge w:val="restart"/>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3.2.11</w:t>
            </w:r>
          </w:p>
        </w:tc>
        <w:tc>
          <w:tcPr>
            <w:tcW w:w="1766"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08:45-08:50</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59.3</w:t>
            </w:r>
          </w:p>
        </w:tc>
        <w:tc>
          <w:tcPr>
            <w:tcW w:w="1488"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22:06-22:11</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49.2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36" w:type="pct"/>
            <w:vMerge w:val="continue"/>
            <w:tcBorders>
              <w:righ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783" w:type="pct"/>
            <w:tcBorders>
              <w:lef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厂界南</w:t>
            </w:r>
          </w:p>
        </w:tc>
        <w:tc>
          <w:tcPr>
            <w:tcW w:w="591" w:type="pct"/>
            <w:vMerge w:val="continue"/>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1766"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08:56-09:01</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58.6</w:t>
            </w:r>
          </w:p>
        </w:tc>
        <w:tc>
          <w:tcPr>
            <w:tcW w:w="1488"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22:17-22:22</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48.9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36" w:type="pct"/>
            <w:vMerge w:val="continue"/>
            <w:tcBorders>
              <w:righ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783" w:type="pct"/>
            <w:tcBorders>
              <w:lef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厂界西</w:t>
            </w:r>
          </w:p>
        </w:tc>
        <w:tc>
          <w:tcPr>
            <w:tcW w:w="591" w:type="pct"/>
            <w:vMerge w:val="continue"/>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1766"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09:08-09:13</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57.8</w:t>
            </w:r>
          </w:p>
        </w:tc>
        <w:tc>
          <w:tcPr>
            <w:tcW w:w="1488"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22:27-22:32</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48.1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36" w:type="pct"/>
            <w:vMerge w:val="continue"/>
            <w:tcBorders>
              <w:righ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783" w:type="pct"/>
            <w:tcBorders>
              <w:left w:val="single" w:color="auto" w:sz="4" w:space="0"/>
            </w:tcBorders>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厂界北</w:t>
            </w:r>
          </w:p>
        </w:tc>
        <w:tc>
          <w:tcPr>
            <w:tcW w:w="591" w:type="pct"/>
            <w:vMerge w:val="continue"/>
            <w:vAlign w:val="center"/>
          </w:tcPr>
          <w:p>
            <w:pPr>
              <w:pStyle w:val="28"/>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color w:val="auto"/>
                <w:sz w:val="21"/>
                <w:szCs w:val="21"/>
                <w:highlight w:val="none"/>
              </w:rPr>
            </w:pPr>
          </w:p>
        </w:tc>
        <w:tc>
          <w:tcPr>
            <w:tcW w:w="1766"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09:18-09:23</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58.3</w:t>
            </w:r>
          </w:p>
        </w:tc>
        <w:tc>
          <w:tcPr>
            <w:tcW w:w="1488"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22:41-22:46</w:t>
            </w:r>
          </w:p>
        </w:tc>
        <w:tc>
          <w:tcPr>
            <w:tcW w:w="1265" w:type="dxa"/>
            <w:vAlign w:val="center"/>
          </w:tcPr>
          <w:p>
            <w:pPr>
              <w:pStyle w:val="28"/>
              <w:keepNext w:val="0"/>
              <w:keepLines w:val="0"/>
              <w:pageBreakBefore w:val="0"/>
              <w:widowControl w:val="0"/>
              <w:kinsoku/>
              <w:wordWrap/>
              <w:overflowPunct/>
              <w:topLinePunct w:val="0"/>
              <w:autoSpaceDE w:val="0"/>
              <w:autoSpaceDN w:val="0"/>
              <w:bidi w:val="0"/>
              <w:adjustRightInd w:val="0"/>
              <w:snapToGrid w:val="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49.1</w:t>
            </w:r>
          </w:p>
        </w:tc>
      </w:tr>
    </w:tbl>
    <w:p>
      <w:pPr>
        <w:jc w:val="both"/>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厂界噪声监测结果评价：</w:t>
      </w:r>
    </w:p>
    <w:p>
      <w:pPr>
        <w:pageBreakBefore w:val="0"/>
        <w:kinsoku/>
        <w:wordWrap/>
        <w:overflowPunct/>
        <w:topLinePunct w:val="0"/>
        <w:bidi w:val="0"/>
        <w:adjustRightInd/>
        <w:snapToGrid/>
        <w:spacing w:line="360" w:lineRule="auto"/>
        <w:jc w:val="both"/>
        <w:textAlignment w:val="auto"/>
        <w:rPr>
          <w:rFonts w:hint="default" w:ascii="Times New Roman" w:hAnsi="Times New Roman" w:eastAsia="宋体" w:cs="Times New Roman"/>
          <w:color w:val="auto"/>
          <w:sz w:val="21"/>
          <w:szCs w:val="21"/>
        </w:rPr>
      </w:pPr>
      <w:bookmarkStart w:id="54" w:name="_Hlk118879705"/>
      <w:r>
        <w:rPr>
          <w:rFonts w:hint="default" w:ascii="Times New Roman" w:hAnsi="Times New Roman" w:eastAsia="宋体" w:cs="Times New Roman"/>
          <w:color w:val="auto"/>
          <w:sz w:val="21"/>
          <w:szCs w:val="21"/>
        </w:rPr>
        <w:t>验收监测期间，项目东、南、西、</w:t>
      </w:r>
      <w:r>
        <w:rPr>
          <w:rFonts w:hint="eastAsia" w:cs="Times New Roman"/>
          <w:color w:val="auto"/>
          <w:sz w:val="21"/>
          <w:szCs w:val="21"/>
          <w:lang w:val="en-US" w:eastAsia="zh-CN"/>
        </w:rPr>
        <w:t>北</w:t>
      </w:r>
      <w:r>
        <w:rPr>
          <w:rFonts w:hint="default" w:ascii="Times New Roman" w:hAnsi="Times New Roman" w:eastAsia="宋体" w:cs="Times New Roman"/>
          <w:color w:val="auto"/>
          <w:sz w:val="21"/>
          <w:szCs w:val="21"/>
        </w:rPr>
        <w:t>厂界噪声满足《工业企业厂界环境噪声排放标准》（GB 12348-2008）</w:t>
      </w:r>
      <w:r>
        <w:rPr>
          <w:rFonts w:hint="eastAsia" w:cs="Times New Roman"/>
          <w:color w:val="auto"/>
          <w:sz w:val="21"/>
          <w:szCs w:val="21"/>
          <w:lang w:val="en-US" w:eastAsia="zh-CN"/>
        </w:rPr>
        <w:t>2</w:t>
      </w:r>
      <w:r>
        <w:rPr>
          <w:rFonts w:hint="default" w:ascii="Times New Roman" w:hAnsi="Times New Roman" w:eastAsia="宋体" w:cs="Times New Roman"/>
          <w:color w:val="auto"/>
          <w:sz w:val="21"/>
          <w:szCs w:val="21"/>
        </w:rPr>
        <w:t>类标准。</w:t>
      </w:r>
    </w:p>
    <w:bookmarkEnd w:id="54"/>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bookmarkStart w:id="55" w:name="_Toc7015"/>
      <w:r>
        <w:rPr>
          <w:rFonts w:hint="default" w:ascii="Times New Roman" w:hAnsi="Times New Roman" w:eastAsia="宋体" w:cs="Times New Roman"/>
          <w:color w:val="auto"/>
        </w:rPr>
        <w:t>9.3 污染物排放总量核算</w:t>
      </w:r>
      <w:bookmarkEnd w:id="55"/>
    </w:p>
    <w:p>
      <w:pPr>
        <w:pStyle w:val="2"/>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9.3.1 废水</w:t>
      </w:r>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（1）核算依据</w:t>
      </w:r>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4"/>
          <w:szCs w:val="24"/>
        </w:rPr>
        <w:t>根据</w:t>
      </w:r>
      <w:r>
        <w:rPr>
          <w:rFonts w:hint="eastAsia" w:cs="Times New Roman"/>
          <w:color w:val="auto"/>
          <w:sz w:val="24"/>
          <w:szCs w:val="24"/>
          <w:lang w:val="en-US" w:eastAsia="zh-CN"/>
        </w:rPr>
        <w:t>环评报告及批复要求</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废水</w:t>
      </w:r>
      <w:r>
        <w:rPr>
          <w:rFonts w:hint="default" w:ascii="Times New Roman" w:hAnsi="Times New Roman" w:eastAsia="宋体" w:cs="Times New Roman"/>
          <w:color w:val="auto"/>
          <w:sz w:val="24"/>
          <w:szCs w:val="24"/>
        </w:rPr>
        <w:t>核定的总量如下：</w:t>
      </w:r>
    </w:p>
    <w:p>
      <w:pPr>
        <w:pStyle w:val="29"/>
        <w:pageBreakBefore w:val="0"/>
        <w:kinsoku/>
        <w:wordWrap/>
        <w:overflowPunct/>
        <w:topLinePunct w:val="0"/>
        <w:bidi w:val="0"/>
        <w:adjustRightInd/>
        <w:snapToGrid/>
        <w:spacing w:beforeLines="0"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表9</w:t>
      </w:r>
      <w:r>
        <w:rPr>
          <w:rFonts w:hint="eastAsia" w:cs="Times New Roman"/>
          <w:color w:val="auto"/>
          <w:sz w:val="21"/>
          <w:szCs w:val="21"/>
          <w:lang w:val="en-US" w:eastAsia="zh-CN"/>
        </w:rPr>
        <w:t>-8</w:t>
      </w:r>
      <w:r>
        <w:rPr>
          <w:rFonts w:hint="default" w:ascii="Times New Roman" w:hAnsi="Times New Roman" w:eastAsia="宋体" w:cs="Times New Roman"/>
          <w:color w:val="auto"/>
          <w:sz w:val="21"/>
          <w:szCs w:val="21"/>
        </w:rPr>
        <w:t xml:space="preserve">  环评中废水污染物总量核定情况</w:t>
      </w:r>
    </w:p>
    <w:tbl>
      <w:tblPr>
        <w:tblStyle w:val="25"/>
        <w:tblW w:w="907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1242"/>
        <w:gridCol w:w="2955"/>
        <w:gridCol w:w="401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476" w:type="pct"/>
            <w:vAlign w:val="center"/>
          </w:tcPr>
          <w:p>
            <w:pPr>
              <w:pStyle w:val="28"/>
              <w:spacing w:line="240" w:lineRule="auto"/>
              <w:ind w:left="-140" w:leftChars="-50" w:right="-140" w:rightChars="-5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点位</w:t>
            </w:r>
          </w:p>
        </w:tc>
        <w:tc>
          <w:tcPr>
            <w:tcW w:w="684" w:type="pct"/>
            <w:vAlign w:val="center"/>
          </w:tcPr>
          <w:p>
            <w:pPr>
              <w:pStyle w:val="28"/>
              <w:spacing w:line="240" w:lineRule="auto"/>
              <w:ind w:left="-140" w:leftChars="-50" w:right="-140" w:rightChars="-5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污染物名称</w:t>
            </w:r>
          </w:p>
        </w:tc>
        <w:tc>
          <w:tcPr>
            <w:tcW w:w="1628" w:type="pct"/>
            <w:vAlign w:val="center"/>
          </w:tcPr>
          <w:p>
            <w:pPr>
              <w:pStyle w:val="28"/>
              <w:spacing w:line="240" w:lineRule="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项目环评及批复核定污染物接管总量</w:t>
            </w:r>
            <w:r>
              <w:rPr>
                <w:rFonts w:hint="eastAsia"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t/a</w:t>
            </w:r>
          </w:p>
        </w:tc>
        <w:tc>
          <w:tcPr>
            <w:tcW w:w="2209" w:type="pct"/>
            <w:vAlign w:val="center"/>
          </w:tcPr>
          <w:p>
            <w:pPr>
              <w:pStyle w:val="28"/>
              <w:spacing w:line="240" w:lineRule="auto"/>
              <w:rPr>
                <w:rFonts w:hint="default" w:ascii="Times New Roman" w:hAnsi="Times New Roman" w:eastAsia="宋体" w:cs="Times New Roman"/>
                <w:b/>
                <w:bCs/>
                <w:color w:val="auto"/>
                <w:sz w:val="21"/>
                <w:szCs w:val="21"/>
              </w:rPr>
            </w:pPr>
            <w:r>
              <w:rPr>
                <w:rFonts w:hint="eastAsia" w:cs="Times New Roman"/>
                <w:b/>
                <w:bCs/>
                <w:color w:val="auto"/>
                <w:sz w:val="21"/>
                <w:szCs w:val="21"/>
                <w:lang w:val="en-US" w:eastAsia="zh-CN"/>
              </w:rPr>
              <w:t>本次阶段验收核定</w:t>
            </w:r>
            <w:r>
              <w:rPr>
                <w:rFonts w:hint="default" w:ascii="Times New Roman" w:hAnsi="Times New Roman" w:eastAsia="宋体" w:cs="Times New Roman"/>
                <w:b/>
                <w:bCs/>
                <w:color w:val="auto"/>
                <w:sz w:val="21"/>
                <w:szCs w:val="21"/>
              </w:rPr>
              <w:t>污染物接管总量</w:t>
            </w:r>
            <w:r>
              <w:rPr>
                <w:rFonts w:hint="eastAsia"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pct"/>
            <w:vMerge w:val="restart"/>
            <w:tcBorders>
              <w:top w:val="single" w:color="auto" w:sz="12" w:space="0"/>
            </w:tcBorders>
            <w:vAlign w:val="center"/>
          </w:tcPr>
          <w:p>
            <w:pPr>
              <w:pStyle w:val="28"/>
              <w:spacing w:line="240" w:lineRule="auto"/>
              <w:ind w:left="-140" w:leftChars="-50" w:right="-140" w:rightChars="-5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总排口</w:t>
            </w:r>
          </w:p>
        </w:tc>
        <w:tc>
          <w:tcPr>
            <w:tcW w:w="684" w:type="pct"/>
            <w:tcBorders>
              <w:top w:val="single" w:color="auto" w:sz="12" w:space="0"/>
            </w:tcBorders>
            <w:vAlign w:val="center"/>
          </w:tcPr>
          <w:p>
            <w:pPr>
              <w:pStyle w:val="28"/>
              <w:ind w:firstLine="0" w:firstLineChars="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废水量</w:t>
            </w:r>
          </w:p>
        </w:tc>
        <w:tc>
          <w:tcPr>
            <w:tcW w:w="1628" w:type="pct"/>
            <w:tcBorders>
              <w:top w:val="single" w:color="auto" w:sz="12" w:space="0"/>
            </w:tcBorders>
            <w:vAlign w:val="center"/>
          </w:tcPr>
          <w:p>
            <w:pPr>
              <w:pStyle w:val="28"/>
              <w:ind w:left="-140" w:leftChars="-50" w:right="-140" w:rightChars="-50"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1440</w:t>
            </w:r>
          </w:p>
        </w:tc>
        <w:tc>
          <w:tcPr>
            <w:tcW w:w="2209" w:type="pct"/>
            <w:tcBorders>
              <w:top w:val="single" w:color="auto" w:sz="12" w:space="0"/>
            </w:tcBorders>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76" w:type="pct"/>
            <w:vMerge w:val="continue"/>
            <w:vAlign w:val="center"/>
          </w:tcPr>
          <w:p>
            <w:pPr>
              <w:pStyle w:val="28"/>
              <w:spacing w:line="240" w:lineRule="auto"/>
              <w:ind w:left="-140" w:leftChars="-50" w:right="-140" w:rightChars="-50"/>
              <w:rPr>
                <w:rFonts w:hint="default" w:ascii="Times New Roman" w:hAnsi="Times New Roman" w:eastAsia="宋体" w:cs="Times New Roman"/>
                <w:color w:val="auto"/>
                <w:sz w:val="21"/>
                <w:szCs w:val="21"/>
              </w:rPr>
            </w:pPr>
          </w:p>
        </w:tc>
        <w:tc>
          <w:tcPr>
            <w:tcW w:w="684" w:type="pct"/>
            <w:vAlign w:val="center"/>
          </w:tcPr>
          <w:p>
            <w:pPr>
              <w:pStyle w:val="28"/>
              <w:ind w:firstLine="0" w:firstLineChars="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COD</w:t>
            </w:r>
          </w:p>
        </w:tc>
        <w:tc>
          <w:tcPr>
            <w:tcW w:w="1628" w:type="pct"/>
            <w:vAlign w:val="center"/>
          </w:tcPr>
          <w:p>
            <w:pPr>
              <w:pStyle w:val="28"/>
              <w:ind w:left="-140" w:leftChars="-50" w:right="-140" w:rightChars="-50"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0.488</w:t>
            </w:r>
          </w:p>
        </w:tc>
        <w:tc>
          <w:tcPr>
            <w:tcW w:w="2209"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0.102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76" w:type="pct"/>
            <w:vMerge w:val="continue"/>
            <w:vAlign w:val="center"/>
          </w:tcPr>
          <w:p>
            <w:pPr>
              <w:pStyle w:val="28"/>
              <w:spacing w:line="240" w:lineRule="auto"/>
              <w:ind w:left="-140" w:leftChars="-50" w:right="-140" w:rightChars="-50"/>
              <w:rPr>
                <w:rFonts w:hint="default" w:ascii="Times New Roman" w:hAnsi="Times New Roman" w:eastAsia="宋体" w:cs="Times New Roman"/>
                <w:color w:val="auto"/>
                <w:sz w:val="21"/>
                <w:szCs w:val="21"/>
              </w:rPr>
            </w:pPr>
          </w:p>
        </w:tc>
        <w:tc>
          <w:tcPr>
            <w:tcW w:w="684" w:type="pct"/>
            <w:vAlign w:val="center"/>
          </w:tcPr>
          <w:p>
            <w:pPr>
              <w:pStyle w:val="28"/>
              <w:ind w:firstLine="0" w:firstLineChars="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SS</w:t>
            </w:r>
          </w:p>
        </w:tc>
        <w:tc>
          <w:tcPr>
            <w:tcW w:w="1628" w:type="pct"/>
            <w:vAlign w:val="center"/>
          </w:tcPr>
          <w:p>
            <w:pPr>
              <w:pStyle w:val="28"/>
              <w:ind w:left="-140" w:leftChars="-50" w:right="-140" w:rightChars="-50"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0.23</w:t>
            </w:r>
          </w:p>
        </w:tc>
        <w:tc>
          <w:tcPr>
            <w:tcW w:w="2209"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0.048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76" w:type="pct"/>
            <w:vMerge w:val="continue"/>
            <w:vAlign w:val="center"/>
          </w:tcPr>
          <w:p>
            <w:pPr>
              <w:pStyle w:val="28"/>
              <w:spacing w:line="240" w:lineRule="auto"/>
              <w:ind w:left="-140" w:leftChars="-50" w:right="-140" w:rightChars="-50"/>
              <w:rPr>
                <w:rFonts w:hint="default" w:ascii="Times New Roman" w:hAnsi="Times New Roman" w:eastAsia="宋体" w:cs="Times New Roman"/>
                <w:color w:val="auto"/>
                <w:sz w:val="21"/>
                <w:szCs w:val="21"/>
              </w:rPr>
            </w:pPr>
          </w:p>
        </w:tc>
        <w:tc>
          <w:tcPr>
            <w:tcW w:w="684" w:type="pct"/>
            <w:vAlign w:val="center"/>
          </w:tcPr>
          <w:p>
            <w:pPr>
              <w:pStyle w:val="28"/>
              <w:ind w:firstLine="0" w:firstLineChars="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氨氮</w:t>
            </w:r>
          </w:p>
        </w:tc>
        <w:tc>
          <w:tcPr>
            <w:tcW w:w="1628" w:type="pct"/>
            <w:vAlign w:val="center"/>
          </w:tcPr>
          <w:p>
            <w:pPr>
              <w:pStyle w:val="28"/>
              <w:ind w:left="-140" w:leftChars="-50" w:right="-140" w:rightChars="-50"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0.036</w:t>
            </w:r>
          </w:p>
        </w:tc>
        <w:tc>
          <w:tcPr>
            <w:tcW w:w="2209"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0.0075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76" w:type="pct"/>
            <w:vMerge w:val="continue"/>
            <w:vAlign w:val="center"/>
          </w:tcPr>
          <w:p>
            <w:pPr>
              <w:pStyle w:val="28"/>
              <w:spacing w:line="240" w:lineRule="auto"/>
              <w:ind w:left="-140" w:leftChars="-50" w:right="-140" w:rightChars="-50"/>
              <w:rPr>
                <w:rFonts w:hint="default" w:ascii="Times New Roman" w:hAnsi="Times New Roman" w:eastAsia="宋体" w:cs="Times New Roman"/>
                <w:color w:val="auto"/>
                <w:sz w:val="21"/>
                <w:szCs w:val="21"/>
              </w:rPr>
            </w:pPr>
          </w:p>
        </w:tc>
        <w:tc>
          <w:tcPr>
            <w:tcW w:w="684" w:type="pct"/>
            <w:vAlign w:val="center"/>
          </w:tcPr>
          <w:p>
            <w:pPr>
              <w:pStyle w:val="28"/>
              <w:ind w:firstLine="0" w:firstLineChars="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总磷</w:t>
            </w:r>
          </w:p>
        </w:tc>
        <w:tc>
          <w:tcPr>
            <w:tcW w:w="1628" w:type="pct"/>
            <w:vAlign w:val="center"/>
          </w:tcPr>
          <w:p>
            <w:pPr>
              <w:pStyle w:val="28"/>
              <w:ind w:left="-140" w:leftChars="-50" w:right="-140" w:rightChars="-50"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0.004</w:t>
            </w:r>
          </w:p>
        </w:tc>
        <w:tc>
          <w:tcPr>
            <w:tcW w:w="2209"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0.0009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76" w:type="pct"/>
            <w:vMerge w:val="continue"/>
            <w:vAlign w:val="center"/>
          </w:tcPr>
          <w:p>
            <w:pPr>
              <w:pStyle w:val="28"/>
              <w:spacing w:line="240" w:lineRule="auto"/>
              <w:ind w:left="-140" w:leftChars="-50" w:right="-140" w:rightChars="-50"/>
              <w:rPr>
                <w:rFonts w:hint="default" w:ascii="Times New Roman" w:hAnsi="Times New Roman" w:eastAsia="宋体" w:cs="Times New Roman"/>
                <w:color w:val="auto"/>
                <w:sz w:val="21"/>
                <w:szCs w:val="21"/>
              </w:rPr>
            </w:pPr>
          </w:p>
        </w:tc>
        <w:tc>
          <w:tcPr>
            <w:tcW w:w="684" w:type="pct"/>
            <w:vAlign w:val="center"/>
          </w:tcPr>
          <w:p>
            <w:pPr>
              <w:pStyle w:val="28"/>
              <w:ind w:firstLine="0" w:firstLineChars="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总氮</w:t>
            </w:r>
          </w:p>
        </w:tc>
        <w:tc>
          <w:tcPr>
            <w:tcW w:w="1628" w:type="pct"/>
            <w:vAlign w:val="center"/>
          </w:tcPr>
          <w:p>
            <w:pPr>
              <w:pStyle w:val="28"/>
              <w:ind w:left="-140" w:leftChars="-50" w:right="-140" w:rightChars="-50"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0.048</w:t>
            </w:r>
          </w:p>
        </w:tc>
        <w:tc>
          <w:tcPr>
            <w:tcW w:w="2209"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0.0105</w:t>
            </w:r>
          </w:p>
        </w:tc>
      </w:tr>
    </w:tbl>
    <w:p>
      <w:pPr>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（2）核算结果</w:t>
      </w:r>
    </w:p>
    <w:p>
      <w:pPr>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经核算，验收项目废水中各项污染物的排放总量核算结果如下：</w:t>
      </w:r>
    </w:p>
    <w:p>
      <w:pPr>
        <w:pStyle w:val="29"/>
        <w:keepNext w:val="0"/>
        <w:keepLines w:val="0"/>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sz w:val="21"/>
          <w:szCs w:val="21"/>
        </w:rPr>
        <w:t>表</w:t>
      </w:r>
      <w:r>
        <w:rPr>
          <w:rFonts w:hint="eastAsia" w:cs="Times New Roman"/>
          <w:color w:val="auto"/>
          <w:sz w:val="21"/>
          <w:szCs w:val="21"/>
          <w:lang w:val="en-US" w:eastAsia="zh-CN"/>
        </w:rPr>
        <w:t>9-9</w:t>
      </w:r>
      <w:r>
        <w:rPr>
          <w:rFonts w:hint="default" w:ascii="Times New Roman" w:hAnsi="Times New Roman" w:eastAsia="宋体" w:cs="Times New Roman"/>
          <w:color w:val="auto"/>
          <w:sz w:val="21"/>
          <w:szCs w:val="21"/>
        </w:rPr>
        <w:t xml:space="preserve"> 废水污染物总量核算结果</w:t>
      </w:r>
    </w:p>
    <w:tbl>
      <w:tblPr>
        <w:tblStyle w:val="25"/>
        <w:tblW w:w="907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085"/>
        <w:gridCol w:w="884"/>
        <w:gridCol w:w="1190"/>
        <w:gridCol w:w="961"/>
        <w:gridCol w:w="1739"/>
        <w:gridCol w:w="1482"/>
        <w:gridCol w:w="100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30" w:type="dxa"/>
            <w:vMerge w:val="restar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污染物类型</w:t>
            </w:r>
          </w:p>
        </w:tc>
        <w:tc>
          <w:tcPr>
            <w:tcW w:w="1085" w:type="dxa"/>
            <w:vMerge w:val="restart"/>
            <w:vAlign w:val="center"/>
          </w:tcPr>
          <w:p>
            <w:pPr>
              <w:pStyle w:val="28"/>
              <w:ind w:left="-140" w:leftChars="-50" w:right="-140" w:rightChars="-5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污染物名称</w:t>
            </w:r>
          </w:p>
        </w:tc>
        <w:tc>
          <w:tcPr>
            <w:tcW w:w="2074" w:type="dxa"/>
            <w:gridSpan w:val="2"/>
            <w:vAlign w:val="center"/>
          </w:tcPr>
          <w:p>
            <w:pPr>
              <w:pStyle w:val="28"/>
              <w:rPr>
                <w:rFonts w:hint="eastAsia" w:cs="Times New Roman"/>
                <w:b/>
                <w:bCs/>
                <w:color w:val="auto"/>
                <w:sz w:val="21"/>
                <w:szCs w:val="21"/>
                <w:lang w:val="en-US" w:eastAsia="zh-CN"/>
              </w:rPr>
            </w:pPr>
            <w:r>
              <w:rPr>
                <w:rFonts w:hint="eastAsia" w:cs="Times New Roman"/>
                <w:b/>
                <w:bCs/>
                <w:color w:val="auto"/>
                <w:sz w:val="21"/>
                <w:szCs w:val="21"/>
                <w:lang w:val="en-US" w:eastAsia="zh-CN"/>
              </w:rPr>
              <w:t>环评核算情况</w:t>
            </w:r>
          </w:p>
        </w:tc>
        <w:tc>
          <w:tcPr>
            <w:tcW w:w="4182" w:type="dxa"/>
            <w:gridSpan w:val="3"/>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验收监测核算情况</w:t>
            </w:r>
          </w:p>
        </w:tc>
        <w:tc>
          <w:tcPr>
            <w:tcW w:w="1000" w:type="dxa"/>
            <w:vMerge w:val="restar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是否满足总量要求</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30" w:type="dxa"/>
            <w:vMerge w:val="continue"/>
            <w:vAlign w:val="center"/>
          </w:tcPr>
          <w:p>
            <w:pPr>
              <w:pStyle w:val="28"/>
              <w:rPr>
                <w:rFonts w:hint="default" w:ascii="Times New Roman" w:hAnsi="Times New Roman" w:eastAsia="宋体" w:cs="Times New Roman"/>
                <w:b/>
                <w:bCs/>
                <w:color w:val="auto"/>
                <w:sz w:val="21"/>
                <w:szCs w:val="21"/>
              </w:rPr>
            </w:pPr>
          </w:p>
        </w:tc>
        <w:tc>
          <w:tcPr>
            <w:tcW w:w="1085" w:type="dxa"/>
            <w:vMerge w:val="continue"/>
            <w:vAlign w:val="center"/>
          </w:tcPr>
          <w:p>
            <w:pPr>
              <w:pStyle w:val="28"/>
              <w:ind w:left="-140" w:leftChars="-50" w:right="-140" w:rightChars="-50"/>
              <w:rPr>
                <w:rFonts w:hint="default" w:ascii="Times New Roman" w:hAnsi="Times New Roman" w:eastAsia="宋体" w:cs="Times New Roman"/>
                <w:b/>
                <w:bCs/>
                <w:color w:val="auto"/>
                <w:sz w:val="21"/>
                <w:szCs w:val="21"/>
              </w:rPr>
            </w:pPr>
          </w:p>
        </w:tc>
        <w:tc>
          <w:tcPr>
            <w:tcW w:w="884" w:type="dxa"/>
            <w:vAlign w:val="center"/>
          </w:tcPr>
          <w:p>
            <w:pPr>
              <w:pStyle w:val="28"/>
              <w:rPr>
                <w:rFonts w:hint="default" w:ascii="Times New Roman" w:hAnsi="Times New Roman" w:eastAsia="宋体" w:cs="Times New Roman"/>
                <w:b/>
                <w:bCs/>
                <w:color w:val="auto"/>
                <w:sz w:val="21"/>
                <w:szCs w:val="21"/>
                <w:lang w:val="en-US" w:eastAsia="zh-CN"/>
              </w:rPr>
            </w:pPr>
            <w:r>
              <w:rPr>
                <w:rFonts w:hint="eastAsia" w:cs="Times New Roman"/>
                <w:b/>
                <w:bCs/>
                <w:color w:val="auto"/>
                <w:sz w:val="21"/>
                <w:szCs w:val="21"/>
                <w:lang w:val="en-US" w:eastAsia="zh-CN"/>
              </w:rPr>
              <w:t>浓度</w:t>
            </w:r>
          </w:p>
        </w:tc>
        <w:tc>
          <w:tcPr>
            <w:tcW w:w="1190" w:type="dxa"/>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接管量</w:t>
            </w:r>
          </w:p>
          <w:p>
            <w:pPr>
              <w:pStyle w:val="28"/>
              <w:ind w:firstLine="0" w:firstLineChars="0"/>
              <w:rPr>
                <w:rFonts w:hint="default" w:ascii="Times New Roman" w:hAnsi="Times New Roman" w:eastAsia="宋体" w:cs="Times New Roman"/>
                <w:b/>
                <w:bCs/>
                <w:snapToGrid w:val="0"/>
                <w:color w:val="auto"/>
                <w:sz w:val="21"/>
                <w:szCs w:val="21"/>
                <w:lang w:val="en-US" w:eastAsia="zh-CN" w:bidi="ar-SA"/>
              </w:rPr>
            </w:pPr>
            <w:r>
              <w:rPr>
                <w:rFonts w:hint="default" w:ascii="Times New Roman" w:hAnsi="Times New Roman" w:eastAsia="宋体" w:cs="Times New Roman"/>
                <w:b/>
                <w:bCs/>
                <w:color w:val="auto"/>
                <w:sz w:val="21"/>
                <w:szCs w:val="21"/>
              </w:rPr>
              <w:t>（t/a）</w:t>
            </w:r>
          </w:p>
        </w:tc>
        <w:tc>
          <w:tcPr>
            <w:tcW w:w="961" w:type="dxa"/>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采样</w:t>
            </w:r>
          </w:p>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点位</w:t>
            </w:r>
          </w:p>
        </w:tc>
        <w:tc>
          <w:tcPr>
            <w:tcW w:w="1739" w:type="dxa"/>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两日平均排放浓度(mg/L)</w:t>
            </w:r>
          </w:p>
        </w:tc>
        <w:tc>
          <w:tcPr>
            <w:tcW w:w="1482" w:type="dxa"/>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接管量</w:t>
            </w:r>
          </w:p>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（t/a）</w:t>
            </w:r>
          </w:p>
        </w:tc>
        <w:tc>
          <w:tcPr>
            <w:tcW w:w="1000" w:type="dxa"/>
            <w:vMerge w:val="continue"/>
            <w:vAlign w:val="center"/>
          </w:tcPr>
          <w:p>
            <w:pPr>
              <w:pStyle w:val="28"/>
              <w:rPr>
                <w:rFonts w:hint="default" w:ascii="Times New Roman" w:hAnsi="Times New Roman" w:eastAsia="宋体" w:cs="Times New Roman"/>
                <w:b/>
                <w:bCs/>
                <w:color w:val="auto"/>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0" w:type="dxa"/>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w:t>
            </w:r>
          </w:p>
        </w:tc>
        <w:tc>
          <w:tcPr>
            <w:tcW w:w="1085"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废水量</w:t>
            </w:r>
          </w:p>
        </w:tc>
        <w:tc>
          <w:tcPr>
            <w:tcW w:w="884" w:type="dxa"/>
            <w:vAlign w:val="center"/>
          </w:tcPr>
          <w:p>
            <w:pPr>
              <w:pStyle w:val="28"/>
              <w:spacing w:line="240" w:lineRule="auto"/>
              <w:ind w:firstLine="0" w:firstLineChars="0"/>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c>
          <w:tcPr>
            <w:tcW w:w="1190" w:type="dxa"/>
            <w:vAlign w:val="center"/>
          </w:tcPr>
          <w:p>
            <w:pPr>
              <w:pStyle w:val="28"/>
              <w:spacing w:line="240" w:lineRule="auto"/>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300</w:t>
            </w:r>
          </w:p>
        </w:tc>
        <w:tc>
          <w:tcPr>
            <w:tcW w:w="961" w:type="dxa"/>
            <w:vMerge w:val="restart"/>
            <w:vAlign w:val="center"/>
          </w:tcPr>
          <w:p>
            <w:pPr>
              <w:pStyle w:val="28"/>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生活污水</w:t>
            </w:r>
            <w:r>
              <w:rPr>
                <w:rFonts w:hint="default" w:ascii="Times New Roman" w:hAnsi="Times New Roman" w:eastAsia="宋体" w:cs="Times New Roman"/>
                <w:color w:val="auto"/>
                <w:sz w:val="21"/>
                <w:szCs w:val="21"/>
              </w:rPr>
              <w:t>总排口</w:t>
            </w:r>
          </w:p>
        </w:tc>
        <w:tc>
          <w:tcPr>
            <w:tcW w:w="1739" w:type="dxa"/>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1482" w:type="dxa"/>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300</w:t>
            </w:r>
          </w:p>
        </w:tc>
        <w:tc>
          <w:tcPr>
            <w:tcW w:w="1000"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0" w:type="dxa"/>
            <w:vMerge w:val="continue"/>
            <w:vAlign w:val="center"/>
          </w:tcPr>
          <w:p>
            <w:pPr>
              <w:pStyle w:val="28"/>
              <w:rPr>
                <w:rFonts w:hint="default" w:ascii="Times New Roman" w:hAnsi="Times New Roman" w:eastAsia="宋体" w:cs="Times New Roman"/>
                <w:color w:val="auto"/>
                <w:sz w:val="21"/>
                <w:szCs w:val="21"/>
              </w:rPr>
            </w:pPr>
          </w:p>
        </w:tc>
        <w:tc>
          <w:tcPr>
            <w:tcW w:w="1085"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COD</w:t>
            </w:r>
          </w:p>
        </w:tc>
        <w:tc>
          <w:tcPr>
            <w:tcW w:w="884" w:type="dxa"/>
            <w:vAlign w:val="center"/>
          </w:tcPr>
          <w:p>
            <w:pPr>
              <w:pStyle w:val="28"/>
              <w:spacing w:line="240" w:lineRule="auto"/>
              <w:ind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340</w:t>
            </w:r>
          </w:p>
        </w:tc>
        <w:tc>
          <w:tcPr>
            <w:tcW w:w="1190" w:type="dxa"/>
            <w:vAlign w:val="center"/>
          </w:tcPr>
          <w:p>
            <w:pPr>
              <w:pStyle w:val="28"/>
              <w:spacing w:line="240" w:lineRule="auto"/>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0.102</w:t>
            </w:r>
          </w:p>
        </w:tc>
        <w:tc>
          <w:tcPr>
            <w:tcW w:w="961" w:type="dxa"/>
            <w:vMerge w:val="continue"/>
            <w:vAlign w:val="center"/>
          </w:tcPr>
          <w:p>
            <w:pPr>
              <w:pStyle w:val="28"/>
              <w:rPr>
                <w:rFonts w:hint="default" w:ascii="Times New Roman" w:hAnsi="Times New Roman" w:eastAsia="宋体" w:cs="Times New Roman"/>
                <w:color w:val="auto"/>
                <w:sz w:val="21"/>
                <w:szCs w:val="21"/>
              </w:rPr>
            </w:pPr>
          </w:p>
        </w:tc>
        <w:tc>
          <w:tcPr>
            <w:tcW w:w="1739" w:type="dxa"/>
            <w:vAlign w:val="center"/>
          </w:tcPr>
          <w:p>
            <w:pPr>
              <w:pStyle w:val="28"/>
              <w:spacing w:line="240" w:lineRule="auto"/>
              <w:ind w:firstLine="0" w:firstLineChars="0"/>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171.75</w:t>
            </w:r>
          </w:p>
        </w:tc>
        <w:tc>
          <w:tcPr>
            <w:tcW w:w="1482" w:type="dxa"/>
            <w:vAlign w:val="center"/>
          </w:tcPr>
          <w:p>
            <w:pPr>
              <w:pStyle w:val="28"/>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0.0515</w:t>
            </w:r>
          </w:p>
        </w:tc>
        <w:tc>
          <w:tcPr>
            <w:tcW w:w="1000"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0" w:type="dxa"/>
            <w:vMerge w:val="continue"/>
            <w:vAlign w:val="center"/>
          </w:tcPr>
          <w:p>
            <w:pPr>
              <w:pStyle w:val="28"/>
              <w:rPr>
                <w:rFonts w:hint="default" w:ascii="Times New Roman" w:hAnsi="Times New Roman" w:eastAsia="宋体" w:cs="Times New Roman"/>
                <w:color w:val="auto"/>
                <w:sz w:val="21"/>
                <w:szCs w:val="21"/>
              </w:rPr>
            </w:pPr>
          </w:p>
        </w:tc>
        <w:tc>
          <w:tcPr>
            <w:tcW w:w="1085"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SS</w:t>
            </w:r>
          </w:p>
        </w:tc>
        <w:tc>
          <w:tcPr>
            <w:tcW w:w="884" w:type="dxa"/>
            <w:vAlign w:val="center"/>
          </w:tcPr>
          <w:p>
            <w:pPr>
              <w:pStyle w:val="28"/>
              <w:spacing w:line="240" w:lineRule="auto"/>
              <w:ind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160</w:t>
            </w:r>
          </w:p>
        </w:tc>
        <w:tc>
          <w:tcPr>
            <w:tcW w:w="1190" w:type="dxa"/>
            <w:vAlign w:val="center"/>
          </w:tcPr>
          <w:p>
            <w:pPr>
              <w:pStyle w:val="28"/>
              <w:spacing w:line="240" w:lineRule="auto"/>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0.048</w:t>
            </w:r>
          </w:p>
        </w:tc>
        <w:tc>
          <w:tcPr>
            <w:tcW w:w="961" w:type="dxa"/>
            <w:vMerge w:val="continue"/>
            <w:vAlign w:val="center"/>
          </w:tcPr>
          <w:p>
            <w:pPr>
              <w:pStyle w:val="28"/>
              <w:rPr>
                <w:rFonts w:hint="default" w:ascii="Times New Roman" w:hAnsi="Times New Roman" w:eastAsia="宋体" w:cs="Times New Roman"/>
                <w:color w:val="auto"/>
                <w:sz w:val="21"/>
                <w:szCs w:val="21"/>
              </w:rPr>
            </w:pPr>
          </w:p>
        </w:tc>
        <w:tc>
          <w:tcPr>
            <w:tcW w:w="1739" w:type="dxa"/>
            <w:vAlign w:val="center"/>
          </w:tcPr>
          <w:p>
            <w:pPr>
              <w:pStyle w:val="28"/>
              <w:spacing w:line="240" w:lineRule="auto"/>
              <w:ind w:firstLine="0" w:firstLineChars="0"/>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90.375</w:t>
            </w:r>
          </w:p>
        </w:tc>
        <w:tc>
          <w:tcPr>
            <w:tcW w:w="1482" w:type="dxa"/>
            <w:vAlign w:val="center"/>
          </w:tcPr>
          <w:p>
            <w:pPr>
              <w:pStyle w:val="28"/>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0.0271</w:t>
            </w:r>
          </w:p>
        </w:tc>
        <w:tc>
          <w:tcPr>
            <w:tcW w:w="1000"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0" w:type="dxa"/>
            <w:vMerge w:val="continue"/>
            <w:vAlign w:val="center"/>
          </w:tcPr>
          <w:p>
            <w:pPr>
              <w:pStyle w:val="28"/>
              <w:rPr>
                <w:rFonts w:hint="default" w:ascii="Times New Roman" w:hAnsi="Times New Roman" w:eastAsia="宋体" w:cs="Times New Roman"/>
                <w:color w:val="auto"/>
                <w:sz w:val="21"/>
                <w:szCs w:val="21"/>
              </w:rPr>
            </w:pPr>
          </w:p>
        </w:tc>
        <w:tc>
          <w:tcPr>
            <w:tcW w:w="1085"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氨氮</w:t>
            </w:r>
          </w:p>
        </w:tc>
        <w:tc>
          <w:tcPr>
            <w:tcW w:w="884" w:type="dxa"/>
            <w:vAlign w:val="center"/>
          </w:tcPr>
          <w:p>
            <w:pPr>
              <w:pStyle w:val="28"/>
              <w:spacing w:line="240" w:lineRule="auto"/>
              <w:ind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25</w:t>
            </w:r>
          </w:p>
        </w:tc>
        <w:tc>
          <w:tcPr>
            <w:tcW w:w="1190" w:type="dxa"/>
            <w:vAlign w:val="center"/>
          </w:tcPr>
          <w:p>
            <w:pPr>
              <w:pStyle w:val="28"/>
              <w:spacing w:line="240" w:lineRule="auto"/>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0.0075</w:t>
            </w:r>
          </w:p>
        </w:tc>
        <w:tc>
          <w:tcPr>
            <w:tcW w:w="961" w:type="dxa"/>
            <w:vMerge w:val="continue"/>
            <w:vAlign w:val="center"/>
          </w:tcPr>
          <w:p>
            <w:pPr>
              <w:pStyle w:val="28"/>
              <w:rPr>
                <w:rFonts w:hint="default" w:ascii="Times New Roman" w:hAnsi="Times New Roman" w:eastAsia="宋体" w:cs="Times New Roman"/>
                <w:color w:val="auto"/>
                <w:sz w:val="21"/>
                <w:szCs w:val="21"/>
              </w:rPr>
            </w:pPr>
          </w:p>
        </w:tc>
        <w:tc>
          <w:tcPr>
            <w:tcW w:w="1739" w:type="dxa"/>
            <w:vAlign w:val="center"/>
          </w:tcPr>
          <w:p>
            <w:pPr>
              <w:pStyle w:val="28"/>
              <w:spacing w:line="240" w:lineRule="auto"/>
              <w:ind w:firstLine="0" w:firstLineChars="0"/>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3.541</w:t>
            </w:r>
          </w:p>
        </w:tc>
        <w:tc>
          <w:tcPr>
            <w:tcW w:w="1482" w:type="dxa"/>
            <w:vAlign w:val="center"/>
          </w:tcPr>
          <w:p>
            <w:pPr>
              <w:pStyle w:val="28"/>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0.001</w:t>
            </w:r>
            <w:r>
              <w:rPr>
                <w:rFonts w:hint="eastAsia" w:cs="Times New Roman"/>
                <w:color w:val="auto"/>
                <w:sz w:val="21"/>
                <w:szCs w:val="21"/>
                <w:lang w:val="en-US" w:eastAsia="zh-CN"/>
              </w:rPr>
              <w:t>1</w:t>
            </w:r>
          </w:p>
        </w:tc>
        <w:tc>
          <w:tcPr>
            <w:tcW w:w="1000"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0" w:type="dxa"/>
            <w:vMerge w:val="continue"/>
            <w:vAlign w:val="center"/>
          </w:tcPr>
          <w:p>
            <w:pPr>
              <w:pStyle w:val="28"/>
              <w:rPr>
                <w:rFonts w:hint="default" w:ascii="Times New Roman" w:hAnsi="Times New Roman" w:eastAsia="宋体" w:cs="Times New Roman"/>
                <w:color w:val="auto"/>
                <w:sz w:val="21"/>
                <w:szCs w:val="21"/>
              </w:rPr>
            </w:pPr>
          </w:p>
        </w:tc>
        <w:tc>
          <w:tcPr>
            <w:tcW w:w="1085"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总磷</w:t>
            </w:r>
          </w:p>
        </w:tc>
        <w:tc>
          <w:tcPr>
            <w:tcW w:w="884" w:type="dxa"/>
            <w:vAlign w:val="center"/>
          </w:tcPr>
          <w:p>
            <w:pPr>
              <w:pStyle w:val="28"/>
              <w:spacing w:line="240" w:lineRule="auto"/>
              <w:ind w:firstLine="0" w:firstLineChars="0"/>
              <w:rPr>
                <w:rFonts w:hint="default" w:ascii="Times New Roman" w:hAnsi="Times New Roman" w:eastAsia="宋体" w:cs="Times New Roman"/>
                <w:snapToGrid w:val="0"/>
                <w:color w:val="auto"/>
                <w:sz w:val="21"/>
                <w:szCs w:val="21"/>
                <w:lang w:val="en-US" w:eastAsia="zh-CN" w:bidi="ar-SA"/>
              </w:rPr>
            </w:pPr>
            <w:r>
              <w:rPr>
                <w:rFonts w:hint="eastAsia" w:ascii="Times New Roman" w:hAnsi="Times New Roman" w:eastAsia="宋体" w:cs="Times New Roman"/>
                <w:color w:val="auto"/>
                <w:sz w:val="21"/>
                <w:szCs w:val="21"/>
                <w:lang w:val="en-US" w:eastAsia="zh-CN"/>
              </w:rPr>
              <w:t>3</w:t>
            </w:r>
          </w:p>
        </w:tc>
        <w:tc>
          <w:tcPr>
            <w:tcW w:w="1190" w:type="dxa"/>
            <w:vAlign w:val="center"/>
          </w:tcPr>
          <w:p>
            <w:pPr>
              <w:pStyle w:val="28"/>
              <w:spacing w:line="240" w:lineRule="auto"/>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0.0009</w:t>
            </w:r>
          </w:p>
        </w:tc>
        <w:tc>
          <w:tcPr>
            <w:tcW w:w="961" w:type="dxa"/>
            <w:vMerge w:val="continue"/>
            <w:vAlign w:val="center"/>
          </w:tcPr>
          <w:p>
            <w:pPr>
              <w:pStyle w:val="28"/>
              <w:rPr>
                <w:rFonts w:hint="default" w:ascii="Times New Roman" w:hAnsi="Times New Roman" w:eastAsia="宋体" w:cs="Times New Roman"/>
                <w:color w:val="auto"/>
                <w:sz w:val="21"/>
                <w:szCs w:val="21"/>
              </w:rPr>
            </w:pPr>
          </w:p>
        </w:tc>
        <w:tc>
          <w:tcPr>
            <w:tcW w:w="1739" w:type="dxa"/>
            <w:vAlign w:val="center"/>
          </w:tcPr>
          <w:p>
            <w:pPr>
              <w:pStyle w:val="28"/>
              <w:spacing w:line="240" w:lineRule="auto"/>
              <w:ind w:firstLine="0" w:firstLineChars="0"/>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0.99</w:t>
            </w:r>
            <w:r>
              <w:rPr>
                <w:rFonts w:hint="eastAsia" w:cs="Times New Roman"/>
                <w:color w:val="auto"/>
                <w:sz w:val="21"/>
                <w:szCs w:val="21"/>
                <w:lang w:val="en-US" w:eastAsia="zh-CN"/>
              </w:rPr>
              <w:t>8</w:t>
            </w:r>
          </w:p>
        </w:tc>
        <w:tc>
          <w:tcPr>
            <w:tcW w:w="1482" w:type="dxa"/>
            <w:vAlign w:val="center"/>
          </w:tcPr>
          <w:p>
            <w:pPr>
              <w:pStyle w:val="28"/>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0.000</w:t>
            </w:r>
            <w:r>
              <w:rPr>
                <w:rFonts w:hint="eastAsia" w:cs="Times New Roman"/>
                <w:color w:val="auto"/>
                <w:sz w:val="21"/>
                <w:szCs w:val="21"/>
                <w:lang w:val="en-US" w:eastAsia="zh-CN"/>
              </w:rPr>
              <w:t>3</w:t>
            </w:r>
          </w:p>
        </w:tc>
        <w:tc>
          <w:tcPr>
            <w:tcW w:w="1000"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0" w:type="dxa"/>
            <w:vMerge w:val="continue"/>
            <w:vAlign w:val="center"/>
          </w:tcPr>
          <w:p>
            <w:pPr>
              <w:pStyle w:val="28"/>
              <w:rPr>
                <w:rFonts w:hint="default" w:ascii="Times New Roman" w:hAnsi="Times New Roman" w:eastAsia="宋体" w:cs="Times New Roman"/>
                <w:color w:val="auto"/>
                <w:sz w:val="21"/>
                <w:szCs w:val="21"/>
              </w:rPr>
            </w:pPr>
          </w:p>
        </w:tc>
        <w:tc>
          <w:tcPr>
            <w:tcW w:w="1085"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总氮</w:t>
            </w:r>
          </w:p>
        </w:tc>
        <w:tc>
          <w:tcPr>
            <w:tcW w:w="884" w:type="dxa"/>
            <w:vAlign w:val="center"/>
          </w:tcPr>
          <w:p>
            <w:pPr>
              <w:pStyle w:val="28"/>
              <w:spacing w:line="240" w:lineRule="auto"/>
              <w:ind w:firstLine="0" w:firstLineChars="0"/>
              <w:rPr>
                <w:rFonts w:hint="default" w:ascii="Times New Roman" w:hAnsi="Times New Roman" w:eastAsia="宋体" w:cs="Times New Roman"/>
                <w:snapToGrid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35</w:t>
            </w:r>
          </w:p>
        </w:tc>
        <w:tc>
          <w:tcPr>
            <w:tcW w:w="1190" w:type="dxa"/>
            <w:vAlign w:val="center"/>
          </w:tcPr>
          <w:p>
            <w:pPr>
              <w:pStyle w:val="28"/>
              <w:spacing w:line="240" w:lineRule="auto"/>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0.0105</w:t>
            </w:r>
          </w:p>
        </w:tc>
        <w:tc>
          <w:tcPr>
            <w:tcW w:w="961" w:type="dxa"/>
            <w:vMerge w:val="continue"/>
            <w:vAlign w:val="center"/>
          </w:tcPr>
          <w:p>
            <w:pPr>
              <w:pStyle w:val="28"/>
              <w:rPr>
                <w:rFonts w:hint="default" w:ascii="Times New Roman" w:hAnsi="Times New Roman" w:eastAsia="宋体" w:cs="Times New Roman"/>
                <w:color w:val="auto"/>
                <w:sz w:val="21"/>
                <w:szCs w:val="21"/>
              </w:rPr>
            </w:pPr>
          </w:p>
        </w:tc>
        <w:tc>
          <w:tcPr>
            <w:tcW w:w="1739" w:type="dxa"/>
            <w:vAlign w:val="center"/>
          </w:tcPr>
          <w:p>
            <w:pPr>
              <w:pStyle w:val="28"/>
              <w:spacing w:line="240" w:lineRule="auto"/>
              <w:ind w:firstLine="0" w:firstLineChars="0"/>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11.76</w:t>
            </w:r>
            <w:r>
              <w:rPr>
                <w:rFonts w:hint="eastAsia" w:cs="Times New Roman"/>
                <w:color w:val="auto"/>
                <w:sz w:val="21"/>
                <w:szCs w:val="21"/>
                <w:lang w:val="en-US" w:eastAsia="zh-CN"/>
              </w:rPr>
              <w:t>3</w:t>
            </w:r>
          </w:p>
        </w:tc>
        <w:tc>
          <w:tcPr>
            <w:tcW w:w="1482" w:type="dxa"/>
            <w:vAlign w:val="center"/>
          </w:tcPr>
          <w:p>
            <w:pPr>
              <w:pStyle w:val="28"/>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0.0035</w:t>
            </w:r>
          </w:p>
        </w:tc>
        <w:tc>
          <w:tcPr>
            <w:tcW w:w="1000" w:type="dxa"/>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bl>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核算结果表明，验收项目排放的废水污染物均能满足总量控制要求。</w:t>
      </w:r>
    </w:p>
    <w:p>
      <w:pPr>
        <w:pStyle w:val="2"/>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9.3.2 废气</w:t>
      </w:r>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（1）核算依据</w:t>
      </w:r>
    </w:p>
    <w:p>
      <w:pPr>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根据环评及</w:t>
      </w:r>
      <w:r>
        <w:rPr>
          <w:rFonts w:hint="eastAsia" w:cs="Times New Roman"/>
          <w:color w:val="auto"/>
          <w:sz w:val="21"/>
          <w:szCs w:val="21"/>
          <w:lang w:val="en-US" w:eastAsia="zh-CN"/>
        </w:rPr>
        <w:t>批复要求</w:t>
      </w:r>
      <w:r>
        <w:rPr>
          <w:rFonts w:hint="default" w:ascii="Times New Roman" w:hAnsi="Times New Roman" w:eastAsia="宋体" w:cs="Times New Roman"/>
          <w:color w:val="auto"/>
          <w:sz w:val="21"/>
          <w:szCs w:val="21"/>
        </w:rPr>
        <w:t>，本次验收范围</w:t>
      </w:r>
      <w:r>
        <w:rPr>
          <w:rFonts w:hint="eastAsia" w:cs="Times New Roman"/>
          <w:color w:val="auto"/>
          <w:sz w:val="21"/>
          <w:szCs w:val="21"/>
          <w:lang w:val="en-US" w:eastAsia="zh-CN"/>
        </w:rPr>
        <w:t>废气</w:t>
      </w:r>
      <w:r>
        <w:rPr>
          <w:rFonts w:hint="default" w:ascii="Times New Roman" w:hAnsi="Times New Roman" w:eastAsia="宋体" w:cs="Times New Roman"/>
          <w:color w:val="auto"/>
          <w:sz w:val="21"/>
          <w:szCs w:val="21"/>
        </w:rPr>
        <w:t>核定的总量如下：</w:t>
      </w:r>
    </w:p>
    <w:p>
      <w:pPr>
        <w:pStyle w:val="29"/>
        <w:pageBreakBefore w:val="0"/>
        <w:kinsoku/>
        <w:wordWrap/>
        <w:overflowPunct/>
        <w:topLinePunct w:val="0"/>
        <w:bidi w:val="0"/>
        <w:adjustRightInd/>
        <w:snapToGrid/>
        <w:spacing w:beforeLines="0"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表9</w:t>
      </w:r>
      <w:r>
        <w:rPr>
          <w:rFonts w:hint="eastAsia" w:cs="Times New Roman"/>
          <w:color w:val="auto"/>
          <w:sz w:val="21"/>
          <w:szCs w:val="21"/>
          <w:lang w:val="en-US" w:eastAsia="zh-CN"/>
        </w:rPr>
        <w:t>-10</w:t>
      </w:r>
      <w:r>
        <w:rPr>
          <w:rFonts w:hint="default" w:ascii="Times New Roman" w:hAnsi="Times New Roman" w:eastAsia="宋体" w:cs="Times New Roman"/>
          <w:color w:val="auto"/>
          <w:sz w:val="21"/>
          <w:szCs w:val="21"/>
        </w:rPr>
        <w:t xml:space="preserve"> 环评及变动中废气污染物总量核定情况</w:t>
      </w:r>
    </w:p>
    <w:tbl>
      <w:tblPr>
        <w:tblStyle w:val="25"/>
        <w:tblW w:w="4905"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2385"/>
        <w:gridCol w:w="2596"/>
        <w:gridCol w:w="284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23" w:hRule="atLeast"/>
          <w:tblHeader/>
          <w:jc w:val="center"/>
        </w:trPr>
        <w:tc>
          <w:tcPr>
            <w:tcW w:w="686" w:type="pct"/>
            <w:vAlign w:val="center"/>
          </w:tcPr>
          <w:p>
            <w:pPr>
              <w:pStyle w:val="28"/>
              <w:ind w:left="-140" w:leftChars="-50" w:right="-140" w:rightChars="-5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点位</w:t>
            </w:r>
          </w:p>
        </w:tc>
        <w:tc>
          <w:tcPr>
            <w:tcW w:w="1315" w:type="pct"/>
            <w:vAlign w:val="center"/>
          </w:tcPr>
          <w:p>
            <w:pPr>
              <w:pStyle w:val="28"/>
              <w:ind w:left="-140" w:leftChars="-50" w:right="-140" w:rightChars="-5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污染物名称</w:t>
            </w:r>
          </w:p>
        </w:tc>
        <w:tc>
          <w:tcPr>
            <w:tcW w:w="1431"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项目环评及批复核定的全厂污染物总量t/a</w:t>
            </w:r>
          </w:p>
        </w:tc>
        <w:tc>
          <w:tcPr>
            <w:tcW w:w="1566" w:type="pct"/>
            <w:vAlign w:val="center"/>
          </w:tcPr>
          <w:p>
            <w:pPr>
              <w:pStyle w:val="28"/>
              <w:rPr>
                <w:rFonts w:hint="default" w:ascii="Times New Roman" w:hAnsi="Times New Roman" w:eastAsia="宋体" w:cs="Times New Roman"/>
                <w:b/>
                <w:bCs/>
                <w:color w:val="auto"/>
                <w:sz w:val="21"/>
                <w:szCs w:val="21"/>
              </w:rPr>
            </w:pPr>
            <w:r>
              <w:rPr>
                <w:rFonts w:hint="eastAsia" w:cs="Times New Roman"/>
                <w:b/>
                <w:bCs/>
                <w:color w:val="auto"/>
                <w:sz w:val="21"/>
                <w:szCs w:val="21"/>
                <w:lang w:val="en-US" w:eastAsia="zh-CN"/>
              </w:rPr>
              <w:t>本次阶段验收按实际产能核定</w:t>
            </w:r>
            <w:r>
              <w:rPr>
                <w:rFonts w:hint="default" w:ascii="Times New Roman" w:hAnsi="Times New Roman" w:eastAsia="宋体" w:cs="Times New Roman"/>
                <w:b/>
                <w:bCs/>
                <w:color w:val="auto"/>
                <w:sz w:val="21"/>
                <w:szCs w:val="21"/>
              </w:rPr>
              <w:t>污染物接管总量</w:t>
            </w:r>
            <w:r>
              <w:rPr>
                <w:rFonts w:hint="eastAsia"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t/a</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6" w:type="pct"/>
            <w:vMerge w:val="restart"/>
            <w:vAlign w:val="center"/>
          </w:tcPr>
          <w:p>
            <w:pPr>
              <w:pStyle w:val="28"/>
              <w:ind w:left="-140" w:leftChars="-50" w:right="-140" w:rightChars="-5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废气排放口</w:t>
            </w:r>
          </w:p>
        </w:tc>
        <w:tc>
          <w:tcPr>
            <w:tcW w:w="1315" w:type="pct"/>
            <w:vAlign w:val="center"/>
          </w:tcPr>
          <w:p>
            <w:pPr>
              <w:kinsoku w:val="0"/>
              <w:overflowPunct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val="0"/>
                <w:bCs/>
                <w:color w:val="auto"/>
                <w:kern w:val="0"/>
                <w:sz w:val="21"/>
                <w:szCs w:val="21"/>
                <w:lang w:val="en-US" w:eastAsia="zh-CN"/>
              </w:rPr>
              <w:t>乙酸乙酯</w:t>
            </w:r>
          </w:p>
        </w:tc>
        <w:tc>
          <w:tcPr>
            <w:tcW w:w="1431" w:type="pct"/>
            <w:vAlign w:val="center"/>
          </w:tcPr>
          <w:p>
            <w:pPr>
              <w:pStyle w:val="28"/>
              <w:ind w:firstLine="0" w:firstLineChars="0"/>
              <w:rPr>
                <w:rFonts w:hint="default" w:cs="Times New Roman"/>
                <w:color w:val="auto"/>
                <w:sz w:val="21"/>
                <w:szCs w:val="21"/>
                <w:lang w:val="en-US" w:eastAsia="zh-CN"/>
              </w:rPr>
            </w:pPr>
            <w:r>
              <w:rPr>
                <w:rFonts w:hint="eastAsia" w:cs="Times New Roman"/>
                <w:color w:val="auto"/>
                <w:sz w:val="21"/>
                <w:szCs w:val="21"/>
                <w:lang w:val="en-US" w:eastAsia="zh-CN"/>
              </w:rPr>
              <w:t>0.915</w:t>
            </w:r>
          </w:p>
        </w:tc>
        <w:tc>
          <w:tcPr>
            <w:tcW w:w="1566" w:type="pct"/>
            <w:vAlign w:val="center"/>
          </w:tcPr>
          <w:p>
            <w:pPr>
              <w:pStyle w:val="28"/>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0.203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6" w:type="pct"/>
            <w:vMerge w:val="continue"/>
            <w:vAlign w:val="center"/>
          </w:tcPr>
          <w:p>
            <w:pPr>
              <w:pStyle w:val="28"/>
              <w:ind w:left="-140" w:leftChars="-50" w:right="-140" w:rightChars="-50"/>
              <w:rPr>
                <w:rFonts w:hint="default" w:ascii="Times New Roman" w:hAnsi="Times New Roman" w:eastAsia="宋体" w:cs="Times New Roman"/>
                <w:color w:val="auto"/>
                <w:sz w:val="21"/>
                <w:szCs w:val="21"/>
              </w:rPr>
            </w:pPr>
          </w:p>
        </w:tc>
        <w:tc>
          <w:tcPr>
            <w:tcW w:w="1315" w:type="pct"/>
            <w:vAlign w:val="center"/>
          </w:tcPr>
          <w:p>
            <w:pPr>
              <w:kinsoku w:val="0"/>
              <w:overflowPunct w:val="0"/>
              <w:snapToGrid w:val="0"/>
              <w:spacing w:line="240" w:lineRule="auto"/>
              <w:ind w:firstLine="0" w:firstLineChars="0"/>
              <w:jc w:val="center"/>
              <w:rPr>
                <w:rFonts w:hint="eastAsia" w:cs="Times New Roman"/>
                <w:color w:val="auto"/>
                <w:sz w:val="21"/>
                <w:szCs w:val="21"/>
                <w:lang w:val="en-US" w:eastAsia="zh-CN"/>
              </w:rPr>
            </w:pPr>
            <w:r>
              <w:rPr>
                <w:rFonts w:hint="default" w:ascii="Times New Roman" w:hAnsi="Times New Roman" w:eastAsia="宋体" w:cs="Times New Roman"/>
                <w:b w:val="0"/>
                <w:bCs/>
                <w:color w:val="auto"/>
                <w:kern w:val="0"/>
                <w:sz w:val="21"/>
                <w:szCs w:val="21"/>
                <w:lang w:val="en-US" w:eastAsia="zh-CN"/>
              </w:rPr>
              <w:t>甲苯</w:t>
            </w:r>
          </w:p>
        </w:tc>
        <w:tc>
          <w:tcPr>
            <w:tcW w:w="1431" w:type="pct"/>
            <w:vAlign w:val="center"/>
          </w:tcPr>
          <w:p>
            <w:pPr>
              <w:pStyle w:val="28"/>
              <w:ind w:firstLine="0" w:firstLineChars="0"/>
              <w:rPr>
                <w:rFonts w:hint="eastAsia" w:cs="Times New Roman"/>
                <w:color w:val="auto"/>
                <w:sz w:val="21"/>
                <w:szCs w:val="21"/>
                <w:lang w:val="en-US" w:eastAsia="zh-CN"/>
              </w:rPr>
            </w:pPr>
            <w:r>
              <w:rPr>
                <w:rFonts w:hint="eastAsia" w:cs="Times New Roman"/>
                <w:color w:val="auto"/>
                <w:sz w:val="21"/>
                <w:szCs w:val="21"/>
                <w:lang w:val="en-US" w:eastAsia="zh-CN"/>
              </w:rPr>
              <w:t>1.089</w:t>
            </w:r>
          </w:p>
        </w:tc>
        <w:tc>
          <w:tcPr>
            <w:tcW w:w="1566" w:type="pct"/>
            <w:vAlign w:val="center"/>
          </w:tcPr>
          <w:p>
            <w:pPr>
              <w:pStyle w:val="28"/>
              <w:rPr>
                <w:rFonts w:hint="default" w:cs="Times New Roman"/>
                <w:color w:val="auto"/>
                <w:sz w:val="21"/>
                <w:szCs w:val="21"/>
                <w:lang w:val="en-US" w:eastAsia="zh-CN"/>
              </w:rPr>
            </w:pPr>
            <w:r>
              <w:rPr>
                <w:rFonts w:hint="eastAsia" w:cs="Times New Roman"/>
                <w:color w:val="auto"/>
                <w:sz w:val="21"/>
                <w:szCs w:val="21"/>
                <w:lang w:val="en-US" w:eastAsia="zh-CN"/>
              </w:rPr>
              <w:t>0.242</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6" w:type="pct"/>
            <w:vMerge w:val="continue"/>
            <w:vAlign w:val="center"/>
          </w:tcPr>
          <w:p>
            <w:pPr>
              <w:pStyle w:val="28"/>
              <w:ind w:left="-140" w:leftChars="-50" w:right="-140" w:rightChars="-50"/>
              <w:rPr>
                <w:rFonts w:hint="default" w:ascii="Times New Roman" w:hAnsi="Times New Roman" w:eastAsia="宋体" w:cs="Times New Roman"/>
                <w:color w:val="auto"/>
                <w:sz w:val="21"/>
                <w:szCs w:val="21"/>
              </w:rPr>
            </w:pPr>
          </w:p>
        </w:tc>
        <w:tc>
          <w:tcPr>
            <w:tcW w:w="1315" w:type="pct"/>
            <w:vAlign w:val="center"/>
          </w:tcPr>
          <w:p>
            <w:pPr>
              <w:kinsoku w:val="0"/>
              <w:overflowPunct w:val="0"/>
              <w:snapToGrid w:val="0"/>
              <w:spacing w:line="240" w:lineRule="auto"/>
              <w:ind w:firstLine="0" w:firstLineChars="0"/>
              <w:jc w:val="center"/>
              <w:rPr>
                <w:rFonts w:hint="eastAsia" w:cs="Times New Roman"/>
                <w:color w:val="auto"/>
                <w:sz w:val="21"/>
                <w:szCs w:val="21"/>
                <w:lang w:val="en-US" w:eastAsia="zh-CN"/>
              </w:rPr>
            </w:pPr>
            <w:r>
              <w:rPr>
                <w:rFonts w:hint="default" w:ascii="Times New Roman" w:hAnsi="Times New Roman" w:eastAsia="宋体" w:cs="Times New Roman"/>
                <w:b w:val="0"/>
                <w:bCs/>
                <w:color w:val="auto"/>
                <w:kern w:val="0"/>
                <w:sz w:val="21"/>
                <w:szCs w:val="21"/>
                <w:lang w:val="en-US" w:eastAsia="zh-CN"/>
              </w:rPr>
              <w:t>甲醇</w:t>
            </w:r>
          </w:p>
        </w:tc>
        <w:tc>
          <w:tcPr>
            <w:tcW w:w="1431" w:type="pct"/>
            <w:vAlign w:val="center"/>
          </w:tcPr>
          <w:p>
            <w:pPr>
              <w:pStyle w:val="28"/>
              <w:ind w:firstLine="0" w:firstLineChars="0"/>
              <w:rPr>
                <w:rFonts w:hint="eastAsia" w:cs="Times New Roman"/>
                <w:color w:val="auto"/>
                <w:sz w:val="21"/>
                <w:szCs w:val="21"/>
                <w:lang w:val="en-US" w:eastAsia="zh-CN"/>
              </w:rPr>
            </w:pPr>
            <w:r>
              <w:rPr>
                <w:rFonts w:hint="eastAsia" w:cs="Times New Roman"/>
                <w:color w:val="auto"/>
                <w:sz w:val="21"/>
                <w:szCs w:val="21"/>
                <w:lang w:val="en-US" w:eastAsia="zh-CN"/>
              </w:rPr>
              <w:t>0.1455</w:t>
            </w:r>
          </w:p>
        </w:tc>
        <w:tc>
          <w:tcPr>
            <w:tcW w:w="1566" w:type="pct"/>
            <w:vAlign w:val="center"/>
          </w:tcPr>
          <w:p>
            <w:pPr>
              <w:pStyle w:val="28"/>
              <w:rPr>
                <w:rFonts w:hint="default" w:cs="Times New Roman"/>
                <w:color w:val="auto"/>
                <w:sz w:val="21"/>
                <w:szCs w:val="21"/>
                <w:lang w:val="en-US" w:eastAsia="zh-CN"/>
              </w:rPr>
            </w:pPr>
            <w:r>
              <w:rPr>
                <w:rFonts w:hint="eastAsia" w:cs="Times New Roman"/>
                <w:color w:val="auto"/>
                <w:sz w:val="21"/>
                <w:szCs w:val="21"/>
                <w:lang w:val="en-US" w:eastAsia="zh-CN"/>
              </w:rPr>
              <w:t>0.032</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6" w:type="pct"/>
            <w:vMerge w:val="continue"/>
            <w:vAlign w:val="center"/>
          </w:tcPr>
          <w:p>
            <w:pPr>
              <w:pStyle w:val="28"/>
              <w:ind w:left="-140" w:leftChars="-50" w:right="-140" w:rightChars="-50"/>
              <w:rPr>
                <w:rFonts w:hint="default" w:ascii="Times New Roman" w:hAnsi="Times New Roman" w:eastAsia="宋体" w:cs="Times New Roman"/>
                <w:color w:val="auto"/>
                <w:sz w:val="21"/>
                <w:szCs w:val="21"/>
              </w:rPr>
            </w:pPr>
          </w:p>
        </w:tc>
        <w:tc>
          <w:tcPr>
            <w:tcW w:w="1315" w:type="pct"/>
            <w:vAlign w:val="center"/>
          </w:tcPr>
          <w:p>
            <w:pPr>
              <w:kinsoku w:val="0"/>
              <w:overflowPunct w:val="0"/>
              <w:snapToGrid w:val="0"/>
              <w:spacing w:line="240" w:lineRule="auto"/>
              <w:ind w:firstLine="0" w:firstLineChars="0"/>
              <w:jc w:val="center"/>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非甲烷总烃（含</w:t>
            </w:r>
            <w:r>
              <w:rPr>
                <w:rFonts w:hint="default" w:ascii="Times New Roman" w:hAnsi="Times New Roman" w:eastAsia="宋体" w:cs="Times New Roman"/>
                <w:b w:val="0"/>
                <w:bCs/>
                <w:color w:val="auto"/>
                <w:kern w:val="0"/>
                <w:sz w:val="21"/>
                <w:szCs w:val="21"/>
                <w:lang w:val="en-US" w:eastAsia="zh-CN"/>
              </w:rPr>
              <w:t>乙酸乙酯、甲苯、甲醇</w:t>
            </w:r>
            <w:r>
              <w:rPr>
                <w:rFonts w:hint="eastAsia" w:cs="Times New Roman"/>
                <w:color w:val="auto"/>
                <w:sz w:val="21"/>
                <w:szCs w:val="21"/>
                <w:lang w:val="en-US" w:eastAsia="zh-CN"/>
              </w:rPr>
              <w:t>）</w:t>
            </w:r>
          </w:p>
        </w:tc>
        <w:tc>
          <w:tcPr>
            <w:tcW w:w="1431" w:type="pct"/>
            <w:vAlign w:val="center"/>
          </w:tcPr>
          <w:p>
            <w:pPr>
              <w:pStyle w:val="28"/>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2.175</w:t>
            </w:r>
          </w:p>
        </w:tc>
        <w:tc>
          <w:tcPr>
            <w:tcW w:w="1566" w:type="pct"/>
            <w:vAlign w:val="center"/>
          </w:tcPr>
          <w:p>
            <w:pPr>
              <w:pStyle w:val="28"/>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0.483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6" w:type="pct"/>
            <w:vMerge w:val="continue"/>
            <w:vAlign w:val="center"/>
          </w:tcPr>
          <w:p>
            <w:pPr>
              <w:pStyle w:val="28"/>
              <w:ind w:left="-140" w:leftChars="-50" w:right="-140" w:rightChars="-50"/>
              <w:rPr>
                <w:rFonts w:hint="default" w:ascii="Times New Roman" w:hAnsi="Times New Roman" w:eastAsia="宋体" w:cs="Times New Roman"/>
                <w:color w:val="auto"/>
                <w:sz w:val="21"/>
                <w:szCs w:val="21"/>
              </w:rPr>
            </w:pPr>
          </w:p>
        </w:tc>
        <w:tc>
          <w:tcPr>
            <w:tcW w:w="1315" w:type="pct"/>
            <w:vAlign w:val="center"/>
          </w:tcPr>
          <w:p>
            <w:pPr>
              <w:kinsoku w:val="0"/>
              <w:overflowPunct w:val="0"/>
              <w:snapToGrid w:val="0"/>
              <w:spacing w:line="240" w:lineRule="auto"/>
              <w:ind w:firstLine="0" w:firstLineChars="0"/>
              <w:jc w:val="center"/>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颗粒物</w:t>
            </w:r>
          </w:p>
        </w:tc>
        <w:tc>
          <w:tcPr>
            <w:tcW w:w="1431" w:type="pct"/>
            <w:vAlign w:val="center"/>
          </w:tcPr>
          <w:p>
            <w:pPr>
              <w:pStyle w:val="28"/>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0.36</w:t>
            </w:r>
          </w:p>
        </w:tc>
        <w:tc>
          <w:tcPr>
            <w:tcW w:w="1566" w:type="pct"/>
            <w:vAlign w:val="center"/>
          </w:tcPr>
          <w:p>
            <w:pPr>
              <w:pStyle w:val="28"/>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0.08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86" w:type="pct"/>
            <w:vMerge w:val="continue"/>
            <w:vAlign w:val="center"/>
          </w:tcPr>
          <w:p>
            <w:pPr>
              <w:pStyle w:val="28"/>
              <w:ind w:left="-140" w:leftChars="-50" w:right="-140" w:rightChars="-50"/>
              <w:rPr>
                <w:rFonts w:hint="default" w:ascii="Times New Roman" w:hAnsi="Times New Roman" w:eastAsia="宋体" w:cs="Times New Roman"/>
                <w:color w:val="auto"/>
                <w:sz w:val="21"/>
                <w:szCs w:val="21"/>
              </w:rPr>
            </w:pPr>
          </w:p>
        </w:tc>
        <w:tc>
          <w:tcPr>
            <w:tcW w:w="1315" w:type="pct"/>
            <w:vAlign w:val="center"/>
          </w:tcPr>
          <w:p>
            <w:pPr>
              <w:snapToGrid w:val="0"/>
              <w:spacing w:line="240" w:lineRule="auto"/>
              <w:ind w:left="-140" w:leftChars="-50" w:right="-140" w:rightChars="-50" w:firstLine="0" w:firstLineChars="0"/>
              <w:jc w:val="center"/>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SO</w:t>
            </w:r>
            <w:r>
              <w:rPr>
                <w:rFonts w:hint="eastAsia" w:cs="Times New Roman"/>
                <w:color w:val="auto"/>
                <w:sz w:val="21"/>
                <w:szCs w:val="21"/>
                <w:vertAlign w:val="subscript"/>
                <w:lang w:val="en-US" w:eastAsia="zh-CN"/>
              </w:rPr>
              <w:t>2</w:t>
            </w:r>
          </w:p>
        </w:tc>
        <w:tc>
          <w:tcPr>
            <w:tcW w:w="1431"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0.06</w:t>
            </w:r>
          </w:p>
        </w:tc>
        <w:tc>
          <w:tcPr>
            <w:tcW w:w="1566"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0.013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686" w:type="pct"/>
            <w:vMerge w:val="continue"/>
            <w:vAlign w:val="center"/>
          </w:tcPr>
          <w:p>
            <w:pPr>
              <w:pStyle w:val="28"/>
              <w:ind w:left="-140" w:leftChars="-50" w:right="-140" w:rightChars="-50"/>
              <w:rPr>
                <w:rFonts w:hint="default" w:ascii="Times New Roman" w:hAnsi="Times New Roman" w:eastAsia="宋体" w:cs="Times New Roman"/>
                <w:color w:val="auto"/>
                <w:sz w:val="21"/>
                <w:szCs w:val="21"/>
              </w:rPr>
            </w:pPr>
          </w:p>
        </w:tc>
        <w:tc>
          <w:tcPr>
            <w:tcW w:w="1315" w:type="pct"/>
            <w:vAlign w:val="center"/>
          </w:tcPr>
          <w:p>
            <w:pPr>
              <w:snapToGrid w:val="0"/>
              <w:spacing w:line="240" w:lineRule="auto"/>
              <w:ind w:firstLine="0" w:firstLineChars="0"/>
              <w:jc w:val="center"/>
              <w:rPr>
                <w:rFonts w:hint="default"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NO</w:t>
            </w:r>
            <w:r>
              <w:rPr>
                <w:rFonts w:hint="eastAsia" w:cs="Times New Roman"/>
                <w:color w:val="auto"/>
                <w:sz w:val="21"/>
                <w:szCs w:val="21"/>
                <w:vertAlign w:val="subscript"/>
                <w:lang w:val="en-US" w:eastAsia="zh-CN"/>
              </w:rPr>
              <w:t>X</w:t>
            </w:r>
          </w:p>
        </w:tc>
        <w:tc>
          <w:tcPr>
            <w:tcW w:w="1431"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0.105</w:t>
            </w:r>
          </w:p>
        </w:tc>
        <w:tc>
          <w:tcPr>
            <w:tcW w:w="1566" w:type="pct"/>
            <w:vAlign w:val="center"/>
          </w:tcPr>
          <w:p>
            <w:pPr>
              <w:pStyle w:val="28"/>
              <w:ind w:firstLine="0" w:firstLineChars="0"/>
              <w:rPr>
                <w:rFonts w:hint="default"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0.023</w:t>
            </w:r>
          </w:p>
        </w:tc>
      </w:tr>
    </w:tbl>
    <w:p>
      <w:pP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（2）核算结果</w:t>
      </w:r>
    </w:p>
    <w:p>
      <w:pP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验收项目废气中各项污染物的排放总量核算结果如下：</w:t>
      </w:r>
    </w:p>
    <w:p>
      <w:pPr>
        <w:pStyle w:val="29"/>
        <w:spacing w:before="156"/>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表9</w:t>
      </w:r>
      <w:r>
        <w:rPr>
          <w:rFonts w:hint="eastAsia" w:cs="Times New Roman"/>
          <w:color w:val="auto"/>
          <w:sz w:val="21"/>
          <w:szCs w:val="21"/>
          <w:lang w:val="en-US" w:eastAsia="zh-CN"/>
        </w:rPr>
        <w:t>-11</w:t>
      </w:r>
      <w:r>
        <w:rPr>
          <w:rFonts w:hint="default" w:ascii="Times New Roman" w:hAnsi="Times New Roman" w:eastAsia="宋体" w:cs="Times New Roman"/>
          <w:color w:val="auto"/>
          <w:sz w:val="21"/>
          <w:szCs w:val="21"/>
        </w:rPr>
        <w:t xml:space="preserve"> 废气污染物排放总量核算结果</w:t>
      </w:r>
    </w:p>
    <w:tbl>
      <w:tblPr>
        <w:tblStyle w:val="25"/>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4"/>
        <w:gridCol w:w="843"/>
        <w:gridCol w:w="1226"/>
        <w:gridCol w:w="965"/>
        <w:gridCol w:w="690"/>
        <w:gridCol w:w="1179"/>
        <w:gridCol w:w="1059"/>
        <w:gridCol w:w="917"/>
        <w:gridCol w:w="1063"/>
        <w:gridCol w:w="87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85" w:type="pct"/>
            <w:gridSpan w:val="2"/>
            <w:vMerge w:val="restar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污染物类型</w:t>
            </w:r>
          </w:p>
        </w:tc>
        <w:tc>
          <w:tcPr>
            <w:tcW w:w="1185" w:type="pct"/>
            <w:gridSpan w:val="2"/>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总量核批情况</w:t>
            </w:r>
          </w:p>
        </w:tc>
        <w:tc>
          <w:tcPr>
            <w:tcW w:w="2655" w:type="pct"/>
            <w:gridSpan w:val="5"/>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验收监测情况</w:t>
            </w:r>
          </w:p>
        </w:tc>
        <w:tc>
          <w:tcPr>
            <w:tcW w:w="473" w:type="pct"/>
            <w:vMerge w:val="restar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是否满足总量要求</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85" w:type="pct"/>
            <w:gridSpan w:val="2"/>
            <w:vMerge w:val="continue"/>
            <w:vAlign w:val="center"/>
          </w:tcPr>
          <w:p>
            <w:pPr>
              <w:pStyle w:val="28"/>
              <w:rPr>
                <w:rFonts w:hint="default" w:ascii="Times New Roman" w:hAnsi="Times New Roman" w:eastAsia="宋体" w:cs="Times New Roman"/>
                <w:b/>
                <w:bCs/>
                <w:color w:val="auto"/>
                <w:sz w:val="21"/>
                <w:szCs w:val="21"/>
              </w:rPr>
            </w:pPr>
          </w:p>
        </w:tc>
        <w:tc>
          <w:tcPr>
            <w:tcW w:w="663"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污染物名称</w:t>
            </w:r>
          </w:p>
        </w:tc>
        <w:tc>
          <w:tcPr>
            <w:tcW w:w="522"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总量控制</w:t>
            </w:r>
          </w:p>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（t/a）</w:t>
            </w:r>
          </w:p>
        </w:tc>
        <w:tc>
          <w:tcPr>
            <w:tcW w:w="373"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采样点位</w:t>
            </w:r>
          </w:p>
        </w:tc>
        <w:tc>
          <w:tcPr>
            <w:tcW w:w="637" w:type="pct"/>
            <w:vAlign w:val="center"/>
          </w:tcPr>
          <w:p>
            <w:pPr>
              <w:pStyle w:val="28"/>
              <w:ind w:left="-140" w:leftChars="-50" w:right="-140" w:rightChars="-5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平均排放浓度（mg/m</w:t>
            </w:r>
            <w:r>
              <w:rPr>
                <w:rFonts w:hint="default" w:ascii="Times New Roman" w:hAnsi="Times New Roman" w:eastAsia="宋体" w:cs="Times New Roman"/>
                <w:b/>
                <w:bCs/>
                <w:color w:val="auto"/>
                <w:sz w:val="21"/>
                <w:szCs w:val="21"/>
                <w:vertAlign w:val="superscript"/>
              </w:rPr>
              <w:t>3</w:t>
            </w:r>
            <w:r>
              <w:rPr>
                <w:rFonts w:hint="default" w:ascii="Times New Roman" w:hAnsi="Times New Roman" w:eastAsia="宋体" w:cs="Times New Roman"/>
                <w:b/>
                <w:bCs/>
                <w:color w:val="auto"/>
                <w:sz w:val="21"/>
                <w:szCs w:val="21"/>
              </w:rPr>
              <w:t>）</w:t>
            </w:r>
          </w:p>
        </w:tc>
        <w:tc>
          <w:tcPr>
            <w:tcW w:w="572" w:type="pct"/>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平均干排气量</w:t>
            </w:r>
          </w:p>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（m</w:t>
            </w:r>
            <w:r>
              <w:rPr>
                <w:rFonts w:hint="default" w:ascii="Times New Roman" w:hAnsi="Times New Roman" w:eastAsia="宋体" w:cs="Times New Roman"/>
                <w:b/>
                <w:bCs/>
                <w:color w:val="auto"/>
                <w:sz w:val="21"/>
                <w:szCs w:val="21"/>
                <w:vertAlign w:val="superscript"/>
              </w:rPr>
              <w:t>3</w:t>
            </w:r>
            <w:r>
              <w:rPr>
                <w:rFonts w:hint="default" w:ascii="Times New Roman" w:hAnsi="Times New Roman" w:eastAsia="宋体" w:cs="Times New Roman"/>
                <w:b/>
                <w:bCs/>
                <w:color w:val="auto"/>
                <w:sz w:val="21"/>
                <w:szCs w:val="21"/>
              </w:rPr>
              <w:t>/h）</w:t>
            </w:r>
          </w:p>
        </w:tc>
        <w:tc>
          <w:tcPr>
            <w:tcW w:w="496" w:type="pct"/>
            <w:vAlign w:val="center"/>
          </w:tcPr>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年运行时间（h）</w:t>
            </w:r>
          </w:p>
        </w:tc>
        <w:tc>
          <w:tcPr>
            <w:tcW w:w="575" w:type="pct"/>
            <w:vAlign w:val="center"/>
          </w:tcPr>
          <w:p>
            <w:pPr>
              <w:pStyle w:val="28"/>
              <w:ind w:left="-140" w:leftChars="-50" w:right="-140" w:rightChars="-5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排放总量</w:t>
            </w:r>
          </w:p>
          <w:p>
            <w:pPr>
              <w:pStyle w:val="28"/>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（t/a）</w:t>
            </w:r>
          </w:p>
        </w:tc>
        <w:tc>
          <w:tcPr>
            <w:tcW w:w="473" w:type="pct"/>
            <w:vMerge w:val="continue"/>
            <w:vAlign w:val="center"/>
          </w:tcPr>
          <w:p>
            <w:pPr>
              <w:pStyle w:val="28"/>
              <w:rPr>
                <w:rFonts w:hint="default" w:ascii="Times New Roman" w:hAnsi="Times New Roman" w:eastAsia="宋体" w:cs="Times New Roman"/>
                <w:b/>
                <w:bCs/>
                <w:color w:val="auto"/>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9"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456" w:type="pct"/>
            <w:vMerge w:val="restart"/>
            <w:vAlign w:val="center"/>
          </w:tcPr>
          <w:p>
            <w:pPr>
              <w:pStyle w:val="28"/>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DA001</w:t>
            </w:r>
          </w:p>
        </w:tc>
        <w:tc>
          <w:tcPr>
            <w:tcW w:w="663" w:type="pct"/>
            <w:vAlign w:val="center"/>
          </w:tcPr>
          <w:p>
            <w:pPr>
              <w:kinsoku w:val="0"/>
              <w:overflowPunct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kern w:val="0"/>
                <w:sz w:val="21"/>
                <w:szCs w:val="21"/>
                <w:lang w:val="en-US" w:eastAsia="zh-CN"/>
              </w:rPr>
              <w:t>乙酸乙酯</w:t>
            </w:r>
          </w:p>
        </w:tc>
        <w:tc>
          <w:tcPr>
            <w:tcW w:w="522" w:type="pct"/>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0.203</w:t>
            </w:r>
          </w:p>
        </w:tc>
        <w:tc>
          <w:tcPr>
            <w:tcW w:w="373" w:type="pct"/>
            <w:vMerge w:val="restar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排气筒出口</w:t>
            </w:r>
          </w:p>
        </w:tc>
        <w:tc>
          <w:tcPr>
            <w:tcW w:w="637"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0.06</w:t>
            </w:r>
          </w:p>
        </w:tc>
        <w:tc>
          <w:tcPr>
            <w:tcW w:w="572"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14792</w:t>
            </w:r>
          </w:p>
        </w:tc>
        <w:tc>
          <w:tcPr>
            <w:tcW w:w="496" w:type="pct"/>
            <w:vMerge w:val="restar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4800</w:t>
            </w:r>
          </w:p>
        </w:tc>
        <w:tc>
          <w:tcPr>
            <w:tcW w:w="575"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0.0009</w:t>
            </w:r>
          </w:p>
        </w:tc>
        <w:tc>
          <w:tcPr>
            <w:tcW w:w="473"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9" w:type="pct"/>
            <w:vMerge w:val="continue"/>
            <w:vAlign w:val="center"/>
          </w:tcPr>
          <w:p>
            <w:pPr>
              <w:pStyle w:val="28"/>
              <w:rPr>
                <w:rFonts w:hint="default" w:ascii="Times New Roman" w:hAnsi="Times New Roman" w:eastAsia="宋体" w:cs="Times New Roman"/>
                <w:color w:val="auto"/>
                <w:sz w:val="21"/>
                <w:szCs w:val="21"/>
              </w:rPr>
            </w:pPr>
          </w:p>
        </w:tc>
        <w:tc>
          <w:tcPr>
            <w:tcW w:w="456" w:type="pct"/>
            <w:vMerge w:val="continue"/>
            <w:vAlign w:val="center"/>
          </w:tcPr>
          <w:p>
            <w:pPr>
              <w:pStyle w:val="28"/>
              <w:rPr>
                <w:rFonts w:hint="default" w:ascii="Times New Roman" w:hAnsi="Times New Roman" w:eastAsia="宋体" w:cs="Times New Roman"/>
                <w:color w:val="auto"/>
                <w:sz w:val="21"/>
                <w:szCs w:val="21"/>
              </w:rPr>
            </w:pPr>
          </w:p>
        </w:tc>
        <w:tc>
          <w:tcPr>
            <w:tcW w:w="663" w:type="pct"/>
            <w:vAlign w:val="center"/>
          </w:tcPr>
          <w:p>
            <w:pPr>
              <w:kinsoku w:val="0"/>
              <w:overflowPunct w:val="0"/>
              <w:snapToGrid w:val="0"/>
              <w:spacing w:line="240" w:lineRule="auto"/>
              <w:ind w:firstLine="0" w:firstLineChars="0"/>
              <w:jc w:val="center"/>
              <w:rPr>
                <w:rFonts w:hint="eastAsia" w:cs="Times New Roman"/>
                <w:color w:val="auto"/>
                <w:sz w:val="21"/>
                <w:szCs w:val="21"/>
                <w:lang w:val="en-US" w:eastAsia="zh-CN"/>
              </w:rPr>
            </w:pPr>
            <w:r>
              <w:rPr>
                <w:rFonts w:hint="default" w:ascii="Times New Roman" w:hAnsi="Times New Roman" w:eastAsia="宋体" w:cs="Times New Roman"/>
                <w:b w:val="0"/>
                <w:bCs/>
                <w:color w:val="auto"/>
                <w:kern w:val="0"/>
                <w:sz w:val="21"/>
                <w:szCs w:val="21"/>
                <w:lang w:val="en-US" w:eastAsia="zh-CN"/>
              </w:rPr>
              <w:t>甲苯</w:t>
            </w:r>
          </w:p>
        </w:tc>
        <w:tc>
          <w:tcPr>
            <w:tcW w:w="522" w:type="pct"/>
            <w:vAlign w:val="center"/>
          </w:tcPr>
          <w:p>
            <w:pPr>
              <w:pStyle w:val="28"/>
              <w:spacing w:line="240" w:lineRule="auto"/>
              <w:ind w:firstLine="0" w:firstLineChars="0"/>
              <w:rPr>
                <w:rFonts w:hint="eastAsia" w:cs="Times New Roman"/>
                <w:color w:val="auto"/>
                <w:sz w:val="21"/>
                <w:szCs w:val="21"/>
                <w:lang w:val="en-US" w:eastAsia="zh-CN"/>
              </w:rPr>
            </w:pPr>
            <w:r>
              <w:rPr>
                <w:rFonts w:hint="eastAsia" w:cs="Times New Roman"/>
                <w:color w:val="auto"/>
                <w:sz w:val="21"/>
                <w:szCs w:val="21"/>
                <w:lang w:val="en-US" w:eastAsia="zh-CN"/>
              </w:rPr>
              <w:t>0.242</w:t>
            </w:r>
          </w:p>
        </w:tc>
        <w:tc>
          <w:tcPr>
            <w:tcW w:w="373" w:type="pct"/>
            <w:vMerge w:val="continue"/>
            <w:vAlign w:val="center"/>
          </w:tcPr>
          <w:p>
            <w:pPr>
              <w:pStyle w:val="28"/>
              <w:spacing w:line="240" w:lineRule="auto"/>
              <w:rPr>
                <w:rFonts w:hint="default" w:ascii="Times New Roman" w:hAnsi="Times New Roman" w:eastAsia="宋体" w:cs="Times New Roman"/>
                <w:color w:val="auto"/>
                <w:sz w:val="21"/>
                <w:szCs w:val="21"/>
              </w:rPr>
            </w:pPr>
          </w:p>
        </w:tc>
        <w:tc>
          <w:tcPr>
            <w:tcW w:w="637" w:type="pct"/>
            <w:vAlign w:val="center"/>
          </w:tcPr>
          <w:p>
            <w:pPr>
              <w:pStyle w:val="28"/>
              <w:spacing w:line="240" w:lineRule="auto"/>
              <w:rPr>
                <w:rFonts w:hint="default" w:cs="Times New Roman"/>
                <w:color w:val="auto"/>
                <w:sz w:val="21"/>
                <w:szCs w:val="21"/>
                <w:lang w:val="en-US" w:eastAsia="zh-CN"/>
              </w:rPr>
            </w:pPr>
            <w:r>
              <w:rPr>
                <w:rFonts w:hint="eastAsia" w:cs="Times New Roman"/>
                <w:color w:val="auto"/>
                <w:sz w:val="21"/>
                <w:szCs w:val="21"/>
                <w:lang w:val="en-US" w:eastAsia="zh-CN"/>
              </w:rPr>
              <w:t>0.032</w:t>
            </w:r>
          </w:p>
        </w:tc>
        <w:tc>
          <w:tcPr>
            <w:tcW w:w="572" w:type="pct"/>
            <w:vAlign w:val="center"/>
          </w:tcPr>
          <w:p>
            <w:pPr>
              <w:pStyle w:val="28"/>
              <w:spacing w:line="240" w:lineRule="auto"/>
              <w:rPr>
                <w:rFonts w:hint="default" w:cs="Times New Roman"/>
                <w:color w:val="auto"/>
                <w:sz w:val="21"/>
                <w:szCs w:val="21"/>
                <w:lang w:val="en-US" w:eastAsia="zh-CN"/>
              </w:rPr>
            </w:pPr>
            <w:r>
              <w:rPr>
                <w:rFonts w:hint="eastAsia" w:cs="Times New Roman"/>
                <w:color w:val="auto"/>
                <w:sz w:val="21"/>
                <w:szCs w:val="21"/>
                <w:lang w:val="en-US" w:eastAsia="zh-CN"/>
              </w:rPr>
              <w:t>14792</w:t>
            </w:r>
          </w:p>
        </w:tc>
        <w:tc>
          <w:tcPr>
            <w:tcW w:w="496" w:type="pct"/>
            <w:vMerge w:val="continue"/>
            <w:vAlign w:val="center"/>
          </w:tcPr>
          <w:p>
            <w:pPr>
              <w:pStyle w:val="28"/>
              <w:spacing w:line="240" w:lineRule="auto"/>
              <w:rPr>
                <w:rFonts w:hint="eastAsia" w:cs="Times New Roman"/>
                <w:color w:val="auto"/>
                <w:sz w:val="21"/>
                <w:szCs w:val="21"/>
                <w:lang w:val="en-US" w:eastAsia="zh-CN"/>
              </w:rPr>
            </w:pPr>
          </w:p>
        </w:tc>
        <w:tc>
          <w:tcPr>
            <w:tcW w:w="575"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0.0005</w:t>
            </w:r>
          </w:p>
        </w:tc>
        <w:tc>
          <w:tcPr>
            <w:tcW w:w="473"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9" w:type="pct"/>
            <w:vMerge w:val="continue"/>
            <w:vAlign w:val="center"/>
          </w:tcPr>
          <w:p>
            <w:pPr>
              <w:pStyle w:val="28"/>
              <w:rPr>
                <w:rFonts w:hint="default" w:ascii="Times New Roman" w:hAnsi="Times New Roman" w:eastAsia="宋体" w:cs="Times New Roman"/>
                <w:color w:val="auto"/>
                <w:sz w:val="21"/>
                <w:szCs w:val="21"/>
              </w:rPr>
            </w:pPr>
          </w:p>
        </w:tc>
        <w:tc>
          <w:tcPr>
            <w:tcW w:w="456" w:type="pct"/>
            <w:vMerge w:val="continue"/>
            <w:vAlign w:val="center"/>
          </w:tcPr>
          <w:p>
            <w:pPr>
              <w:pStyle w:val="28"/>
              <w:rPr>
                <w:rFonts w:hint="default" w:ascii="Times New Roman" w:hAnsi="Times New Roman" w:eastAsia="宋体" w:cs="Times New Roman"/>
                <w:color w:val="auto"/>
                <w:sz w:val="21"/>
                <w:szCs w:val="21"/>
              </w:rPr>
            </w:pPr>
          </w:p>
        </w:tc>
        <w:tc>
          <w:tcPr>
            <w:tcW w:w="663" w:type="pct"/>
            <w:vAlign w:val="center"/>
          </w:tcPr>
          <w:p>
            <w:pPr>
              <w:kinsoku w:val="0"/>
              <w:overflowPunct w:val="0"/>
              <w:snapToGrid w:val="0"/>
              <w:spacing w:line="240" w:lineRule="auto"/>
              <w:ind w:firstLine="0" w:firstLineChars="0"/>
              <w:jc w:val="center"/>
              <w:rPr>
                <w:rFonts w:hint="eastAsia" w:cs="Times New Roman"/>
                <w:color w:val="auto"/>
                <w:sz w:val="21"/>
                <w:szCs w:val="21"/>
                <w:lang w:val="en-US" w:eastAsia="zh-CN"/>
              </w:rPr>
            </w:pPr>
            <w:r>
              <w:rPr>
                <w:rFonts w:hint="default" w:ascii="Times New Roman" w:hAnsi="Times New Roman" w:eastAsia="宋体" w:cs="Times New Roman"/>
                <w:b w:val="0"/>
                <w:bCs/>
                <w:color w:val="auto"/>
                <w:kern w:val="0"/>
                <w:sz w:val="21"/>
                <w:szCs w:val="21"/>
                <w:lang w:val="en-US" w:eastAsia="zh-CN"/>
              </w:rPr>
              <w:t>甲醇</w:t>
            </w:r>
          </w:p>
        </w:tc>
        <w:tc>
          <w:tcPr>
            <w:tcW w:w="522" w:type="pct"/>
            <w:vAlign w:val="center"/>
          </w:tcPr>
          <w:p>
            <w:pPr>
              <w:pStyle w:val="28"/>
              <w:spacing w:line="240" w:lineRule="auto"/>
              <w:ind w:firstLine="0" w:firstLineChars="0"/>
              <w:rPr>
                <w:rFonts w:hint="eastAsia" w:cs="Times New Roman"/>
                <w:color w:val="auto"/>
                <w:sz w:val="21"/>
                <w:szCs w:val="21"/>
                <w:lang w:val="en-US" w:eastAsia="zh-CN"/>
              </w:rPr>
            </w:pPr>
            <w:r>
              <w:rPr>
                <w:rFonts w:hint="eastAsia" w:cs="Times New Roman"/>
                <w:color w:val="auto"/>
                <w:sz w:val="21"/>
                <w:szCs w:val="21"/>
                <w:lang w:val="en-US" w:eastAsia="zh-CN"/>
              </w:rPr>
              <w:t>0.032</w:t>
            </w:r>
          </w:p>
        </w:tc>
        <w:tc>
          <w:tcPr>
            <w:tcW w:w="373" w:type="pct"/>
            <w:vMerge w:val="continue"/>
            <w:vAlign w:val="center"/>
          </w:tcPr>
          <w:p>
            <w:pPr>
              <w:pStyle w:val="28"/>
              <w:spacing w:line="240" w:lineRule="auto"/>
              <w:rPr>
                <w:rFonts w:hint="default" w:ascii="Times New Roman" w:hAnsi="Times New Roman" w:eastAsia="宋体" w:cs="Times New Roman"/>
                <w:color w:val="auto"/>
                <w:sz w:val="21"/>
                <w:szCs w:val="21"/>
              </w:rPr>
            </w:pPr>
          </w:p>
        </w:tc>
        <w:tc>
          <w:tcPr>
            <w:tcW w:w="637" w:type="pct"/>
            <w:vAlign w:val="center"/>
          </w:tcPr>
          <w:p>
            <w:pPr>
              <w:pStyle w:val="28"/>
              <w:spacing w:line="240" w:lineRule="auto"/>
              <w:rPr>
                <w:rFonts w:hint="default" w:cs="Times New Roman"/>
                <w:color w:val="auto"/>
                <w:sz w:val="21"/>
                <w:szCs w:val="21"/>
                <w:lang w:val="en-US" w:eastAsia="zh-CN"/>
              </w:rPr>
            </w:pPr>
            <w:r>
              <w:rPr>
                <w:rFonts w:hint="eastAsia" w:cs="Times New Roman"/>
                <w:color w:val="auto"/>
                <w:sz w:val="21"/>
                <w:szCs w:val="21"/>
                <w:lang w:val="en-US" w:eastAsia="zh-CN"/>
              </w:rPr>
              <w:t>ND</w:t>
            </w:r>
          </w:p>
        </w:tc>
        <w:tc>
          <w:tcPr>
            <w:tcW w:w="572" w:type="pct"/>
            <w:vAlign w:val="center"/>
          </w:tcPr>
          <w:p>
            <w:pPr>
              <w:pStyle w:val="28"/>
              <w:spacing w:line="240" w:lineRule="auto"/>
              <w:rPr>
                <w:rFonts w:hint="default" w:cs="Times New Roman"/>
                <w:color w:val="auto"/>
                <w:sz w:val="21"/>
                <w:szCs w:val="21"/>
                <w:lang w:val="en-US" w:eastAsia="zh-CN"/>
              </w:rPr>
            </w:pPr>
            <w:r>
              <w:rPr>
                <w:rFonts w:hint="eastAsia" w:cs="Times New Roman"/>
                <w:color w:val="auto"/>
                <w:sz w:val="21"/>
                <w:szCs w:val="21"/>
                <w:lang w:val="en-US" w:eastAsia="zh-CN"/>
              </w:rPr>
              <w:t>14792</w:t>
            </w:r>
          </w:p>
        </w:tc>
        <w:tc>
          <w:tcPr>
            <w:tcW w:w="496" w:type="pct"/>
            <w:vMerge w:val="continue"/>
            <w:vAlign w:val="center"/>
          </w:tcPr>
          <w:p>
            <w:pPr>
              <w:pStyle w:val="28"/>
              <w:spacing w:line="240" w:lineRule="auto"/>
              <w:rPr>
                <w:rFonts w:hint="eastAsia" w:cs="Times New Roman"/>
                <w:color w:val="auto"/>
                <w:sz w:val="21"/>
                <w:szCs w:val="21"/>
                <w:lang w:val="en-US" w:eastAsia="zh-CN"/>
              </w:rPr>
            </w:pPr>
          </w:p>
        </w:tc>
        <w:tc>
          <w:tcPr>
            <w:tcW w:w="575"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0.0007*</w:t>
            </w:r>
          </w:p>
        </w:tc>
        <w:tc>
          <w:tcPr>
            <w:tcW w:w="473"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9" w:type="pct"/>
            <w:vMerge w:val="continue"/>
            <w:vAlign w:val="center"/>
          </w:tcPr>
          <w:p>
            <w:pPr>
              <w:pStyle w:val="28"/>
              <w:rPr>
                <w:rFonts w:hint="default" w:ascii="Times New Roman" w:hAnsi="Times New Roman" w:eastAsia="宋体" w:cs="Times New Roman"/>
                <w:color w:val="auto"/>
                <w:sz w:val="21"/>
                <w:szCs w:val="21"/>
              </w:rPr>
            </w:pPr>
          </w:p>
        </w:tc>
        <w:tc>
          <w:tcPr>
            <w:tcW w:w="456" w:type="pct"/>
            <w:vMerge w:val="continue"/>
            <w:vAlign w:val="center"/>
          </w:tcPr>
          <w:p>
            <w:pPr>
              <w:pStyle w:val="28"/>
              <w:rPr>
                <w:rFonts w:hint="default" w:ascii="Times New Roman" w:hAnsi="Times New Roman" w:eastAsia="宋体" w:cs="Times New Roman"/>
                <w:color w:val="auto"/>
                <w:sz w:val="21"/>
                <w:szCs w:val="21"/>
              </w:rPr>
            </w:pPr>
          </w:p>
        </w:tc>
        <w:tc>
          <w:tcPr>
            <w:tcW w:w="663" w:type="pct"/>
            <w:vAlign w:val="center"/>
          </w:tcPr>
          <w:p>
            <w:pPr>
              <w:pStyle w:val="28"/>
              <w:spacing w:line="240" w:lineRule="auto"/>
              <w:ind w:left="-140" w:leftChars="-50" w:right="-140" w:rightChars="-50"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非甲烷总烃（</w:t>
            </w:r>
            <w:r>
              <w:rPr>
                <w:rFonts w:hint="default" w:ascii="Times New Roman" w:hAnsi="Times New Roman" w:eastAsia="宋体" w:cs="Times New Roman"/>
                <w:b w:val="0"/>
                <w:bCs/>
                <w:color w:val="auto"/>
                <w:kern w:val="0"/>
                <w:sz w:val="21"/>
                <w:szCs w:val="21"/>
                <w:lang w:val="en-US" w:eastAsia="zh-CN"/>
              </w:rPr>
              <w:t>乙酸乙酯、甲苯、甲醇</w:t>
            </w:r>
            <w:r>
              <w:rPr>
                <w:rFonts w:hint="eastAsia" w:cs="Times New Roman"/>
                <w:color w:val="auto"/>
                <w:sz w:val="21"/>
                <w:szCs w:val="21"/>
                <w:lang w:val="en-US" w:eastAsia="zh-CN"/>
              </w:rPr>
              <w:t>）</w:t>
            </w:r>
          </w:p>
        </w:tc>
        <w:tc>
          <w:tcPr>
            <w:tcW w:w="522" w:type="pct"/>
            <w:vAlign w:val="center"/>
          </w:tcPr>
          <w:p>
            <w:pPr>
              <w:pStyle w:val="28"/>
              <w:spacing w:line="240" w:lineRule="auto"/>
              <w:ind w:firstLine="0" w:firstLineChars="0"/>
              <w:rPr>
                <w:rFonts w:hint="eastAsia" w:ascii="Times New Roman" w:hAnsi="Times New Roman" w:eastAsia="宋体" w:cs="Times New Roman"/>
                <w:snapToGrid w:val="0"/>
                <w:color w:val="auto"/>
                <w:sz w:val="21"/>
                <w:szCs w:val="21"/>
                <w:lang w:val="en-US" w:eastAsia="zh-CN" w:bidi="ar-SA"/>
              </w:rPr>
            </w:pPr>
            <w:r>
              <w:rPr>
                <w:rFonts w:hint="eastAsia" w:cs="Times New Roman"/>
                <w:color w:val="auto"/>
                <w:sz w:val="21"/>
                <w:szCs w:val="21"/>
                <w:lang w:val="en-US" w:eastAsia="zh-CN"/>
              </w:rPr>
              <w:t>0.483</w:t>
            </w:r>
          </w:p>
        </w:tc>
        <w:tc>
          <w:tcPr>
            <w:tcW w:w="373" w:type="pct"/>
            <w:vMerge w:val="continue"/>
            <w:vAlign w:val="center"/>
          </w:tcPr>
          <w:p>
            <w:pPr>
              <w:pStyle w:val="28"/>
              <w:spacing w:line="240" w:lineRule="auto"/>
              <w:rPr>
                <w:rFonts w:hint="default" w:ascii="Times New Roman" w:hAnsi="Times New Roman" w:eastAsia="宋体" w:cs="Times New Roman"/>
                <w:color w:val="auto"/>
                <w:sz w:val="21"/>
                <w:szCs w:val="21"/>
              </w:rPr>
            </w:pPr>
          </w:p>
        </w:tc>
        <w:tc>
          <w:tcPr>
            <w:tcW w:w="637" w:type="pct"/>
            <w:vAlign w:val="center"/>
          </w:tcPr>
          <w:p>
            <w:pPr>
              <w:pStyle w:val="28"/>
              <w:spacing w:line="240" w:lineRule="auto"/>
              <w:rPr>
                <w:rFonts w:hint="default" w:cs="Times New Roman"/>
                <w:color w:val="auto"/>
                <w:sz w:val="21"/>
                <w:szCs w:val="21"/>
                <w:lang w:val="en-US" w:eastAsia="zh-CN"/>
              </w:rPr>
            </w:pPr>
            <w:r>
              <w:rPr>
                <w:rFonts w:hint="eastAsia" w:cs="Times New Roman"/>
                <w:color w:val="auto"/>
                <w:sz w:val="21"/>
                <w:szCs w:val="21"/>
                <w:lang w:val="en-US" w:eastAsia="zh-CN"/>
              </w:rPr>
              <w:t>1.12</w:t>
            </w:r>
          </w:p>
        </w:tc>
        <w:tc>
          <w:tcPr>
            <w:tcW w:w="572" w:type="pct"/>
            <w:vAlign w:val="center"/>
          </w:tcPr>
          <w:p>
            <w:pPr>
              <w:pStyle w:val="28"/>
              <w:spacing w:line="240" w:lineRule="auto"/>
              <w:rPr>
                <w:rFonts w:hint="default" w:cs="Times New Roman"/>
                <w:color w:val="auto"/>
                <w:sz w:val="21"/>
                <w:szCs w:val="21"/>
                <w:lang w:val="en-US" w:eastAsia="zh-CN"/>
              </w:rPr>
            </w:pPr>
            <w:r>
              <w:rPr>
                <w:rFonts w:hint="eastAsia" w:cs="Times New Roman"/>
                <w:color w:val="auto"/>
                <w:sz w:val="21"/>
                <w:szCs w:val="21"/>
                <w:lang w:val="en-US" w:eastAsia="zh-CN"/>
              </w:rPr>
              <w:t>14979</w:t>
            </w:r>
          </w:p>
        </w:tc>
        <w:tc>
          <w:tcPr>
            <w:tcW w:w="496" w:type="pct"/>
            <w:vMerge w:val="continue"/>
            <w:vAlign w:val="center"/>
          </w:tcPr>
          <w:p>
            <w:pPr>
              <w:pStyle w:val="28"/>
              <w:spacing w:line="240" w:lineRule="auto"/>
              <w:rPr>
                <w:rFonts w:hint="eastAsia" w:cs="Times New Roman"/>
                <w:color w:val="auto"/>
                <w:sz w:val="21"/>
                <w:szCs w:val="21"/>
                <w:lang w:val="en-US" w:eastAsia="zh-CN"/>
              </w:rPr>
            </w:pPr>
          </w:p>
        </w:tc>
        <w:tc>
          <w:tcPr>
            <w:tcW w:w="575"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0.017</w:t>
            </w:r>
          </w:p>
        </w:tc>
        <w:tc>
          <w:tcPr>
            <w:tcW w:w="473" w:type="pc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9" w:type="pct"/>
            <w:vMerge w:val="continue"/>
            <w:vAlign w:val="center"/>
          </w:tcPr>
          <w:p>
            <w:pPr>
              <w:pStyle w:val="28"/>
              <w:rPr>
                <w:rFonts w:hint="default" w:ascii="Times New Roman" w:hAnsi="Times New Roman" w:eastAsia="宋体" w:cs="Times New Roman"/>
                <w:color w:val="auto"/>
                <w:sz w:val="21"/>
                <w:szCs w:val="21"/>
              </w:rPr>
            </w:pPr>
          </w:p>
        </w:tc>
        <w:tc>
          <w:tcPr>
            <w:tcW w:w="456" w:type="pct"/>
            <w:vMerge w:val="restart"/>
            <w:vAlign w:val="center"/>
          </w:tcPr>
          <w:p>
            <w:pPr>
              <w:pStyle w:val="28"/>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DA00</w:t>
            </w:r>
            <w:r>
              <w:rPr>
                <w:rFonts w:hint="eastAsia" w:cs="Times New Roman"/>
                <w:color w:val="auto"/>
                <w:sz w:val="21"/>
                <w:szCs w:val="21"/>
                <w:lang w:val="en-US" w:eastAsia="zh-CN"/>
              </w:rPr>
              <w:t>2</w:t>
            </w:r>
          </w:p>
        </w:tc>
        <w:tc>
          <w:tcPr>
            <w:tcW w:w="663" w:type="pct"/>
            <w:vAlign w:val="center"/>
          </w:tcPr>
          <w:p>
            <w:pPr>
              <w:pStyle w:val="28"/>
              <w:spacing w:line="240" w:lineRule="auto"/>
              <w:ind w:left="-140" w:leftChars="-50" w:right="-140" w:rightChars="-5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颗粒物</w:t>
            </w:r>
          </w:p>
        </w:tc>
        <w:tc>
          <w:tcPr>
            <w:tcW w:w="522" w:type="pct"/>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0.08</w:t>
            </w:r>
          </w:p>
        </w:tc>
        <w:tc>
          <w:tcPr>
            <w:tcW w:w="373" w:type="pct"/>
            <w:vMerge w:val="restart"/>
            <w:vAlign w:val="center"/>
          </w:tcPr>
          <w:p>
            <w:pPr>
              <w:pStyle w:val="28"/>
              <w:spacing w:line="24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排气筒出口</w:t>
            </w:r>
          </w:p>
        </w:tc>
        <w:tc>
          <w:tcPr>
            <w:tcW w:w="637" w:type="pct"/>
            <w:vAlign w:val="center"/>
          </w:tcPr>
          <w:p>
            <w:pPr>
              <w:pStyle w:val="28"/>
              <w:spacing w:line="240" w:lineRule="auto"/>
              <w:jc w:val="center"/>
              <w:rPr>
                <w:rFonts w:hint="default" w:ascii="Times New Roman" w:hAnsi="Times New Roman" w:eastAsia="宋体" w:cs="Times New Roman"/>
                <w:snapToGrid w:val="0"/>
                <w:color w:val="auto"/>
                <w:sz w:val="21"/>
                <w:szCs w:val="21"/>
                <w:lang w:val="en-US" w:eastAsia="zh-CN" w:bidi="ar-SA"/>
              </w:rPr>
            </w:pPr>
            <w:r>
              <w:rPr>
                <w:rFonts w:hint="eastAsia" w:ascii="Times New Roman" w:hAnsi="Times New Roman" w:eastAsia="宋体" w:cs="Times New Roman"/>
                <w:snapToGrid w:val="0"/>
                <w:color w:val="auto"/>
                <w:sz w:val="21"/>
                <w:szCs w:val="21"/>
                <w:lang w:val="en-US" w:eastAsia="zh-CN" w:bidi="ar-SA"/>
              </w:rPr>
              <w:t>ND</w:t>
            </w:r>
          </w:p>
        </w:tc>
        <w:tc>
          <w:tcPr>
            <w:tcW w:w="572"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1540</w:t>
            </w:r>
          </w:p>
        </w:tc>
        <w:tc>
          <w:tcPr>
            <w:tcW w:w="496" w:type="pct"/>
            <w:vMerge w:val="restar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4800</w:t>
            </w:r>
          </w:p>
        </w:tc>
        <w:tc>
          <w:tcPr>
            <w:tcW w:w="575"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0.0008*</w:t>
            </w:r>
          </w:p>
        </w:tc>
        <w:tc>
          <w:tcPr>
            <w:tcW w:w="473" w:type="pct"/>
            <w:vAlign w:val="center"/>
          </w:tcPr>
          <w:p>
            <w:pPr>
              <w:pStyle w:val="28"/>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9" w:type="pct"/>
            <w:vMerge w:val="continue"/>
            <w:vAlign w:val="center"/>
          </w:tcPr>
          <w:p>
            <w:pPr>
              <w:pStyle w:val="28"/>
              <w:rPr>
                <w:rFonts w:hint="default" w:ascii="Times New Roman" w:hAnsi="Times New Roman" w:eastAsia="宋体" w:cs="Times New Roman"/>
                <w:color w:val="auto"/>
                <w:sz w:val="21"/>
                <w:szCs w:val="21"/>
              </w:rPr>
            </w:pPr>
          </w:p>
        </w:tc>
        <w:tc>
          <w:tcPr>
            <w:tcW w:w="456" w:type="pct"/>
            <w:vMerge w:val="continue"/>
            <w:vAlign w:val="center"/>
          </w:tcPr>
          <w:p>
            <w:pPr>
              <w:pStyle w:val="28"/>
              <w:rPr>
                <w:rFonts w:hint="default" w:ascii="Times New Roman" w:hAnsi="Times New Roman" w:eastAsia="宋体" w:cs="Times New Roman"/>
                <w:color w:val="auto"/>
                <w:sz w:val="21"/>
                <w:szCs w:val="21"/>
              </w:rPr>
            </w:pPr>
          </w:p>
        </w:tc>
        <w:tc>
          <w:tcPr>
            <w:tcW w:w="663" w:type="pct"/>
            <w:vAlign w:val="center"/>
          </w:tcPr>
          <w:p>
            <w:pPr>
              <w:snapToGrid w:val="0"/>
              <w:spacing w:line="240" w:lineRule="auto"/>
              <w:ind w:left="-140" w:leftChars="-50" w:right="-140" w:rightChars="-50" w:firstLine="0" w:firstLineChars="0"/>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SO</w:t>
            </w:r>
            <w:r>
              <w:rPr>
                <w:rFonts w:hint="eastAsia" w:cs="Times New Roman"/>
                <w:color w:val="auto"/>
                <w:sz w:val="21"/>
                <w:szCs w:val="21"/>
                <w:vertAlign w:val="subscript"/>
                <w:lang w:val="en-US" w:eastAsia="zh-CN"/>
              </w:rPr>
              <w:t>2</w:t>
            </w:r>
          </w:p>
        </w:tc>
        <w:tc>
          <w:tcPr>
            <w:tcW w:w="522" w:type="pct"/>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0.013</w:t>
            </w:r>
          </w:p>
        </w:tc>
        <w:tc>
          <w:tcPr>
            <w:tcW w:w="373" w:type="pct"/>
            <w:vMerge w:val="continue"/>
            <w:vAlign w:val="center"/>
          </w:tcPr>
          <w:p>
            <w:pPr>
              <w:pStyle w:val="28"/>
              <w:spacing w:line="240" w:lineRule="auto"/>
              <w:rPr>
                <w:rFonts w:hint="default" w:ascii="Times New Roman" w:hAnsi="Times New Roman" w:eastAsia="宋体" w:cs="Times New Roman"/>
                <w:color w:val="auto"/>
                <w:sz w:val="21"/>
                <w:szCs w:val="21"/>
              </w:rPr>
            </w:pPr>
          </w:p>
        </w:tc>
        <w:tc>
          <w:tcPr>
            <w:tcW w:w="637" w:type="pct"/>
            <w:vAlign w:val="center"/>
          </w:tcPr>
          <w:p>
            <w:pPr>
              <w:spacing w:line="240" w:lineRule="auto"/>
              <w:ind w:left="0" w:leftChars="0" w:firstLine="0" w:firstLineChars="0"/>
              <w:jc w:val="center"/>
              <w:rPr>
                <w:rFonts w:hint="default" w:ascii="Times New Roman" w:hAnsi="Times New Roman" w:eastAsia="宋体" w:cs="Times New Roman"/>
                <w:snapToGrid w:val="0"/>
                <w:color w:val="auto"/>
                <w:sz w:val="21"/>
                <w:szCs w:val="21"/>
                <w:lang w:val="en-US" w:eastAsia="zh-CN" w:bidi="ar-SA"/>
              </w:rPr>
            </w:pPr>
            <w:r>
              <w:rPr>
                <w:rFonts w:hint="eastAsia" w:ascii="Times New Roman" w:hAnsi="Times New Roman" w:eastAsia="宋体" w:cs="Times New Roman"/>
                <w:snapToGrid w:val="0"/>
                <w:color w:val="auto"/>
                <w:sz w:val="21"/>
                <w:szCs w:val="21"/>
                <w:lang w:val="en-US" w:eastAsia="zh-CN" w:bidi="ar-SA"/>
              </w:rPr>
              <w:t>ND</w:t>
            </w:r>
          </w:p>
        </w:tc>
        <w:tc>
          <w:tcPr>
            <w:tcW w:w="572"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1541</w:t>
            </w:r>
          </w:p>
        </w:tc>
        <w:tc>
          <w:tcPr>
            <w:tcW w:w="496" w:type="pct"/>
            <w:vMerge w:val="continue"/>
            <w:vAlign w:val="center"/>
          </w:tcPr>
          <w:p>
            <w:pPr>
              <w:pStyle w:val="28"/>
              <w:spacing w:line="240" w:lineRule="auto"/>
              <w:rPr>
                <w:rFonts w:hint="eastAsia" w:ascii="Times New Roman" w:hAnsi="Times New Roman" w:eastAsia="宋体" w:cs="Times New Roman"/>
                <w:color w:val="auto"/>
                <w:sz w:val="21"/>
                <w:szCs w:val="21"/>
                <w:lang w:val="en-US" w:eastAsia="zh-CN"/>
              </w:rPr>
            </w:pPr>
          </w:p>
        </w:tc>
        <w:tc>
          <w:tcPr>
            <w:tcW w:w="575"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0.0023*</w:t>
            </w:r>
          </w:p>
        </w:tc>
        <w:tc>
          <w:tcPr>
            <w:tcW w:w="473" w:type="pct"/>
            <w:vAlign w:val="center"/>
          </w:tcPr>
          <w:p>
            <w:pPr>
              <w:spacing w:line="240" w:lineRule="auto"/>
              <w:ind w:left="0" w:leftChars="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9" w:type="pct"/>
            <w:vMerge w:val="continue"/>
            <w:vAlign w:val="center"/>
          </w:tcPr>
          <w:p>
            <w:pPr>
              <w:pStyle w:val="28"/>
              <w:rPr>
                <w:rFonts w:hint="default" w:ascii="Times New Roman" w:hAnsi="Times New Roman" w:eastAsia="宋体" w:cs="Times New Roman"/>
                <w:color w:val="auto"/>
                <w:sz w:val="21"/>
                <w:szCs w:val="21"/>
              </w:rPr>
            </w:pPr>
          </w:p>
        </w:tc>
        <w:tc>
          <w:tcPr>
            <w:tcW w:w="456" w:type="pct"/>
            <w:vMerge w:val="continue"/>
            <w:vAlign w:val="center"/>
          </w:tcPr>
          <w:p>
            <w:pPr>
              <w:pStyle w:val="28"/>
              <w:rPr>
                <w:rFonts w:hint="default" w:ascii="Times New Roman" w:hAnsi="Times New Roman" w:eastAsia="宋体" w:cs="Times New Roman"/>
                <w:color w:val="auto"/>
                <w:sz w:val="21"/>
                <w:szCs w:val="21"/>
              </w:rPr>
            </w:pPr>
          </w:p>
        </w:tc>
        <w:tc>
          <w:tcPr>
            <w:tcW w:w="663" w:type="pct"/>
            <w:vAlign w:val="center"/>
          </w:tcPr>
          <w:p>
            <w:pPr>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NO</w:t>
            </w:r>
            <w:r>
              <w:rPr>
                <w:rFonts w:hint="eastAsia" w:cs="Times New Roman"/>
                <w:color w:val="auto"/>
                <w:sz w:val="21"/>
                <w:szCs w:val="21"/>
                <w:vertAlign w:val="subscript"/>
                <w:lang w:val="en-US" w:eastAsia="zh-CN"/>
              </w:rPr>
              <w:t>X</w:t>
            </w:r>
          </w:p>
        </w:tc>
        <w:tc>
          <w:tcPr>
            <w:tcW w:w="522" w:type="pct"/>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0.023</w:t>
            </w:r>
          </w:p>
        </w:tc>
        <w:tc>
          <w:tcPr>
            <w:tcW w:w="373" w:type="pct"/>
            <w:vMerge w:val="continue"/>
            <w:vAlign w:val="center"/>
          </w:tcPr>
          <w:p>
            <w:pPr>
              <w:pStyle w:val="28"/>
              <w:spacing w:line="240" w:lineRule="auto"/>
              <w:rPr>
                <w:rFonts w:hint="default" w:ascii="Times New Roman" w:hAnsi="Times New Roman" w:eastAsia="宋体" w:cs="Times New Roman"/>
                <w:color w:val="auto"/>
                <w:sz w:val="21"/>
                <w:szCs w:val="21"/>
              </w:rPr>
            </w:pPr>
          </w:p>
        </w:tc>
        <w:tc>
          <w:tcPr>
            <w:tcW w:w="637" w:type="pct"/>
            <w:vAlign w:val="center"/>
          </w:tcPr>
          <w:p>
            <w:pPr>
              <w:spacing w:line="240" w:lineRule="auto"/>
              <w:ind w:left="0" w:leftChars="0" w:firstLine="0" w:firstLineChars="0"/>
              <w:jc w:val="center"/>
              <w:rPr>
                <w:rFonts w:hint="default" w:ascii="Times New Roman" w:hAnsi="Times New Roman" w:eastAsia="宋体" w:cs="Times New Roman"/>
                <w:snapToGrid w:val="0"/>
                <w:color w:val="auto"/>
                <w:sz w:val="21"/>
                <w:szCs w:val="21"/>
                <w:lang w:val="en-US" w:eastAsia="zh-CN" w:bidi="ar-SA"/>
              </w:rPr>
            </w:pPr>
            <w:r>
              <w:rPr>
                <w:rFonts w:hint="eastAsia" w:ascii="Times New Roman" w:hAnsi="Times New Roman" w:eastAsia="宋体" w:cs="Times New Roman"/>
                <w:snapToGrid w:val="0"/>
                <w:color w:val="auto"/>
                <w:sz w:val="21"/>
                <w:szCs w:val="21"/>
                <w:lang w:val="en-US" w:eastAsia="zh-CN" w:bidi="ar-SA"/>
              </w:rPr>
              <w:t>ND</w:t>
            </w:r>
          </w:p>
        </w:tc>
        <w:tc>
          <w:tcPr>
            <w:tcW w:w="572"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1541</w:t>
            </w:r>
          </w:p>
        </w:tc>
        <w:tc>
          <w:tcPr>
            <w:tcW w:w="496" w:type="pct"/>
            <w:vMerge w:val="continue"/>
            <w:vAlign w:val="center"/>
          </w:tcPr>
          <w:p>
            <w:pPr>
              <w:pStyle w:val="28"/>
              <w:spacing w:line="240" w:lineRule="auto"/>
              <w:rPr>
                <w:rFonts w:hint="default" w:ascii="Times New Roman" w:hAnsi="Times New Roman" w:eastAsia="宋体" w:cs="Times New Roman"/>
                <w:color w:val="auto"/>
                <w:sz w:val="21"/>
                <w:szCs w:val="21"/>
              </w:rPr>
            </w:pPr>
          </w:p>
        </w:tc>
        <w:tc>
          <w:tcPr>
            <w:tcW w:w="575" w:type="pct"/>
            <w:vAlign w:val="center"/>
          </w:tcPr>
          <w:p>
            <w:pPr>
              <w:pStyle w:val="28"/>
              <w:spacing w:line="240" w:lineRule="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0.0023*</w:t>
            </w:r>
          </w:p>
        </w:tc>
        <w:tc>
          <w:tcPr>
            <w:tcW w:w="473" w:type="pct"/>
            <w:vAlign w:val="center"/>
          </w:tcPr>
          <w:p>
            <w:pPr>
              <w:spacing w:line="240" w:lineRule="auto"/>
              <w:ind w:left="0" w:leftChars="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bl>
    <w:p>
      <w:pPr>
        <w:pStyle w:val="29"/>
        <w:keepNext w:val="0"/>
        <w:keepLines w:val="0"/>
        <w:pageBreakBefore w:val="0"/>
        <w:widowControl/>
        <w:kinsoku/>
        <w:wordWrap/>
        <w:overflowPunct/>
        <w:topLinePunct w:val="0"/>
        <w:autoSpaceDE/>
        <w:autoSpaceDN/>
        <w:bidi w:val="0"/>
        <w:adjustRightInd w:val="0"/>
        <w:snapToGrid w:val="0"/>
        <w:spacing w:beforeLines="0" w:line="240" w:lineRule="auto"/>
        <w:jc w:val="left"/>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注：</w:t>
      </w:r>
      <w:r>
        <w:rPr>
          <w:rFonts w:hint="eastAsia" w:cs="Times New Roman"/>
          <w:color w:val="auto"/>
          <w:sz w:val="18"/>
          <w:szCs w:val="18"/>
          <w:lang w:val="en-US" w:eastAsia="zh-CN"/>
        </w:rPr>
        <w:t>ND表示未检出，甲醇</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0.1</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lang w:val="en-US" w:eastAsia="zh-CN"/>
        </w:rPr>
        <w:t>，颗粒物</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1.0</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vertAlign w:val="baseline"/>
          <w:lang w:eastAsia="zh-CN"/>
        </w:rPr>
        <w:t>，</w:t>
      </w:r>
      <w:r>
        <w:rPr>
          <w:rFonts w:hint="eastAsia" w:cs="Times New Roman"/>
          <w:color w:val="auto"/>
          <w:sz w:val="18"/>
          <w:szCs w:val="18"/>
          <w:lang w:val="en-US" w:eastAsia="zh-CN"/>
        </w:rPr>
        <w:t>二氧化硫</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3</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vertAlign w:val="baseline"/>
          <w:lang w:eastAsia="zh-CN"/>
        </w:rPr>
        <w:t>，</w:t>
      </w:r>
      <w:r>
        <w:rPr>
          <w:rFonts w:hint="eastAsia" w:cs="Times New Roman"/>
          <w:color w:val="auto"/>
          <w:sz w:val="18"/>
          <w:szCs w:val="18"/>
          <w:lang w:val="en-US" w:eastAsia="zh-CN"/>
        </w:rPr>
        <w:t>甲氮氧化物</w:t>
      </w:r>
      <w:r>
        <w:rPr>
          <w:rFonts w:hint="default" w:ascii="Times New Roman" w:hAnsi="Times New Roman" w:eastAsia="宋体" w:cs="Times New Roman"/>
          <w:color w:val="auto"/>
          <w:sz w:val="18"/>
          <w:szCs w:val="18"/>
        </w:rPr>
        <w:t>检出限为</w:t>
      </w:r>
      <w:r>
        <w:rPr>
          <w:rFonts w:hint="eastAsia" w:cs="Times New Roman"/>
          <w:color w:val="auto"/>
          <w:sz w:val="18"/>
          <w:szCs w:val="18"/>
          <w:lang w:val="en-US" w:eastAsia="zh-CN"/>
        </w:rPr>
        <w:t>3</w:t>
      </w:r>
      <w:r>
        <w:rPr>
          <w:rFonts w:hint="default" w:ascii="Times New Roman" w:hAnsi="Times New Roman" w:eastAsia="宋体" w:cs="Times New Roman"/>
          <w:color w:val="auto"/>
          <w:sz w:val="18"/>
          <w:szCs w:val="18"/>
        </w:rPr>
        <w:t>mg/m</w:t>
      </w:r>
      <w:r>
        <w:rPr>
          <w:rFonts w:hint="default" w:ascii="Times New Roman" w:hAnsi="Times New Roman" w:eastAsia="宋体" w:cs="Times New Roman"/>
          <w:color w:val="auto"/>
          <w:sz w:val="18"/>
          <w:szCs w:val="18"/>
          <w:vertAlign w:val="superscript"/>
        </w:rPr>
        <w:t>3</w:t>
      </w:r>
      <w:r>
        <w:rPr>
          <w:rFonts w:hint="eastAsia" w:cs="Times New Roman"/>
          <w:color w:val="auto"/>
          <w:sz w:val="18"/>
          <w:szCs w:val="18"/>
          <w:vertAlign w:val="baseline"/>
          <w:lang w:val="en-US" w:eastAsia="zh-CN"/>
        </w:rPr>
        <w:t>。*表示按照检出限的</w:t>
      </w:r>
      <w:r>
        <w:rPr>
          <w:rFonts w:hint="eastAsia" w:cs="Times New Roman"/>
          <w:color w:val="auto"/>
          <w:sz w:val="28"/>
          <w:szCs w:val="28"/>
          <w:vertAlign w:val="baseline"/>
          <w:lang w:val="en-US" w:eastAsia="zh-CN"/>
        </w:rPr>
        <w:t>½</w:t>
      </w:r>
      <w:r>
        <w:rPr>
          <w:rFonts w:hint="eastAsia" w:cs="Times New Roman"/>
          <w:color w:val="auto"/>
          <w:sz w:val="18"/>
          <w:szCs w:val="18"/>
          <w:vertAlign w:val="baseline"/>
          <w:lang w:val="en-US" w:eastAsia="zh-CN"/>
        </w:rPr>
        <w:t>计算得总量值。</w:t>
      </w:r>
    </w:p>
    <w:p>
      <w:pP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核算结果表明，验收项目排放的废气污染物均能满足总量控制要求。</w:t>
      </w:r>
    </w:p>
    <w:p>
      <w:pPr>
        <w:rPr>
          <w:rFonts w:hint="default" w:ascii="Times New Roman" w:hAnsi="Times New Roman" w:eastAsia="宋体" w:cs="Times New Roman"/>
          <w:color w:val="FF0000"/>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3"/>
        <w:pageBreakBefore w:val="0"/>
        <w:widowControl w:val="0"/>
        <w:kinsoku/>
        <w:wordWrap/>
        <w:overflowPunct/>
        <w:topLinePunct w:val="0"/>
        <w:autoSpaceDE w:val="0"/>
        <w:autoSpaceDN w:val="0"/>
        <w:bidi w:val="0"/>
        <w:adjustRightInd/>
        <w:snapToGrid/>
        <w:spacing w:beforeLines="0" w:afterLines="0"/>
        <w:textAlignment w:val="auto"/>
        <w:rPr>
          <w:rFonts w:hint="default" w:ascii="Times New Roman" w:hAnsi="Times New Roman" w:eastAsia="宋体" w:cs="Times New Roman"/>
          <w:color w:val="auto"/>
        </w:rPr>
      </w:pPr>
      <w:bookmarkStart w:id="56" w:name="_Toc26786"/>
      <w:r>
        <w:rPr>
          <w:rFonts w:hint="default" w:ascii="Times New Roman" w:hAnsi="Times New Roman" w:eastAsia="宋体" w:cs="Times New Roman"/>
          <w:color w:val="auto"/>
        </w:rPr>
        <w:t>10 验收监测结论</w:t>
      </w:r>
      <w:bookmarkEnd w:id="56"/>
    </w:p>
    <w:p>
      <w:pPr>
        <w:pStyle w:val="4"/>
        <w:pageBreakBefore w:val="0"/>
        <w:widowControl w:val="0"/>
        <w:kinsoku/>
        <w:wordWrap/>
        <w:overflowPunct/>
        <w:topLinePunct w:val="0"/>
        <w:autoSpaceDE w:val="0"/>
        <w:autoSpaceDN w:val="0"/>
        <w:bidi w:val="0"/>
        <w:adjustRightInd w:val="0"/>
        <w:snapToGrid w:val="0"/>
        <w:spacing w:beforeLines="0" w:afterLines="0" w:line="360" w:lineRule="auto"/>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10.1</w:t>
      </w:r>
      <w:r>
        <w:rPr>
          <w:rFonts w:hint="default" w:ascii="Times New Roman" w:hAnsi="Times New Roman" w:eastAsia="宋体" w:cs="Times New Roman"/>
          <w:color w:val="auto"/>
        </w:rPr>
        <w:t>环保设施调试</w:t>
      </w:r>
      <w:r>
        <w:rPr>
          <w:rFonts w:hint="eastAsia" w:ascii="Times New Roman" w:hAnsi="Times New Roman" w:eastAsia="宋体" w:cs="Times New Roman"/>
          <w:color w:val="auto"/>
          <w:lang w:val="en-US" w:eastAsia="zh-CN"/>
        </w:rPr>
        <w:t>运行</w:t>
      </w:r>
      <w:r>
        <w:rPr>
          <w:rFonts w:hint="default" w:ascii="Times New Roman" w:hAnsi="Times New Roman" w:eastAsia="宋体" w:cs="Times New Roman"/>
          <w:color w:val="auto"/>
        </w:rPr>
        <w:t>结果</w:t>
      </w:r>
    </w:p>
    <w:p>
      <w:pPr>
        <w:pageBreakBefore w:val="0"/>
        <w:widowControl w:val="0"/>
        <w:kinsoku/>
        <w:wordWrap/>
        <w:overflowPunct/>
        <w:topLinePunct w:val="0"/>
        <w:autoSpaceDE w:val="0"/>
        <w:autoSpaceDN w:val="0"/>
        <w:bidi w:val="0"/>
        <w:adjustRightInd w:val="0"/>
        <w:snapToGrid w:val="0"/>
        <w:spacing w:after="0" w:line="360" w:lineRule="auto"/>
        <w:ind w:firstLine="422" w:firstLineChars="200"/>
        <w:jc w:val="both"/>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b/>
          <w:color w:val="auto"/>
          <w:sz w:val="21"/>
          <w:szCs w:val="21"/>
          <w:lang w:val="en-US" w:eastAsia="zh-CN"/>
        </w:rPr>
        <w:t>1、环保设施处理效率监测结</w:t>
      </w:r>
      <w:r>
        <w:rPr>
          <w:rFonts w:hint="eastAsia" w:ascii="Times New Roman" w:hAnsi="Times New Roman" w:eastAsia="宋体"/>
          <w:b/>
          <w:color w:val="auto"/>
          <w:sz w:val="21"/>
          <w:szCs w:val="21"/>
          <w:highlight w:val="none"/>
          <w:lang w:val="en-US" w:eastAsia="zh-CN"/>
        </w:rPr>
        <w:t>果</w:t>
      </w:r>
    </w:p>
    <w:p>
      <w:pPr>
        <w:keepNext w:val="0"/>
        <w:keepLines w:val="0"/>
        <w:pageBreakBefore w:val="0"/>
        <w:widowControl w:val="0"/>
        <w:kinsoku/>
        <w:wordWrap/>
        <w:overflowPunct/>
        <w:topLinePunct w:val="0"/>
        <w:autoSpaceDE w:val="0"/>
        <w:autoSpaceDN w:val="0"/>
        <w:bidi w:val="0"/>
        <w:adjustRightInd w:val="0"/>
        <w:snapToGrid w:val="0"/>
        <w:spacing w:after="0" w:line="360" w:lineRule="auto"/>
        <w:ind w:firstLine="420" w:firstLineChars="200"/>
        <w:jc w:val="both"/>
        <w:textAlignment w:val="auto"/>
        <w:rPr>
          <w:rFonts w:hint="eastAsia"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eastAsia="zh-CN"/>
        </w:rPr>
        <w:t>江苏蓝天环境检测技术有限公司</w:t>
      </w:r>
      <w:r>
        <w:rPr>
          <w:rFonts w:ascii="Times New Roman" w:hAnsi="Times New Roman" w:eastAsia="宋体"/>
          <w:color w:val="auto"/>
          <w:sz w:val="21"/>
          <w:szCs w:val="21"/>
          <w:highlight w:val="none"/>
        </w:rPr>
        <w:t>于202</w:t>
      </w:r>
      <w:r>
        <w:rPr>
          <w:rFonts w:hint="eastAsia" w:ascii="Times New Roman" w:hAnsi="Times New Roman" w:eastAsia="宋体"/>
          <w:color w:val="auto"/>
          <w:sz w:val="21"/>
          <w:szCs w:val="21"/>
          <w:highlight w:val="none"/>
          <w:lang w:val="en-US" w:eastAsia="zh-CN"/>
        </w:rPr>
        <w:t>3</w:t>
      </w:r>
      <w:r>
        <w:rPr>
          <w:rFonts w:ascii="Times New Roman" w:hAnsi="Times New Roman" w:eastAsia="宋体"/>
          <w:color w:val="auto"/>
          <w:sz w:val="21"/>
          <w:szCs w:val="21"/>
          <w:highlight w:val="none"/>
        </w:rPr>
        <w:t>年</w:t>
      </w:r>
      <w:r>
        <w:rPr>
          <w:rFonts w:hint="eastAsia" w:ascii="Times New Roman" w:hAnsi="Times New Roman" w:eastAsia="宋体"/>
          <w:color w:val="auto"/>
          <w:sz w:val="21"/>
          <w:szCs w:val="21"/>
          <w:highlight w:val="none"/>
          <w:lang w:val="en-US" w:eastAsia="zh-CN"/>
        </w:rPr>
        <w:t>2</w:t>
      </w:r>
      <w:r>
        <w:rPr>
          <w:rFonts w:ascii="Times New Roman" w:hAnsi="Times New Roman" w:eastAsia="宋体"/>
          <w:color w:val="auto"/>
          <w:sz w:val="21"/>
          <w:szCs w:val="21"/>
          <w:highlight w:val="none"/>
        </w:rPr>
        <w:t>月</w:t>
      </w:r>
      <w:r>
        <w:rPr>
          <w:rFonts w:hint="eastAsia" w:ascii="Times New Roman" w:hAnsi="Times New Roman" w:eastAsia="宋体"/>
          <w:color w:val="auto"/>
          <w:sz w:val="21"/>
          <w:szCs w:val="21"/>
          <w:highlight w:val="none"/>
          <w:lang w:val="en-US" w:eastAsia="zh-CN"/>
        </w:rPr>
        <w:t>10</w:t>
      </w:r>
      <w:r>
        <w:rPr>
          <w:rFonts w:ascii="Times New Roman" w:hAnsi="Times New Roman" w:eastAsia="宋体"/>
          <w:color w:val="auto"/>
          <w:sz w:val="21"/>
          <w:szCs w:val="21"/>
          <w:highlight w:val="none"/>
        </w:rPr>
        <w:t>日~</w:t>
      </w:r>
      <w:r>
        <w:rPr>
          <w:rFonts w:hint="eastAsia" w:ascii="Times New Roman" w:hAnsi="Times New Roman" w:eastAsia="宋体"/>
          <w:color w:val="auto"/>
          <w:sz w:val="21"/>
          <w:szCs w:val="21"/>
          <w:highlight w:val="none"/>
          <w:lang w:val="en-US" w:eastAsia="zh-CN"/>
        </w:rPr>
        <w:t>2</w:t>
      </w:r>
      <w:r>
        <w:rPr>
          <w:rFonts w:ascii="Times New Roman" w:hAnsi="Times New Roman" w:eastAsia="宋体"/>
          <w:color w:val="auto"/>
          <w:sz w:val="21"/>
          <w:szCs w:val="21"/>
          <w:highlight w:val="none"/>
        </w:rPr>
        <w:t>月</w:t>
      </w:r>
      <w:r>
        <w:rPr>
          <w:rFonts w:hint="eastAsia" w:ascii="Times New Roman" w:hAnsi="Times New Roman" w:eastAsia="宋体"/>
          <w:color w:val="auto"/>
          <w:sz w:val="21"/>
          <w:szCs w:val="21"/>
          <w:highlight w:val="none"/>
          <w:lang w:val="en-US" w:eastAsia="zh-CN"/>
        </w:rPr>
        <w:t>11</w:t>
      </w:r>
      <w:r>
        <w:rPr>
          <w:rFonts w:ascii="Times New Roman" w:hAnsi="Times New Roman" w:eastAsia="宋体"/>
          <w:color w:val="auto"/>
          <w:sz w:val="21"/>
          <w:szCs w:val="21"/>
          <w:highlight w:val="none"/>
        </w:rPr>
        <w:t>日对</w:t>
      </w:r>
      <w:r>
        <w:rPr>
          <w:rFonts w:hint="default" w:ascii="Times New Roman" w:hAnsi="Times New Roman" w:eastAsia="宋体" w:cs="Times New Roman"/>
          <w:color w:val="auto"/>
          <w:sz w:val="21"/>
          <w:szCs w:val="21"/>
          <w:highlight w:val="none"/>
          <w:lang w:eastAsia="zh-CN"/>
        </w:rPr>
        <w:t>缔壹电工科技（江苏）有限公司</w:t>
      </w:r>
      <w:r>
        <w:rPr>
          <w:rFonts w:hint="eastAsia" w:cs="Times New Roman"/>
          <w:color w:val="auto"/>
          <w:sz w:val="21"/>
          <w:szCs w:val="21"/>
          <w:highlight w:val="none"/>
          <w:lang w:eastAsia="zh-CN"/>
        </w:rPr>
        <w:t>缔壹电工科技锂电池胶带项目</w:t>
      </w:r>
      <w:r>
        <w:rPr>
          <w:rFonts w:ascii="Times New Roman" w:hAnsi="Times New Roman" w:eastAsia="宋体"/>
          <w:color w:val="auto"/>
          <w:sz w:val="21"/>
          <w:szCs w:val="21"/>
          <w:highlight w:val="none"/>
        </w:rPr>
        <w:t>进行了现场验收监测，监测期间各项环保治理设施正常运行，符合验收监测要求</w:t>
      </w:r>
      <w:r>
        <w:rPr>
          <w:rFonts w:hint="eastAsia" w:ascii="Times New Roman" w:hAnsi="Times New Roman" w:eastAsia="宋体"/>
          <w:color w:val="auto"/>
          <w:sz w:val="21"/>
          <w:szCs w:val="21"/>
          <w:highlight w:val="none"/>
        </w:rPr>
        <w:t>。</w:t>
      </w:r>
      <w:r>
        <w:rPr>
          <w:rFonts w:hint="eastAsia" w:ascii="Times New Roman" w:hAnsi="Times New Roman" w:eastAsia="宋体"/>
          <w:color w:val="auto"/>
          <w:sz w:val="21"/>
          <w:szCs w:val="21"/>
          <w:highlight w:val="none"/>
          <w:lang w:val="en-US" w:eastAsia="zh-CN"/>
        </w:rPr>
        <w:t>根据表9-2可知，项目废气处理设施旋转式RTO设备的处理效率达到97.5%以上，满足环评中设计要求。</w:t>
      </w:r>
    </w:p>
    <w:p>
      <w:pPr>
        <w:keepNext w:val="0"/>
        <w:keepLines w:val="0"/>
        <w:pageBreakBefore w:val="0"/>
        <w:widowControl w:val="0"/>
        <w:kinsoku/>
        <w:wordWrap/>
        <w:overflowPunct/>
        <w:topLinePunct w:val="0"/>
        <w:autoSpaceDE w:val="0"/>
        <w:autoSpaceDN w:val="0"/>
        <w:bidi w:val="0"/>
        <w:adjustRightInd w:val="0"/>
        <w:snapToGrid w:val="0"/>
        <w:spacing w:after="0" w:line="360" w:lineRule="auto"/>
        <w:ind w:firstLine="422" w:firstLineChars="200"/>
        <w:jc w:val="both"/>
        <w:textAlignment w:val="auto"/>
        <w:rPr>
          <w:rFonts w:hint="default"/>
          <w:highlight w:val="none"/>
          <w:lang w:val="en-US" w:eastAsia="zh-CN"/>
        </w:rPr>
      </w:pPr>
      <w:r>
        <w:rPr>
          <w:rFonts w:hint="eastAsia" w:ascii="Times New Roman" w:hAnsi="Times New Roman" w:eastAsia="宋体" w:cs="Times New Roman"/>
          <w:b/>
          <w:color w:val="auto"/>
          <w:sz w:val="21"/>
          <w:szCs w:val="21"/>
          <w:highlight w:val="none"/>
          <w:lang w:val="en-US" w:eastAsia="zh-CN"/>
        </w:rPr>
        <w:t>2、污染物排放监测结果</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项目验收监测期间生产工况稳定，各项环境保护设施运行正常。验收监测工作严格按照有关规定进行，验收监测结果如下：</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1、废水</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验收监测期间，</w:t>
      </w:r>
      <w:r>
        <w:rPr>
          <w:rFonts w:hint="eastAsia" w:ascii="Times New Roman" w:hAnsi="Times New Roman" w:eastAsia="宋体" w:cs="Times New Roman"/>
          <w:color w:val="auto"/>
          <w:sz w:val="21"/>
          <w:szCs w:val="21"/>
          <w:lang w:val="en-US" w:eastAsia="zh-CN"/>
        </w:rPr>
        <w:t>项目废水仅为生活污水，经化粪池预处理后接入市政污水管网，进入金坛区第二污水处理厂集中处理，</w:t>
      </w:r>
      <w:r>
        <w:rPr>
          <w:rFonts w:hint="eastAsia" w:ascii="Times New Roman" w:hAnsi="Times New Roman" w:eastAsia="宋体" w:cs="Times New Roman"/>
          <w:color w:val="auto"/>
          <w:sz w:val="21"/>
          <w:szCs w:val="21"/>
          <w:lang w:eastAsia="zh-CN"/>
        </w:rPr>
        <w:t>厂区污水总排口中污染物浓度均能达到金坛区第二污水处理厂接管标准。</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2、废气</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验收监测期间，项目甲苯</w:t>
      </w:r>
      <w:r>
        <w:rPr>
          <w:rFonts w:hint="eastAsia" w:ascii="Times New Roman" w:hAnsi="Times New Roman" w:eastAsia="宋体" w:cs="Times New Roman"/>
          <w:color w:val="auto"/>
          <w:sz w:val="21"/>
          <w:szCs w:val="21"/>
          <w:lang w:eastAsia="zh-CN"/>
        </w:rPr>
        <w:t>、甲醇</w:t>
      </w:r>
      <w:r>
        <w:rPr>
          <w:rFonts w:hint="eastAsia" w:ascii="Times New Roman" w:hAnsi="Times New Roman" w:eastAsia="宋体" w:cs="Times New Roman"/>
          <w:color w:val="auto"/>
          <w:sz w:val="21"/>
          <w:szCs w:val="21"/>
          <w:lang w:val="en-US" w:eastAsia="zh-CN"/>
        </w:rPr>
        <w:t>有组织及厂界无组织排放满足</w:t>
      </w:r>
      <w:r>
        <w:rPr>
          <w:rFonts w:hint="default" w:ascii="Times New Roman" w:hAnsi="Times New Roman" w:eastAsia="宋体" w:cs="Times New Roman"/>
          <w:color w:val="auto"/>
          <w:sz w:val="21"/>
          <w:szCs w:val="21"/>
          <w:lang w:eastAsia="zh-CN"/>
        </w:rPr>
        <w:t>《大气污染物综合排放标准》（DB32/4041-2021）表1</w:t>
      </w:r>
      <w:r>
        <w:rPr>
          <w:rFonts w:hint="eastAsia" w:ascii="Times New Roman" w:hAnsi="Times New Roman" w:eastAsia="宋体" w:cs="Times New Roman"/>
          <w:color w:val="auto"/>
          <w:sz w:val="21"/>
          <w:szCs w:val="21"/>
          <w:lang w:val="en-US" w:eastAsia="zh-CN"/>
        </w:rPr>
        <w:t>和表3</w:t>
      </w:r>
      <w:r>
        <w:rPr>
          <w:rFonts w:hint="default" w:ascii="Times New Roman" w:hAnsi="Times New Roman" w:eastAsia="宋体" w:cs="Times New Roman"/>
          <w:color w:val="auto"/>
          <w:sz w:val="21"/>
          <w:szCs w:val="21"/>
          <w:lang w:eastAsia="zh-CN"/>
        </w:rPr>
        <w:t>中标准</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非甲烷总烃有组织及厂界无组织排放满足</w:t>
      </w:r>
      <w:r>
        <w:rPr>
          <w:rFonts w:hint="default"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eastAsia="zh-CN"/>
        </w:rPr>
        <w:t>合成树脂工业污染物</w:t>
      </w:r>
      <w:r>
        <w:rPr>
          <w:rFonts w:hint="default" w:ascii="Times New Roman" w:hAnsi="Times New Roman" w:eastAsia="宋体" w:cs="Times New Roman"/>
          <w:color w:val="auto"/>
          <w:sz w:val="21"/>
          <w:szCs w:val="21"/>
          <w:lang w:eastAsia="zh-CN"/>
        </w:rPr>
        <w:t>排放标准》（GB 31572-2015）表5</w:t>
      </w:r>
      <w:r>
        <w:rPr>
          <w:rFonts w:hint="eastAsia" w:ascii="Times New Roman" w:hAnsi="Times New Roman" w:eastAsia="宋体" w:cs="Times New Roman"/>
          <w:color w:val="auto"/>
          <w:sz w:val="21"/>
          <w:szCs w:val="21"/>
          <w:lang w:eastAsia="zh-CN"/>
        </w:rPr>
        <w:t>大气污染物特别排放限值中非甲烷总烃</w:t>
      </w:r>
      <w:r>
        <w:rPr>
          <w:rFonts w:hint="default" w:ascii="Times New Roman" w:hAnsi="Times New Roman" w:eastAsia="宋体" w:cs="Times New Roman"/>
          <w:color w:val="auto"/>
          <w:sz w:val="21"/>
          <w:szCs w:val="21"/>
          <w:lang w:eastAsia="zh-CN"/>
        </w:rPr>
        <w:t>标准</w:t>
      </w:r>
      <w:r>
        <w:rPr>
          <w:rFonts w:hint="eastAsia" w:ascii="Times New Roman" w:hAnsi="Times New Roman" w:eastAsia="宋体" w:cs="Times New Roman"/>
          <w:color w:val="auto"/>
          <w:sz w:val="21"/>
          <w:szCs w:val="21"/>
          <w:lang w:eastAsia="zh-CN"/>
        </w:rPr>
        <w:t>；颗粒物</w:t>
      </w:r>
      <w:r>
        <w:rPr>
          <w:rFonts w:hint="default" w:ascii="Times New Roman" w:hAnsi="Times New Roman" w:eastAsia="宋体" w:cs="Times New Roman"/>
          <w:color w:val="auto"/>
          <w:sz w:val="21"/>
          <w:szCs w:val="21"/>
          <w:lang w:eastAsia="zh-CN"/>
        </w:rPr>
        <w:t>、SO</w:t>
      </w:r>
      <w:r>
        <w:rPr>
          <w:rFonts w:hint="default" w:ascii="Times New Roman" w:hAnsi="Times New Roman" w:eastAsia="宋体" w:cs="Times New Roman"/>
          <w:color w:val="auto"/>
          <w:sz w:val="21"/>
          <w:szCs w:val="21"/>
          <w:vertAlign w:val="subscript"/>
          <w:lang w:eastAsia="zh-CN"/>
        </w:rPr>
        <w:t>2</w:t>
      </w:r>
      <w:r>
        <w:rPr>
          <w:rFonts w:hint="eastAsia" w:cs="Times New Roman"/>
          <w:color w:val="auto"/>
          <w:sz w:val="21"/>
          <w:szCs w:val="21"/>
          <w:lang w:val="en-US" w:eastAsia="zh-CN"/>
        </w:rPr>
        <w:t>以及氮氧化物</w:t>
      </w:r>
      <w:r>
        <w:rPr>
          <w:rFonts w:hint="eastAsia" w:ascii="Times New Roman" w:hAnsi="Times New Roman" w:eastAsia="宋体" w:cs="Times New Roman"/>
          <w:color w:val="auto"/>
          <w:sz w:val="21"/>
          <w:szCs w:val="21"/>
          <w:lang w:val="en-US" w:eastAsia="zh-CN"/>
        </w:rPr>
        <w:t>排放满足</w:t>
      </w:r>
      <w:r>
        <w:rPr>
          <w:rFonts w:hint="eastAsia"/>
          <w:b w:val="0"/>
          <w:bCs/>
          <w:color w:val="auto"/>
          <w:kern w:val="0"/>
          <w:sz w:val="21"/>
          <w:szCs w:val="21"/>
          <w:highlight w:val="none"/>
        </w:rPr>
        <w:t>《锅炉大气污染物排放标准》（</w:t>
      </w:r>
      <w:r>
        <w:rPr>
          <w:rFonts w:hint="eastAsia"/>
          <w:b w:val="0"/>
          <w:bCs/>
          <w:color w:val="auto"/>
          <w:kern w:val="0"/>
          <w:sz w:val="21"/>
          <w:szCs w:val="21"/>
          <w:highlight w:val="none"/>
          <w:lang w:val="en-US" w:eastAsia="zh-CN"/>
        </w:rPr>
        <w:t>DB32/4385-2022</w:t>
      </w:r>
      <w:r>
        <w:rPr>
          <w:rFonts w:hint="eastAsia"/>
          <w:b w:val="0"/>
          <w:bCs/>
          <w:color w:val="auto"/>
          <w:kern w:val="0"/>
          <w:sz w:val="21"/>
          <w:szCs w:val="21"/>
          <w:highlight w:val="none"/>
        </w:rPr>
        <w:t>）</w:t>
      </w:r>
      <w:r>
        <w:rPr>
          <w:rFonts w:hint="eastAsia"/>
          <w:b w:val="0"/>
          <w:bCs/>
          <w:color w:val="auto"/>
          <w:kern w:val="0"/>
          <w:sz w:val="21"/>
          <w:szCs w:val="21"/>
          <w:highlight w:val="none"/>
          <w:lang w:val="en-US" w:eastAsia="zh-CN"/>
        </w:rPr>
        <w:t>表1</w:t>
      </w:r>
      <w:r>
        <w:rPr>
          <w:rFonts w:hint="eastAsia"/>
          <w:b w:val="0"/>
          <w:bCs/>
          <w:color w:val="auto"/>
          <w:kern w:val="0"/>
          <w:sz w:val="21"/>
          <w:szCs w:val="21"/>
          <w:highlight w:val="none"/>
        </w:rPr>
        <w:t>排放限值</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eastAsia="zh-CN"/>
        </w:rPr>
        <w:t>厂区内无组织排放NMHC</w:t>
      </w:r>
      <w:r>
        <w:rPr>
          <w:rFonts w:hint="eastAsia" w:ascii="Times New Roman" w:hAnsi="Times New Roman" w:eastAsia="宋体" w:cs="Times New Roman"/>
          <w:color w:val="auto"/>
          <w:sz w:val="21"/>
          <w:szCs w:val="21"/>
          <w:lang w:val="en-US" w:eastAsia="zh-CN"/>
        </w:rPr>
        <w:t>满足</w:t>
      </w:r>
      <w:r>
        <w:rPr>
          <w:rFonts w:hint="default" w:ascii="Times New Roman" w:hAnsi="Times New Roman" w:eastAsia="宋体" w:cs="Times New Roman"/>
          <w:color w:val="auto"/>
          <w:sz w:val="21"/>
          <w:szCs w:val="21"/>
          <w:lang w:eastAsia="zh-CN"/>
        </w:rPr>
        <w:t>《大气污染物综合排放标准》（DB32/4041-2021）表2中标准中排放限值。</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3、厂界噪声</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验收监测期间，项目厂界噪声满足《工业企业厂界环境噪声排放标准》（GB 12348-2008）</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lang w:eastAsia="zh-CN"/>
        </w:rPr>
        <w:t>类标准。</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4、固废</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项目固废均合理处置，实现零排放。</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5、</w:t>
      </w:r>
      <w:r>
        <w:rPr>
          <w:rFonts w:hint="eastAsia" w:ascii="Times New Roman" w:hAnsi="Times New Roman" w:eastAsia="宋体"/>
          <w:color w:val="auto"/>
          <w:sz w:val="21"/>
          <w:szCs w:val="21"/>
        </w:rPr>
        <w:t>主要污染物排放总量核算结果及达标情况</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验收监测期间，根据监测结果核算项目废水污染物及废气污染物总量均能满足环评及批复中的污染物总量控制要求。</w:t>
      </w:r>
    </w:p>
    <w:p>
      <w:pPr>
        <w:pStyle w:val="4"/>
        <w:pageBreakBefore w:val="0"/>
        <w:kinsoku/>
        <w:wordWrap/>
        <w:overflowPunct/>
        <w:topLinePunct w:val="0"/>
        <w:bidi w:val="0"/>
        <w:adjustRightInd/>
        <w:snapToGrid/>
        <w:spacing w:beforeLines="0" w:afterLines="0" w:line="360" w:lineRule="auto"/>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10.2与验收合格要求相符性分析</w:t>
      </w:r>
    </w:p>
    <w:p>
      <w:pPr>
        <w:pStyle w:val="11"/>
        <w:keepNext w:val="0"/>
        <w:keepLines w:val="0"/>
        <w:pageBreakBefore w:val="0"/>
        <w:widowControl w:val="0"/>
        <w:kinsoku/>
        <w:wordWrap/>
        <w:overflowPunct/>
        <w:topLinePunct w:val="0"/>
        <w:bidi w:val="0"/>
        <w:adjustRightInd/>
        <w:snapToGrid/>
        <w:spacing w:after="0" w:line="360" w:lineRule="auto"/>
        <w:ind w:firstLine="420" w:firstLineChars="200"/>
        <w:jc w:val="both"/>
        <w:textAlignment w:val="auto"/>
        <w:rPr>
          <w:rFonts w:hint="eastAsia" w:ascii="Times New Roman" w:hAnsi="Times New Roman" w:eastAsia="宋体"/>
          <w:color w:val="auto"/>
          <w:sz w:val="21"/>
          <w:szCs w:val="21"/>
        </w:rPr>
      </w:pPr>
      <w:r>
        <w:rPr>
          <w:rFonts w:hint="eastAsia" w:ascii="Times New Roman" w:hAnsi="Times New Roman" w:eastAsia="宋体"/>
          <w:color w:val="auto"/>
          <w:sz w:val="21"/>
          <w:szCs w:val="21"/>
        </w:rPr>
        <w:t>根据</w:t>
      </w:r>
      <w:r>
        <w:rPr>
          <w:rFonts w:ascii="Times New Roman" w:hAnsi="Times New Roman" w:eastAsia="宋体"/>
          <w:color w:val="auto"/>
          <w:sz w:val="21"/>
          <w:szCs w:val="21"/>
        </w:rPr>
        <w:t>《建设项目竣工环境保护验收暂行办法》中所规定的验收不合格情形对项目逐一对照检查</w:t>
      </w:r>
      <w:r>
        <w:rPr>
          <w:rFonts w:hint="eastAsia" w:ascii="Times New Roman" w:hAnsi="Times New Roman" w:eastAsia="宋体"/>
          <w:color w:val="auto"/>
          <w:sz w:val="21"/>
          <w:szCs w:val="21"/>
        </w:rPr>
        <w:t>，结果见表8-</w:t>
      </w:r>
      <w:r>
        <w:rPr>
          <w:rFonts w:hint="eastAsia" w:ascii="Times New Roman" w:hAnsi="Times New Roman" w:eastAsia="宋体"/>
          <w:color w:val="auto"/>
          <w:sz w:val="21"/>
          <w:szCs w:val="21"/>
          <w:lang w:val="en-US" w:eastAsia="zh-CN"/>
        </w:rPr>
        <w:t>2</w:t>
      </w:r>
      <w:r>
        <w:rPr>
          <w:rFonts w:hint="eastAsia" w:ascii="Times New Roman" w:hAnsi="Times New Roman" w:eastAsia="宋体"/>
          <w:color w:val="auto"/>
          <w:sz w:val="21"/>
          <w:szCs w:val="21"/>
        </w:rPr>
        <w:t>。</w:t>
      </w:r>
    </w:p>
    <w:p>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Times New Roman" w:hAnsi="Times New Roman" w:eastAsia="宋体"/>
          <w:b/>
          <w:bCs/>
          <w:color w:val="auto"/>
          <w:sz w:val="21"/>
          <w:szCs w:val="21"/>
        </w:rPr>
      </w:pPr>
    </w:p>
    <w:p>
      <w:pPr>
        <w:keepNext w:val="0"/>
        <w:keepLines w:val="0"/>
        <w:pageBreakBefore w:val="0"/>
        <w:widowControl w:val="0"/>
        <w:kinsoku/>
        <w:wordWrap/>
        <w:overflowPunct/>
        <w:topLinePunct w:val="0"/>
        <w:bidi w:val="0"/>
        <w:adjustRightInd/>
        <w:snapToGrid/>
        <w:spacing w:after="0" w:line="240" w:lineRule="auto"/>
        <w:jc w:val="center"/>
        <w:textAlignment w:val="auto"/>
        <w:rPr>
          <w:b/>
          <w:bCs/>
          <w:color w:val="auto"/>
          <w:sz w:val="21"/>
          <w:szCs w:val="21"/>
        </w:rPr>
      </w:pPr>
      <w:r>
        <w:rPr>
          <w:rFonts w:hint="eastAsia" w:ascii="Times New Roman" w:hAnsi="Times New Roman" w:eastAsia="宋体"/>
          <w:b/>
          <w:bCs/>
          <w:color w:val="auto"/>
          <w:sz w:val="21"/>
          <w:szCs w:val="21"/>
        </w:rPr>
        <w:t>表</w:t>
      </w:r>
      <w:r>
        <w:rPr>
          <w:rFonts w:hint="eastAsia" w:ascii="Times New Roman" w:hAnsi="Times New Roman" w:eastAsia="宋体"/>
          <w:b/>
          <w:bCs/>
          <w:color w:val="auto"/>
          <w:sz w:val="21"/>
          <w:szCs w:val="21"/>
          <w:lang w:val="en-US" w:eastAsia="zh-CN"/>
        </w:rPr>
        <w:t>10-1</w:t>
      </w:r>
      <w:r>
        <w:rPr>
          <w:rFonts w:hint="eastAsia" w:ascii="Times New Roman" w:hAnsi="Times New Roman" w:eastAsia="宋体"/>
          <w:b/>
          <w:bCs/>
          <w:color w:val="auto"/>
          <w:sz w:val="21"/>
          <w:szCs w:val="21"/>
        </w:rPr>
        <w:t xml:space="preserve">  项目建设与验收合格要求相符性分析</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099"/>
        <w:gridCol w:w="514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rPr>
                <w:rFonts w:ascii="Times New Roman" w:hAnsi="Times New Roman" w:eastAsia="宋体"/>
                <w:b/>
                <w:bCs/>
                <w:color w:val="auto"/>
                <w:kern w:val="2"/>
                <w:sz w:val="21"/>
                <w:szCs w:val="21"/>
              </w:rPr>
            </w:pPr>
            <w:r>
              <w:rPr>
                <w:rFonts w:ascii="Times New Roman" w:hAnsi="Times New Roman" w:eastAsia="宋体"/>
                <w:b/>
                <w:bCs/>
                <w:color w:val="auto"/>
                <w:kern w:val="2"/>
                <w:sz w:val="21"/>
                <w:szCs w:val="21"/>
              </w:rPr>
              <w:t>要求</w:t>
            </w:r>
          </w:p>
        </w:tc>
        <w:tc>
          <w:tcPr>
            <w:tcW w:w="2782" w:type="pct"/>
            <w:noWrap w:val="0"/>
            <w:vAlign w:val="center"/>
          </w:tcPr>
          <w:p>
            <w:pPr>
              <w:pStyle w:val="42"/>
              <w:spacing w:after="0" w:line="240" w:lineRule="auto"/>
              <w:rPr>
                <w:rFonts w:ascii="Times New Roman" w:hAnsi="Times New Roman" w:eastAsia="宋体"/>
                <w:b/>
                <w:bCs/>
                <w:color w:val="auto"/>
                <w:kern w:val="2"/>
                <w:sz w:val="21"/>
                <w:szCs w:val="21"/>
              </w:rPr>
            </w:pPr>
            <w:r>
              <w:rPr>
                <w:rFonts w:ascii="Times New Roman" w:hAnsi="Times New Roman" w:eastAsia="宋体"/>
                <w:b/>
                <w:bCs/>
                <w:color w:val="auto"/>
                <w:kern w:val="2"/>
                <w:sz w:val="21"/>
                <w:szCs w:val="21"/>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1、未按环境影响报告书（表）及其审批部门审批决定要求建成环境保护设施，或者环境保护设施不能与主体工程同时投产或者使用的。</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项目按照《报告</w:t>
            </w:r>
            <w:r>
              <w:rPr>
                <w:rFonts w:hint="eastAsia" w:ascii="Times New Roman" w:hAnsi="Times New Roman" w:eastAsia="宋体"/>
                <w:color w:val="auto"/>
                <w:kern w:val="2"/>
                <w:sz w:val="21"/>
                <w:szCs w:val="21"/>
                <w:lang w:val="en-US" w:eastAsia="zh-CN"/>
              </w:rPr>
              <w:t>书</w:t>
            </w:r>
            <w:r>
              <w:rPr>
                <w:rFonts w:ascii="Times New Roman" w:hAnsi="Times New Roman" w:eastAsia="宋体"/>
                <w:color w:val="auto"/>
                <w:kern w:val="2"/>
                <w:sz w:val="21"/>
                <w:szCs w:val="21"/>
              </w:rPr>
              <w:t>》以及环评批复要求建成环境保护</w:t>
            </w:r>
            <w:r>
              <w:rPr>
                <w:rFonts w:hint="eastAsia" w:ascii="Times New Roman" w:hAnsi="Times New Roman" w:eastAsia="宋体"/>
                <w:color w:val="auto"/>
                <w:kern w:val="2"/>
                <w:sz w:val="21"/>
                <w:szCs w:val="21"/>
              </w:rPr>
              <w:t>设施</w:t>
            </w:r>
            <w:r>
              <w:rPr>
                <w:rFonts w:ascii="Times New Roman" w:hAnsi="Times New Roman" w:eastAsia="宋体"/>
                <w:color w:val="auto"/>
                <w:kern w:val="2"/>
                <w:sz w:val="21"/>
                <w:szCs w:val="21"/>
              </w:rPr>
              <w:t>，</w:t>
            </w:r>
            <w:r>
              <w:rPr>
                <w:rFonts w:hint="eastAsia" w:ascii="Times New Roman" w:hAnsi="Times New Roman" w:eastAsia="宋体"/>
                <w:color w:val="auto"/>
                <w:kern w:val="2"/>
                <w:sz w:val="21"/>
                <w:szCs w:val="21"/>
              </w:rPr>
              <w:t>并</w:t>
            </w:r>
            <w:r>
              <w:rPr>
                <w:rFonts w:ascii="Times New Roman" w:hAnsi="Times New Roman" w:eastAsia="宋体"/>
                <w:color w:val="auto"/>
                <w:kern w:val="2"/>
                <w:sz w:val="21"/>
                <w:szCs w:val="21"/>
              </w:rPr>
              <w:t>与主体工程同时设计、同时施工、同时投产。环境保护措施与《报告</w:t>
            </w:r>
            <w:r>
              <w:rPr>
                <w:rFonts w:hint="eastAsia" w:ascii="Times New Roman" w:hAnsi="Times New Roman" w:eastAsia="宋体"/>
                <w:color w:val="auto"/>
                <w:kern w:val="2"/>
                <w:sz w:val="21"/>
                <w:szCs w:val="21"/>
                <w:lang w:val="en-US" w:eastAsia="zh-CN"/>
              </w:rPr>
              <w:t>书</w:t>
            </w:r>
            <w:r>
              <w:rPr>
                <w:rFonts w:ascii="Times New Roman" w:hAnsi="Times New Roman" w:eastAsia="宋体"/>
                <w:color w:val="auto"/>
                <w:kern w:val="2"/>
                <w:sz w:val="21"/>
                <w:szCs w:val="21"/>
              </w:rPr>
              <w:t>》及环评批复要求基本一致，根据验收监测报告可知，项目监测的环境保护措施能够保证本项目污染物稳定达标排放。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2、污染物排放不符合国家和地方相关标准、环境影响报告书（表）及其审批部门审批决定或者重点污染物排放总量控制指标要求的。</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根据验收监测结果分析可知，本项目污染物排放浓度以及排放总量均未超过环评</w:t>
            </w:r>
            <w:r>
              <w:rPr>
                <w:rFonts w:hint="eastAsia" w:ascii="Times New Roman" w:hAnsi="Times New Roman" w:eastAsia="宋体"/>
                <w:color w:val="auto"/>
                <w:kern w:val="2"/>
                <w:sz w:val="21"/>
                <w:szCs w:val="21"/>
              </w:rPr>
              <w:t>报告</w:t>
            </w:r>
            <w:r>
              <w:rPr>
                <w:rFonts w:hint="eastAsia" w:ascii="Times New Roman" w:hAnsi="Times New Roman" w:eastAsia="宋体"/>
                <w:color w:val="auto"/>
                <w:kern w:val="2"/>
                <w:sz w:val="21"/>
                <w:szCs w:val="21"/>
                <w:lang w:val="en-US" w:eastAsia="zh-CN"/>
              </w:rPr>
              <w:t>书</w:t>
            </w:r>
            <w:r>
              <w:rPr>
                <w:rFonts w:ascii="Times New Roman" w:hAnsi="Times New Roman" w:eastAsia="宋体"/>
                <w:color w:val="auto"/>
                <w:kern w:val="2"/>
                <w:sz w:val="21"/>
                <w:szCs w:val="21"/>
              </w:rPr>
              <w:t>以及批复文件要求指标。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hint="eastAsia" w:ascii="Times New Roman" w:hAnsi="Times New Roman" w:eastAsia="宋体"/>
                <w:color w:val="auto"/>
                <w:kern w:val="2"/>
                <w:sz w:val="21"/>
                <w:szCs w:val="21"/>
              </w:rPr>
            </w:pPr>
            <w:r>
              <w:rPr>
                <w:rFonts w:ascii="Times New Roman" w:hAnsi="Times New Roman" w:eastAsia="宋体"/>
                <w:color w:val="auto"/>
                <w:kern w:val="2"/>
                <w:sz w:val="21"/>
                <w:szCs w:val="21"/>
              </w:rPr>
              <w:t>3、环境影响报告书（表）经批准后，该建设项目的性质、规模、地点、采用的生产工艺或者防治污染、防止生态破坏的措施发生重大变动，建设单位未重新报批环境影响报告书（表）或者环境影响报告书（表）未经批准的</w:t>
            </w:r>
            <w:r>
              <w:rPr>
                <w:rFonts w:hint="eastAsia" w:ascii="Times New Roman" w:hAnsi="Times New Roman" w:eastAsia="宋体"/>
                <w:color w:val="auto"/>
                <w:kern w:val="2"/>
                <w:sz w:val="21"/>
                <w:szCs w:val="21"/>
              </w:rPr>
              <w:t>。</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rPr>
            </w:pPr>
            <w:r>
              <w:rPr>
                <w:rFonts w:hint="eastAsia" w:ascii="Times New Roman" w:hAnsi="Times New Roman" w:eastAsia="宋体"/>
                <w:color w:val="auto"/>
                <w:kern w:val="2"/>
                <w:sz w:val="21"/>
                <w:szCs w:val="21"/>
              </w:rPr>
              <w:t>建设项目性质、规模、地点、采用的生产工艺及防治污染、防止生态破坏的措施均未发生</w:t>
            </w:r>
            <w:r>
              <w:rPr>
                <w:rFonts w:ascii="Times New Roman" w:hAnsi="Times New Roman" w:eastAsia="宋体"/>
                <w:color w:val="auto"/>
                <w:kern w:val="2"/>
                <w:sz w:val="21"/>
                <w:szCs w:val="21"/>
              </w:rPr>
              <w:t>重大变动，可纳入本次验收处理。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hint="eastAsia" w:ascii="Times New Roman" w:hAnsi="Times New Roman" w:eastAsia="宋体"/>
                <w:color w:val="auto"/>
                <w:kern w:val="2"/>
                <w:sz w:val="21"/>
                <w:szCs w:val="21"/>
              </w:rPr>
            </w:pPr>
            <w:r>
              <w:rPr>
                <w:rFonts w:ascii="Times New Roman" w:hAnsi="Times New Roman" w:eastAsia="宋体"/>
                <w:color w:val="auto"/>
                <w:kern w:val="2"/>
                <w:sz w:val="21"/>
                <w:szCs w:val="21"/>
              </w:rPr>
              <w:t>4、建设过程中造成重大环境污染未治理完成，或者造成重大生态破坏未恢复的</w:t>
            </w:r>
            <w:r>
              <w:rPr>
                <w:rFonts w:hint="eastAsia" w:ascii="Times New Roman" w:hAnsi="Times New Roman" w:eastAsia="宋体"/>
                <w:color w:val="auto"/>
                <w:kern w:val="2"/>
                <w:sz w:val="21"/>
                <w:szCs w:val="21"/>
              </w:rPr>
              <w:t>。</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项目建设过程未造成重大环境污染或生态破坏</w:t>
            </w:r>
            <w:r>
              <w:rPr>
                <w:rFonts w:hint="eastAsia" w:ascii="Times New Roman" w:hAnsi="Times New Roman" w:eastAsia="宋体"/>
                <w:color w:val="auto"/>
                <w:kern w:val="2"/>
                <w:sz w:val="21"/>
                <w:szCs w:val="21"/>
              </w:rPr>
              <w:t>，环境污染已治理完成</w:t>
            </w:r>
            <w:r>
              <w:rPr>
                <w:rFonts w:ascii="Times New Roman" w:hAnsi="Times New Roman" w:eastAsia="宋体"/>
                <w:color w:val="auto"/>
                <w:kern w:val="2"/>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ascii="Times New Roman" w:hAnsi="Times New Roman" w:eastAsia="宋体"/>
                <w:color w:val="auto"/>
                <w:kern w:val="2"/>
                <w:sz w:val="21"/>
                <w:szCs w:val="21"/>
                <w:highlight w:val="none"/>
              </w:rPr>
            </w:pPr>
            <w:r>
              <w:rPr>
                <w:rFonts w:ascii="Times New Roman" w:hAnsi="Times New Roman" w:eastAsia="宋体"/>
                <w:color w:val="auto"/>
                <w:kern w:val="2"/>
                <w:sz w:val="21"/>
                <w:szCs w:val="21"/>
                <w:highlight w:val="none"/>
              </w:rPr>
              <w:t>5、纳入排污许可管理的建设项目，无证排污或者不按证排污的。</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highlight w:val="none"/>
              </w:rPr>
            </w:pPr>
            <w:r>
              <w:rPr>
                <w:rFonts w:ascii="Times New Roman" w:hAnsi="Times New Roman" w:eastAsia="宋体"/>
                <w:color w:val="auto"/>
                <w:kern w:val="2"/>
                <w:sz w:val="21"/>
                <w:szCs w:val="21"/>
                <w:highlight w:val="none"/>
              </w:rPr>
              <w:t>根据《固定污染源排污许可分类管理名录》（2019年版），本项目</w:t>
            </w:r>
            <w:r>
              <w:rPr>
                <w:rFonts w:hint="eastAsia" w:ascii="Times New Roman" w:hAnsi="Times New Roman" w:eastAsia="宋体"/>
                <w:color w:val="auto"/>
                <w:kern w:val="2"/>
                <w:sz w:val="21"/>
                <w:szCs w:val="21"/>
                <w:highlight w:val="none"/>
              </w:rPr>
              <w:t>属于</w:t>
            </w:r>
            <w:r>
              <w:rPr>
                <w:rFonts w:hint="eastAsia" w:ascii="Times New Roman" w:hAnsi="Times New Roman" w:eastAsia="宋体"/>
                <w:color w:val="auto"/>
                <w:kern w:val="2"/>
                <w:sz w:val="21"/>
                <w:szCs w:val="21"/>
                <w:highlight w:val="none"/>
                <w:lang w:val="en-US" w:eastAsia="zh-CN"/>
              </w:rPr>
              <w:t>登记类</w:t>
            </w:r>
            <w:r>
              <w:rPr>
                <w:rFonts w:hint="eastAsia" w:ascii="Times New Roman" w:hAnsi="Times New Roman" w:eastAsia="宋体"/>
                <w:color w:val="auto"/>
                <w:kern w:val="2"/>
                <w:sz w:val="21"/>
                <w:szCs w:val="21"/>
                <w:highlight w:val="none"/>
              </w:rPr>
              <w:t>，已于20</w:t>
            </w:r>
            <w:r>
              <w:rPr>
                <w:rFonts w:hint="eastAsia" w:ascii="Times New Roman" w:hAnsi="Times New Roman" w:eastAsia="宋体"/>
                <w:color w:val="auto"/>
                <w:kern w:val="2"/>
                <w:sz w:val="21"/>
                <w:szCs w:val="21"/>
                <w:highlight w:val="none"/>
                <w:lang w:val="en-US" w:eastAsia="zh-CN"/>
              </w:rPr>
              <w:t>22</w:t>
            </w:r>
            <w:r>
              <w:rPr>
                <w:rFonts w:hint="eastAsia" w:ascii="Times New Roman" w:hAnsi="Times New Roman" w:eastAsia="宋体"/>
                <w:color w:val="auto"/>
                <w:kern w:val="2"/>
                <w:sz w:val="21"/>
                <w:szCs w:val="21"/>
                <w:highlight w:val="none"/>
              </w:rPr>
              <w:t>年</w:t>
            </w:r>
            <w:r>
              <w:rPr>
                <w:rFonts w:hint="eastAsia" w:ascii="Times New Roman" w:hAnsi="Times New Roman" w:eastAsia="宋体"/>
                <w:color w:val="auto"/>
                <w:kern w:val="2"/>
                <w:sz w:val="21"/>
                <w:szCs w:val="21"/>
                <w:highlight w:val="none"/>
                <w:lang w:val="en-US" w:eastAsia="zh-CN"/>
              </w:rPr>
              <w:t>11</w:t>
            </w:r>
            <w:r>
              <w:rPr>
                <w:rFonts w:hint="eastAsia" w:ascii="Times New Roman" w:hAnsi="Times New Roman" w:eastAsia="宋体"/>
                <w:color w:val="auto"/>
                <w:kern w:val="2"/>
                <w:sz w:val="21"/>
                <w:szCs w:val="21"/>
                <w:highlight w:val="none"/>
              </w:rPr>
              <w:t>月</w:t>
            </w:r>
            <w:r>
              <w:rPr>
                <w:rFonts w:hint="eastAsia" w:ascii="Times New Roman" w:hAnsi="Times New Roman" w:eastAsia="宋体"/>
                <w:color w:val="auto"/>
                <w:kern w:val="2"/>
                <w:sz w:val="21"/>
                <w:szCs w:val="21"/>
                <w:highlight w:val="none"/>
                <w:lang w:val="en-US" w:eastAsia="zh-CN"/>
              </w:rPr>
              <w:t>21</w:t>
            </w:r>
            <w:r>
              <w:rPr>
                <w:rFonts w:hint="eastAsia" w:ascii="Times New Roman" w:hAnsi="Times New Roman" w:eastAsia="宋体"/>
                <w:color w:val="auto"/>
                <w:kern w:val="2"/>
                <w:sz w:val="21"/>
                <w:szCs w:val="21"/>
                <w:highlight w:val="none"/>
              </w:rPr>
              <w:t>日取得排污许可</w:t>
            </w:r>
            <w:r>
              <w:rPr>
                <w:rFonts w:hint="eastAsia" w:ascii="Times New Roman" w:hAnsi="Times New Roman" w:eastAsia="宋体"/>
                <w:color w:val="auto"/>
                <w:kern w:val="2"/>
                <w:sz w:val="21"/>
                <w:szCs w:val="21"/>
                <w:highlight w:val="none"/>
                <w:lang w:val="en-US" w:eastAsia="zh-CN"/>
              </w:rPr>
              <w:t>登记回执</w:t>
            </w:r>
            <w:r>
              <w:rPr>
                <w:rFonts w:hint="eastAsia" w:ascii="Times New Roman" w:hAnsi="Times New Roman" w:eastAsia="宋体"/>
                <w:color w:val="auto"/>
                <w:kern w:val="2"/>
                <w:sz w:val="21"/>
                <w:szCs w:val="21"/>
                <w:highlight w:val="non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hint="eastAsia" w:ascii="Times New Roman" w:hAnsi="Times New Roman" w:eastAsia="宋体"/>
                <w:color w:val="auto"/>
                <w:kern w:val="2"/>
                <w:sz w:val="21"/>
                <w:szCs w:val="21"/>
              </w:rPr>
            </w:pPr>
            <w:r>
              <w:rPr>
                <w:rFonts w:ascii="Times New Roman" w:hAnsi="Times New Roman" w:eastAsia="宋体"/>
                <w:color w:val="auto"/>
                <w:kern w:val="2"/>
                <w:sz w:val="21"/>
                <w:szCs w:val="21"/>
              </w:rPr>
              <w:t>6、分期建设、分期投入生产或者使用依法应当分期验收的建设项目，其分期建设、分期投入生产或者使用的环境保护设施防治环境污染和生态破坏的能力不能满足其相应主体工程需要的</w:t>
            </w:r>
            <w:r>
              <w:rPr>
                <w:rFonts w:hint="eastAsia" w:ascii="Times New Roman" w:hAnsi="Times New Roman" w:eastAsia="宋体"/>
                <w:color w:val="auto"/>
                <w:kern w:val="2"/>
                <w:sz w:val="21"/>
                <w:szCs w:val="21"/>
              </w:rPr>
              <w:t>。</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rPr>
            </w:pPr>
            <w:r>
              <w:rPr>
                <w:rFonts w:hint="eastAsia" w:ascii="Times New Roman" w:hAnsi="Times New Roman" w:eastAsia="宋体"/>
                <w:color w:val="auto"/>
                <w:kern w:val="2"/>
                <w:sz w:val="21"/>
                <w:szCs w:val="21"/>
              </w:rPr>
              <w:t>项目已全部建设完成，建设的环境保护设施防治环境污染和生态破坏的能力能够满足其相应主体工程需要。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7、建设单位因该建设项目违反国家和地方环境保护法律法规受到处罚，被责令改正，尚未改正完成的。</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项目建设单位未因违反国家和地方环境保护法律法规受到处罚。</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8、验收报告的基础资料数据明显不实，内容存在重大缺项、遗漏，或者验收结论不明确、不合理的。</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项目验收报告基础资料真实且内容不存在重大缺项、遗漏。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7"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9、其他环境保护法律法规规章等规定不得通过环境保护验收的。</w:t>
            </w:r>
          </w:p>
        </w:tc>
        <w:tc>
          <w:tcPr>
            <w:tcW w:w="2782" w:type="pct"/>
            <w:noWrap w:val="0"/>
            <w:vAlign w:val="center"/>
          </w:tcPr>
          <w:p>
            <w:pPr>
              <w:pStyle w:val="42"/>
              <w:spacing w:after="0" w:line="240" w:lineRule="auto"/>
              <w:jc w:val="both"/>
              <w:rPr>
                <w:rFonts w:ascii="Times New Roman" w:hAnsi="Times New Roman" w:eastAsia="宋体"/>
                <w:color w:val="auto"/>
                <w:kern w:val="2"/>
                <w:sz w:val="21"/>
                <w:szCs w:val="21"/>
              </w:rPr>
            </w:pPr>
            <w:r>
              <w:rPr>
                <w:rFonts w:ascii="Times New Roman" w:hAnsi="Times New Roman" w:eastAsia="宋体"/>
                <w:color w:val="auto"/>
                <w:kern w:val="2"/>
                <w:sz w:val="21"/>
                <w:szCs w:val="21"/>
              </w:rPr>
              <w:t>本项目不涉及环境保护法律法规规章等规定不得通过环境保护验收的情形。</w:t>
            </w:r>
          </w:p>
        </w:tc>
      </w:tr>
    </w:tbl>
    <w:p>
      <w:pPr>
        <w:pStyle w:val="4"/>
        <w:pageBreakBefore w:val="0"/>
        <w:kinsoku/>
        <w:wordWrap/>
        <w:overflowPunct/>
        <w:topLinePunct w:val="0"/>
        <w:bidi w:val="0"/>
        <w:adjustRightInd/>
        <w:snapToGrid/>
        <w:spacing w:beforeLines="0" w:afterLines="0" w:line="360" w:lineRule="auto"/>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10.3验收结论</w:t>
      </w:r>
    </w:p>
    <w:p>
      <w:pPr>
        <w:pStyle w:val="6"/>
        <w:spacing w:line="360" w:lineRule="auto"/>
        <w:jc w:val="both"/>
        <w:rPr>
          <w:rFonts w:hint="default" w:ascii="Times New Roman" w:hAnsi="Times New Roman" w:eastAsia="宋体" w:cs="Times New Roman"/>
          <w:color w:val="auto"/>
          <w:sz w:val="21"/>
          <w:szCs w:val="21"/>
        </w:rPr>
      </w:pPr>
      <w:bookmarkStart w:id="57" w:name="_Toc26103588"/>
      <w:r>
        <w:rPr>
          <w:rFonts w:hint="eastAsia" w:ascii="Times New Roman" w:hAnsi="Times New Roman" w:eastAsia="宋体"/>
          <w:color w:val="auto"/>
          <w:sz w:val="21"/>
          <w:szCs w:val="21"/>
        </w:rPr>
        <w:t>经现场勘查，本项目建设地址未发生变化；厂区总图布置未发生重大变化；生产工艺未发生重大变化；使用的原辅材料种类及数量未发生重大变化；环保“三同时”措施已经落实到位，污染防治措施符合环评及批复要求；经监测，各类污染物均达标排放；污染物排放总量符合环评批复及环评要求；按《建设项目竣工环境保护验收暂行办法》中所规定的验收不合格情形对项目逐一对照检查，本项目不属于验收不合格的九项情形之列。本次竣工环境保护验收监测报告认为该项目基本符合验收条件，可以通过验收。</w:t>
      </w:r>
      <w:bookmarkEnd w:id="57"/>
    </w:p>
    <w:p>
      <w:pPr>
        <w:spacing w:line="360" w:lineRule="auto"/>
        <w:ind w:left="0" w:leftChars="0" w:firstLine="0" w:firstLineChars="0"/>
        <w:jc w:val="both"/>
        <w:rPr>
          <w:rFonts w:hint="default"/>
          <w:sz w:val="21"/>
          <w:szCs w:val="21"/>
        </w:rPr>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3"/>
        <w:spacing w:beforeLines="0" w:afterLines="0"/>
        <w:rPr>
          <w:rFonts w:hint="default" w:ascii="Times New Roman" w:hAnsi="Times New Roman" w:eastAsia="宋体" w:cs="Times New Roman"/>
          <w:color w:val="auto"/>
        </w:rPr>
      </w:pPr>
      <w:bookmarkStart w:id="58" w:name="_Toc21210"/>
      <w:r>
        <w:rPr>
          <w:rFonts w:hint="default" w:ascii="Times New Roman" w:hAnsi="Times New Roman" w:eastAsia="宋体" w:cs="Times New Roman"/>
          <w:color w:val="auto"/>
        </w:rPr>
        <w:t>11 建设项目竣工环境保护“三同时”验收登记表</w:t>
      </w:r>
      <w:bookmarkEnd w:id="58"/>
    </w:p>
    <w:p>
      <w:pPr>
        <w:adjustRightInd w:val="0"/>
        <w:snapToGrid w:val="0"/>
        <w:spacing w:line="240" w:lineRule="auto"/>
        <w:ind w:firstLine="0" w:firstLineChars="0"/>
        <w:jc w:val="center"/>
        <w:rPr>
          <w:rFonts w:hint="default" w:ascii="Times New Roman" w:hAnsi="Times New Roman" w:eastAsia="宋体" w:cs="Times New Roman"/>
          <w:b/>
          <w:color w:val="auto"/>
          <w:szCs w:val="15"/>
        </w:rPr>
      </w:pPr>
      <w:r>
        <w:rPr>
          <w:rFonts w:hint="default" w:ascii="Times New Roman" w:hAnsi="Times New Roman" w:eastAsia="宋体" w:cs="Times New Roman"/>
          <w:b/>
          <w:color w:val="auto"/>
          <w:sz w:val="32"/>
          <w:szCs w:val="16"/>
        </w:rPr>
        <w:t>建设项目竣工环境保护“三同时”验收登记表</w:t>
      </w:r>
    </w:p>
    <w:p>
      <w:pPr>
        <w:spacing w:line="240" w:lineRule="auto"/>
        <w:ind w:firstLine="0" w:firstLineChars="0"/>
        <w:rPr>
          <w:rFonts w:hint="default" w:ascii="Times New Roman" w:hAnsi="Times New Roman" w:eastAsia="宋体" w:cs="Times New Roman"/>
          <w:b/>
          <w:color w:val="auto"/>
          <w:szCs w:val="21"/>
        </w:rPr>
      </w:pPr>
      <w:r>
        <w:rPr>
          <w:rFonts w:hint="default" w:ascii="Times New Roman" w:hAnsi="Times New Roman" w:eastAsia="宋体" w:cs="Times New Roman"/>
          <w:b/>
          <w:color w:val="auto"/>
          <w:sz w:val="24"/>
          <w:szCs w:val="20"/>
        </w:rPr>
        <w:t>填表单位（盖章）：                                            填表人（签字）：                                             项目经办人（签字）：</w:t>
      </w:r>
    </w:p>
    <w:tbl>
      <w:tblPr>
        <w:tblStyle w:val="24"/>
        <w:tblW w:w="499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26"/>
        <w:gridCol w:w="2435"/>
        <w:gridCol w:w="921"/>
        <w:gridCol w:w="1173"/>
        <w:gridCol w:w="1135"/>
        <w:gridCol w:w="1182"/>
        <w:gridCol w:w="1312"/>
        <w:gridCol w:w="1253"/>
        <w:gridCol w:w="1169"/>
        <w:gridCol w:w="3225"/>
        <w:gridCol w:w="2325"/>
        <w:gridCol w:w="1514"/>
        <w:gridCol w:w="1396"/>
        <w:gridCol w:w="135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restart"/>
            <w:tcBorders>
              <w:top w:val="single" w:color="auto" w:sz="8" w:space="0"/>
              <w:left w:val="single" w:color="auto" w:sz="8" w:space="0"/>
              <w:bottom w:val="single" w:color="auto" w:sz="4" w:space="0"/>
              <w:right w:val="single" w:color="auto" w:sz="4" w:space="0"/>
            </w:tcBorders>
            <w:tcMar>
              <w:top w:w="0" w:type="dxa"/>
              <w:left w:w="57" w:type="dxa"/>
              <w:bottom w:w="0" w:type="dxa"/>
              <w:right w:w="57" w:type="dxa"/>
            </w:tcMar>
            <w:textDirection w:val="tbRlV"/>
            <w:vAlign w:val="center"/>
          </w:tcPr>
          <w:p>
            <w:pPr>
              <w:adjustRightInd w:val="0"/>
              <w:snapToGrid w:val="0"/>
              <w:spacing w:line="240" w:lineRule="auto"/>
              <w:ind w:left="113" w:right="113" w:firstLine="0" w:firstLineChars="0"/>
              <w:jc w:val="center"/>
              <w:rPr>
                <w:rFonts w:hint="default" w:ascii="Times New Roman" w:hAnsi="Times New Roman" w:eastAsia="宋体" w:cs="Times New Roman"/>
                <w:b/>
                <w:color w:val="FF0000"/>
                <w:sz w:val="21"/>
                <w:szCs w:val="21"/>
              </w:rPr>
            </w:pPr>
            <w:r>
              <w:rPr>
                <w:rFonts w:hint="default" w:ascii="Times New Roman" w:hAnsi="Times New Roman" w:eastAsia="宋体" w:cs="Times New Roman"/>
                <w:b/>
                <w:color w:val="auto"/>
                <w:sz w:val="21"/>
                <w:szCs w:val="21"/>
              </w:rPr>
              <w:t>建设项目</w:t>
            </w:r>
          </w:p>
        </w:tc>
        <w:tc>
          <w:tcPr>
            <w:tcW w:w="579" w:type="pct"/>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项目名称</w:t>
            </w:r>
          </w:p>
        </w:tc>
        <w:tc>
          <w:tcPr>
            <w:tcW w:w="1361" w:type="pct"/>
            <w:gridSpan w:val="5"/>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缔壹电工科技锂电池胶带项目</w:t>
            </w:r>
          </w:p>
        </w:tc>
        <w:tc>
          <w:tcPr>
            <w:tcW w:w="576" w:type="pct"/>
            <w:gridSpan w:val="2"/>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项目代码</w:t>
            </w:r>
          </w:p>
        </w:tc>
        <w:tc>
          <w:tcPr>
            <w:tcW w:w="766" w:type="pct"/>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2107-320458-89-03-834099</w:t>
            </w:r>
          </w:p>
        </w:tc>
        <w:tc>
          <w:tcPr>
            <w:tcW w:w="552" w:type="pct"/>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建设地点</w:t>
            </w:r>
          </w:p>
        </w:tc>
        <w:tc>
          <w:tcPr>
            <w:tcW w:w="1015" w:type="pct"/>
            <w:gridSpan w:val="3"/>
            <w:tcBorders>
              <w:top w:val="single" w:color="auto" w:sz="8"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eastAsia="zh-CN"/>
              </w:rPr>
              <w:t>江苏省金坛经济开发区金胜东路218号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行业类别（分类管理名录）</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二十六</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橡胶和塑料制品业</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建设性质</w:t>
            </w:r>
          </w:p>
        </w:tc>
        <w:tc>
          <w:tcPr>
            <w:tcW w:w="1319"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sym w:font="Wingdings 2" w:char="0052"/>
            </w:r>
            <w:r>
              <w:rPr>
                <w:rFonts w:hint="default" w:ascii="Times New Roman" w:hAnsi="Times New Roman" w:eastAsia="宋体" w:cs="Times New Roman"/>
                <w:bCs/>
                <w:color w:val="auto"/>
                <w:sz w:val="21"/>
                <w:szCs w:val="21"/>
              </w:rPr>
              <w:t>新建</w:t>
            </w:r>
            <w:r>
              <w:rPr>
                <w:rFonts w:hint="default" w:ascii="Times New Roman" w:hAnsi="Times New Roman" w:eastAsia="宋体" w:cs="Times New Roman"/>
                <w:bCs/>
                <w:color w:val="auto"/>
                <w:sz w:val="21"/>
                <w:szCs w:val="21"/>
              </w:rPr>
              <w:sym w:font="Wingdings 2" w:char="00A3"/>
            </w:r>
            <w:r>
              <w:rPr>
                <w:rFonts w:hint="default" w:ascii="Times New Roman" w:hAnsi="Times New Roman" w:eastAsia="宋体" w:cs="Times New Roman"/>
                <w:bCs/>
                <w:color w:val="auto"/>
                <w:sz w:val="21"/>
                <w:szCs w:val="21"/>
              </w:rPr>
              <w:t>改扩建</w:t>
            </w:r>
            <w:r>
              <w:rPr>
                <w:rFonts w:hint="default" w:ascii="Times New Roman" w:hAnsi="Times New Roman" w:eastAsia="宋体" w:cs="Times New Roman"/>
                <w:bCs/>
                <w:color w:val="auto"/>
                <w:sz w:val="21"/>
                <w:szCs w:val="21"/>
              </w:rPr>
              <w:sym w:font="Wingdings 2" w:char="00A3"/>
            </w:r>
            <w:r>
              <w:rPr>
                <w:rFonts w:hint="default" w:ascii="Times New Roman" w:hAnsi="Times New Roman" w:eastAsia="宋体" w:cs="Times New Roman"/>
                <w:bCs/>
                <w:color w:val="auto"/>
                <w:sz w:val="21"/>
                <w:szCs w:val="21"/>
              </w:rPr>
              <w:t>技术改造</w:t>
            </w:r>
          </w:p>
        </w:tc>
        <w:tc>
          <w:tcPr>
            <w:tcW w:w="360"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项目厂区中心经度/纬度</w:t>
            </w:r>
          </w:p>
        </w:tc>
        <w:tc>
          <w:tcPr>
            <w:tcW w:w="654" w:type="pct"/>
            <w:gridSpan w:val="2"/>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经度：119°38′40.02″</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纬度：31°44′49.38″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设计生产能力</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21600</w:t>
            </w:r>
            <w:r>
              <w:rPr>
                <w:rFonts w:hint="default" w:ascii="Times New Roman" w:hAnsi="Times New Roman" w:eastAsia="宋体" w:cs="Times New Roman"/>
                <w:color w:val="auto"/>
                <w:sz w:val="21"/>
                <w:szCs w:val="21"/>
                <w:lang w:eastAsia="zh-CN"/>
              </w:rPr>
              <w:t>万m</w:t>
            </w:r>
            <w:r>
              <w:rPr>
                <w:rFonts w:hint="default" w:ascii="Times New Roman" w:hAnsi="Times New Roman" w:eastAsia="宋体" w:cs="Times New Roman"/>
                <w:color w:val="auto"/>
                <w:sz w:val="21"/>
                <w:szCs w:val="21"/>
                <w:vertAlign w:val="superscript"/>
                <w:lang w:eastAsia="zh-CN"/>
              </w:rPr>
              <w:t>2</w:t>
            </w:r>
            <w:r>
              <w:rPr>
                <w:rFonts w:hint="eastAsia" w:ascii="Times New Roman" w:hAnsi="Times New Roman" w:eastAsia="宋体" w:cs="Times New Roman"/>
                <w:color w:val="auto"/>
                <w:sz w:val="21"/>
                <w:szCs w:val="21"/>
                <w:vertAlign w:val="baseline"/>
                <w:lang w:val="en-US" w:eastAsia="zh-CN"/>
              </w:rPr>
              <w:t>/a</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实际生产能力</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lang w:val="en-US"/>
              </w:rPr>
            </w:pPr>
            <w:r>
              <w:rPr>
                <w:rFonts w:hint="default" w:ascii="Times New Roman" w:hAnsi="Times New Roman" w:eastAsia="宋体" w:cs="Times New Roman"/>
                <w:color w:val="auto"/>
                <w:sz w:val="21"/>
                <w:szCs w:val="21"/>
                <w:lang w:eastAsia="zh-CN"/>
              </w:rPr>
              <w:t>4800万m</w:t>
            </w:r>
            <w:r>
              <w:rPr>
                <w:rFonts w:hint="default" w:ascii="Times New Roman" w:hAnsi="Times New Roman" w:eastAsia="宋体" w:cs="Times New Roman"/>
                <w:color w:val="auto"/>
                <w:sz w:val="21"/>
                <w:szCs w:val="21"/>
                <w:vertAlign w:val="superscript"/>
                <w:lang w:eastAsia="zh-CN"/>
              </w:rPr>
              <w:t>2</w:t>
            </w:r>
            <w:r>
              <w:rPr>
                <w:rFonts w:hint="eastAsia" w:ascii="Times New Roman" w:hAnsi="Times New Roman" w:eastAsia="宋体" w:cs="Times New Roman"/>
                <w:color w:val="auto"/>
                <w:sz w:val="21"/>
                <w:szCs w:val="21"/>
                <w:vertAlign w:val="baseline"/>
                <w:lang w:val="en-US" w:eastAsia="zh-CN"/>
              </w:rPr>
              <w:t>/a</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环评单位</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南京昊晟环保科技有限公司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环评文件审批机关</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highlight w:val="none"/>
                <w:lang w:eastAsia="zh-CN"/>
              </w:rPr>
            </w:pPr>
            <w:r>
              <w:rPr>
                <w:rFonts w:hint="eastAsia" w:cs="Times New Roman"/>
                <w:color w:val="auto"/>
                <w:sz w:val="21"/>
                <w:szCs w:val="21"/>
                <w:highlight w:val="none"/>
                <w:lang w:eastAsia="zh-CN"/>
              </w:rPr>
              <w:t>常州市生态环境局</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审批文号</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eastAsia="zh-CN"/>
              </w:rPr>
            </w:pPr>
            <w:r>
              <w:rPr>
                <w:rFonts w:hint="eastAsia" w:cs="Times New Roman"/>
                <w:bCs/>
                <w:color w:val="auto"/>
                <w:sz w:val="21"/>
                <w:szCs w:val="21"/>
                <w:highlight w:val="none"/>
                <w:lang w:eastAsia="zh-CN"/>
              </w:rPr>
              <w:t>常金环审[2022]36号</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环评文件类型</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报告书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开工日期</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2022.9</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竣工日期</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rPr>
              <w:t>2022.</w:t>
            </w:r>
            <w:r>
              <w:rPr>
                <w:rFonts w:hint="eastAsia" w:cs="Times New Roman"/>
                <w:bCs/>
                <w:color w:val="auto"/>
                <w:sz w:val="21"/>
                <w:szCs w:val="21"/>
                <w:lang w:val="en-US" w:eastAsia="zh-CN"/>
              </w:rPr>
              <w:t>10</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排污许可证申领时间</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2022.11.</w:t>
            </w:r>
            <w:r>
              <w:rPr>
                <w:rFonts w:hint="eastAsia" w:cs="Times New Roman"/>
                <w:color w:val="auto"/>
                <w:sz w:val="21"/>
                <w:szCs w:val="21"/>
                <w:lang w:val="en-US" w:eastAsia="zh-CN"/>
              </w:rPr>
              <w:t>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环保设施设计单位</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highlight w:val="none"/>
                <w:lang w:eastAsia="zh-CN"/>
              </w:rPr>
            </w:pPr>
            <w:r>
              <w:rPr>
                <w:rFonts w:hint="eastAsia" w:cs="Times New Roman"/>
                <w:color w:val="auto"/>
                <w:sz w:val="21"/>
                <w:szCs w:val="21"/>
                <w:highlight w:val="none"/>
                <w:lang w:val="en-US" w:eastAsia="zh-CN"/>
              </w:rPr>
              <w:t>/</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环保设施施工单位</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bCs/>
                <w:color w:val="auto"/>
                <w:sz w:val="21"/>
                <w:szCs w:val="21"/>
                <w:highlight w:val="none"/>
                <w:lang w:eastAsia="zh-CN"/>
              </w:rPr>
            </w:pPr>
            <w:r>
              <w:rPr>
                <w:rFonts w:hint="eastAsia" w:cs="Times New Roman"/>
                <w:color w:val="auto"/>
                <w:sz w:val="21"/>
                <w:szCs w:val="21"/>
                <w:highlight w:val="none"/>
                <w:lang w:val="en-US" w:eastAsia="zh-CN"/>
              </w:rPr>
              <w:t>/</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本工程排污许可证编号</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9132</w:t>
            </w:r>
            <w:r>
              <w:rPr>
                <w:rFonts w:hint="eastAsia" w:ascii="Times New Roman" w:hAnsi="Times New Roman" w:eastAsia="宋体" w:cs="Times New Roman"/>
                <w:color w:val="auto"/>
                <w:sz w:val="21"/>
                <w:szCs w:val="21"/>
                <w:highlight w:val="none"/>
                <w:lang w:val="en-US" w:eastAsia="zh-CN"/>
              </w:rPr>
              <w:t>0413</w:t>
            </w:r>
            <w:r>
              <w:rPr>
                <w:rFonts w:hint="default" w:ascii="Times New Roman" w:hAnsi="Times New Roman" w:eastAsia="宋体" w:cs="Times New Roman"/>
                <w:color w:val="auto"/>
                <w:sz w:val="21"/>
                <w:szCs w:val="21"/>
                <w:highlight w:val="none"/>
              </w:rPr>
              <w:t>MA</w:t>
            </w:r>
            <w:r>
              <w:rPr>
                <w:rFonts w:hint="eastAsia" w:ascii="Times New Roman" w:hAnsi="Times New Roman" w:eastAsia="宋体" w:cs="Times New Roman"/>
                <w:color w:val="auto"/>
                <w:sz w:val="21"/>
                <w:szCs w:val="21"/>
                <w:highlight w:val="none"/>
                <w:lang w:val="en-US" w:eastAsia="zh-CN"/>
              </w:rPr>
              <w:t>262FA1XX001X</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验收单位</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缔壹电工科技（江苏）有限公司</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环保设施监测单位</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江苏蓝天环境检测技术有限公司</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验收监测时工况</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投资总概算（万元）</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lang w:val="en-US" w:eastAsia="zh-CN"/>
              </w:rPr>
            </w:pPr>
            <w:r>
              <w:rPr>
                <w:rFonts w:hint="eastAsia" w:cs="Times New Roman"/>
                <w:b/>
                <w:color w:val="auto"/>
                <w:sz w:val="21"/>
                <w:szCs w:val="21"/>
                <w:lang w:val="en-US" w:eastAsia="zh-CN"/>
              </w:rPr>
              <w:t>5000</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tabs>
                <w:tab w:val="left" w:pos="690"/>
              </w:tabs>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环保投资总概算（万元）</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331</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tabs>
                <w:tab w:val="left" w:pos="690"/>
              </w:tabs>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所占比例（%）</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tabs>
                <w:tab w:val="left" w:pos="690"/>
              </w:tabs>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实际总投资</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cs="Times New Roman"/>
                <w:bCs/>
                <w:color w:val="auto"/>
                <w:sz w:val="21"/>
                <w:szCs w:val="21"/>
                <w:lang w:val="en-US" w:eastAsia="zh-CN"/>
              </w:rPr>
              <w:t>2000</w:t>
            </w:r>
            <w:r>
              <w:rPr>
                <w:rFonts w:hint="default" w:ascii="Times New Roman" w:hAnsi="Times New Roman" w:eastAsia="宋体" w:cs="Times New Roman"/>
                <w:bCs/>
                <w:color w:val="auto"/>
                <w:sz w:val="21"/>
                <w:szCs w:val="21"/>
              </w:rPr>
              <w:t>（</w:t>
            </w:r>
            <w:r>
              <w:rPr>
                <w:rFonts w:hint="eastAsia" w:cs="Times New Roman"/>
                <w:bCs/>
                <w:color w:val="auto"/>
                <w:sz w:val="21"/>
                <w:szCs w:val="21"/>
                <w:lang w:val="en-US" w:eastAsia="zh-CN"/>
              </w:rPr>
              <w:t>阶段</w:t>
            </w:r>
            <w:r>
              <w:rPr>
                <w:rFonts w:hint="default" w:ascii="Times New Roman" w:hAnsi="Times New Roman" w:eastAsia="宋体" w:cs="Times New Roman"/>
                <w:bCs/>
                <w:color w:val="auto"/>
                <w:sz w:val="21"/>
                <w:szCs w:val="21"/>
              </w:rPr>
              <w:t>验收项目）</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right="300"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实际环保投资（万元）</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300</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所占比例（%）</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废水治理</w:t>
            </w:r>
          </w:p>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（万元）</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废气治理</w:t>
            </w:r>
          </w:p>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（万元）</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287</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噪声治理</w:t>
            </w:r>
          </w:p>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（万元）</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固体废物治理（万元）</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5</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绿化及生态（万元）</w:t>
            </w:r>
          </w:p>
        </w:tc>
        <w:tc>
          <w:tcPr>
            <w:tcW w:w="360"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其他（万元）</w:t>
            </w:r>
          </w:p>
        </w:tc>
        <w:tc>
          <w:tcPr>
            <w:tcW w:w="322" w:type="pct"/>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FF000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新增废水处理设施能力</w:t>
            </w:r>
          </w:p>
        </w:tc>
        <w:tc>
          <w:tcPr>
            <w:tcW w:w="1361" w:type="pct"/>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cs="Times New Roman"/>
                <w:color w:val="auto"/>
                <w:sz w:val="21"/>
                <w:szCs w:val="21"/>
                <w:lang w:val="en-US" w:eastAsia="zh-CN"/>
              </w:rPr>
              <w:t>/</w:t>
            </w:r>
          </w:p>
        </w:tc>
        <w:tc>
          <w:tcPr>
            <w:tcW w:w="576" w:type="pct"/>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新增废气处理设施能力</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1套</w:t>
            </w:r>
            <w:r>
              <w:rPr>
                <w:color w:val="auto"/>
                <w:sz w:val="21"/>
                <w:szCs w:val="21"/>
              </w:rPr>
              <w:t>旋转式RTO热力燃烧装置</w:t>
            </w:r>
            <w:r>
              <w:rPr>
                <w:rFonts w:hint="eastAsia"/>
                <w:color w:val="auto"/>
                <w:sz w:val="21"/>
                <w:szCs w:val="21"/>
                <w:lang w:eastAsia="zh-CN"/>
              </w:rPr>
              <w:t>、</w:t>
            </w:r>
            <w:r>
              <w:rPr>
                <w:rFonts w:hint="eastAsia"/>
                <w:color w:val="auto"/>
                <w:sz w:val="21"/>
                <w:szCs w:val="21"/>
                <w:lang w:val="en-US" w:eastAsia="zh-CN"/>
              </w:rPr>
              <w:t>1套低氮燃烧器</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color w:val="auto"/>
                <w:sz w:val="21"/>
                <w:szCs w:val="21"/>
              </w:rPr>
              <w:t>年平均工作时</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4800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27" w:type="pct"/>
            <w:gridSpan w:val="2"/>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运营单位</w:t>
            </w:r>
          </w:p>
        </w:tc>
        <w:tc>
          <w:tcPr>
            <w:tcW w:w="1049" w:type="pct"/>
            <w:gridSpan w:val="4"/>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缔壹电工科技（江苏）有限公司</w:t>
            </w:r>
          </w:p>
        </w:tc>
        <w:tc>
          <w:tcPr>
            <w:tcW w:w="888" w:type="pct"/>
            <w:gridSpan w:val="3"/>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运营单位社会统一信用代码（或组织机构代码）</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9132</w:t>
            </w:r>
            <w:r>
              <w:rPr>
                <w:rFonts w:hint="eastAsia" w:ascii="Times New Roman" w:hAnsi="Times New Roman" w:eastAsia="宋体" w:cs="Times New Roman"/>
                <w:color w:val="auto"/>
                <w:sz w:val="21"/>
                <w:szCs w:val="21"/>
                <w:highlight w:val="none"/>
                <w:lang w:val="en-US" w:eastAsia="zh-CN"/>
              </w:rPr>
              <w:t>0413</w:t>
            </w:r>
            <w:r>
              <w:rPr>
                <w:rFonts w:hint="default" w:ascii="Times New Roman" w:hAnsi="Times New Roman" w:eastAsia="宋体" w:cs="Times New Roman"/>
                <w:color w:val="auto"/>
                <w:sz w:val="21"/>
                <w:szCs w:val="21"/>
                <w:highlight w:val="none"/>
              </w:rPr>
              <w:t>MA</w:t>
            </w:r>
            <w:r>
              <w:rPr>
                <w:rFonts w:hint="eastAsia" w:ascii="Times New Roman" w:hAnsi="Times New Roman" w:eastAsia="宋体" w:cs="Times New Roman"/>
                <w:color w:val="auto"/>
                <w:sz w:val="21"/>
                <w:szCs w:val="21"/>
                <w:highlight w:val="none"/>
                <w:lang w:val="en-US" w:eastAsia="zh-CN"/>
              </w:rPr>
              <w:t>262FA1XX</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验收时间</w:t>
            </w:r>
          </w:p>
        </w:tc>
        <w:tc>
          <w:tcPr>
            <w:tcW w:w="1015" w:type="pct"/>
            <w:gridSpan w:val="3"/>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年</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restart"/>
            <w:tcBorders>
              <w:top w:val="single" w:color="auto" w:sz="4" w:space="0"/>
              <w:left w:val="single" w:color="auto" w:sz="8" w:space="0"/>
              <w:bottom w:val="single" w:color="auto" w:sz="8"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r>
              <w:rPr>
                <w:rFonts w:hint="default" w:ascii="Times New Roman" w:hAnsi="Times New Roman" w:eastAsia="宋体" w:cs="Times New Roman"/>
                <w:b/>
                <w:color w:val="auto"/>
                <w:spacing w:val="20"/>
                <w:sz w:val="21"/>
                <w:szCs w:val="21"/>
              </w:rPr>
              <w:t>污染物排放达标与总量控制</w:t>
            </w: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污染物</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原有排</w:t>
            </w:r>
          </w:p>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放量(1)</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本期工程实际排放浓度(2)</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本期工程允许排放浓度(3)</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本期工程产生量(4)</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本期工程自身削减量(5)</w:t>
            </w:r>
          </w:p>
        </w:tc>
        <w:tc>
          <w:tcPr>
            <w:tcW w:w="297"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本期工程实际排放量(6)</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本期工程核定排放总量(7)</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本期工程“以新带老”削减量(8)</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全厂实际排放总量(9)</w:t>
            </w:r>
          </w:p>
        </w:tc>
        <w:tc>
          <w:tcPr>
            <w:tcW w:w="360"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全厂核定排放总量(10)</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区域平衡替代削减量(11)</w:t>
            </w:r>
          </w:p>
        </w:tc>
        <w:tc>
          <w:tcPr>
            <w:tcW w:w="322" w:type="pct"/>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排放增减量(12)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废水</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300</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300</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300</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300</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adjustRightInd w:val="0"/>
              <w:snapToGrid w:val="0"/>
              <w:spacing w:line="240" w:lineRule="auto"/>
              <w:ind w:firstLine="0" w:firstLineChars="0"/>
              <w:jc w:val="center"/>
              <w:textAlignment w:val="center"/>
              <w:rPr>
                <w:rFonts w:hint="default" w:ascii="Times New Roman" w:hAnsi="Times New Roman" w:eastAsia="宋体" w:cs="Times New Roman"/>
                <w:b/>
                <w:color w:val="auto"/>
                <w:spacing w:val="10"/>
                <w:sz w:val="21"/>
                <w:szCs w:val="21"/>
                <w:highlight w:val="none"/>
              </w:rPr>
            </w:pPr>
            <w:r>
              <w:rPr>
                <w:rFonts w:hint="default" w:ascii="Times New Roman" w:hAnsi="Times New Roman" w:eastAsia="宋体" w:cs="Times New Roman"/>
                <w:b/>
                <w:color w:val="auto"/>
                <w:spacing w:val="10"/>
                <w:sz w:val="21"/>
                <w:szCs w:val="21"/>
                <w:highlight w:val="none"/>
              </w:rPr>
              <w:t>COD</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1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171.75</w:t>
            </w:r>
          </w:p>
        </w:tc>
        <w:tc>
          <w:tcPr>
            <w:tcW w:w="11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340</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0.0515</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0.102</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color w:val="auto"/>
                <w:sz w:val="21"/>
                <w:szCs w:val="21"/>
                <w:highlight w:val="none"/>
                <w:lang w:val="en-US" w:eastAsia="zh-CN"/>
              </w:rPr>
              <w:t>0.0515</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0.102</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0.0515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10"/>
                <w:sz w:val="21"/>
                <w:szCs w:val="21"/>
                <w:highlight w:val="none"/>
                <w:lang w:val="en-US" w:eastAsia="zh-CN"/>
              </w:rPr>
            </w:pPr>
            <w:r>
              <w:rPr>
                <w:rFonts w:hint="eastAsia" w:cs="Times New Roman"/>
                <w:b/>
                <w:color w:val="auto"/>
                <w:spacing w:val="10"/>
                <w:sz w:val="21"/>
                <w:szCs w:val="21"/>
                <w:highlight w:val="none"/>
                <w:lang w:val="en-US" w:eastAsia="zh-CN"/>
              </w:rPr>
              <w:t>SS</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1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90.375</w:t>
            </w:r>
          </w:p>
        </w:tc>
        <w:tc>
          <w:tcPr>
            <w:tcW w:w="11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160</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0.0271</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0.048</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color w:val="auto"/>
                <w:sz w:val="21"/>
                <w:szCs w:val="21"/>
                <w:highlight w:val="none"/>
                <w:lang w:val="en-US" w:eastAsia="zh-CN"/>
              </w:rPr>
              <w:t>0.0271</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0.048</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0.0271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snapToGrid w:val="0"/>
                <w:color w:val="auto"/>
                <w:spacing w:val="10"/>
                <w:sz w:val="21"/>
                <w:szCs w:val="21"/>
                <w:highlight w:val="none"/>
                <w:lang w:val="en-US" w:eastAsia="zh-CN" w:bidi="ar-SA"/>
              </w:rPr>
            </w:pPr>
            <w:r>
              <w:rPr>
                <w:rFonts w:hint="default" w:ascii="Times New Roman" w:hAnsi="Times New Roman" w:eastAsia="宋体" w:cs="Times New Roman"/>
                <w:b/>
                <w:color w:val="auto"/>
                <w:spacing w:val="10"/>
                <w:sz w:val="21"/>
                <w:szCs w:val="21"/>
                <w:highlight w:val="none"/>
              </w:rPr>
              <w:t>氨氮</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1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3.541</w:t>
            </w:r>
          </w:p>
        </w:tc>
        <w:tc>
          <w:tcPr>
            <w:tcW w:w="11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25</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0.001</w:t>
            </w:r>
            <w:r>
              <w:rPr>
                <w:rFonts w:hint="eastAsia" w:cs="Times New Roman"/>
                <w:color w:val="auto"/>
                <w:sz w:val="21"/>
                <w:szCs w:val="21"/>
                <w:highlight w:val="none"/>
                <w:lang w:val="en-US" w:eastAsia="zh-CN"/>
              </w:rPr>
              <w:t>1</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0.0075</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color w:val="auto"/>
                <w:sz w:val="21"/>
                <w:szCs w:val="21"/>
                <w:highlight w:val="none"/>
                <w:lang w:val="en-US" w:eastAsia="zh-CN"/>
              </w:rPr>
              <w:t>0.001</w:t>
            </w:r>
            <w:r>
              <w:rPr>
                <w:rFonts w:hint="eastAsia" w:cs="Times New Roman"/>
                <w:color w:val="auto"/>
                <w:sz w:val="21"/>
                <w:szCs w:val="21"/>
                <w:highlight w:val="none"/>
                <w:lang w:val="en-US" w:eastAsia="zh-CN"/>
              </w:rPr>
              <w:t>1</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0.0075</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0.001</w:t>
            </w:r>
            <w:r>
              <w:rPr>
                <w:rFonts w:hint="eastAsia" w:cs="Times New Roman"/>
                <w:color w:val="auto"/>
                <w:sz w:val="21"/>
                <w:szCs w:val="21"/>
                <w:lang w:val="en-US" w:eastAsia="zh-CN"/>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snapToGrid w:val="0"/>
                <w:color w:val="auto"/>
                <w:spacing w:val="10"/>
                <w:sz w:val="21"/>
                <w:szCs w:val="21"/>
                <w:highlight w:val="none"/>
                <w:lang w:val="en-US" w:eastAsia="zh-CN" w:bidi="ar-SA"/>
              </w:rPr>
            </w:pPr>
            <w:r>
              <w:rPr>
                <w:rFonts w:hint="default" w:ascii="Times New Roman" w:hAnsi="Times New Roman" w:eastAsia="宋体" w:cs="Times New Roman"/>
                <w:b/>
                <w:color w:val="auto"/>
                <w:spacing w:val="10"/>
                <w:sz w:val="21"/>
                <w:szCs w:val="21"/>
                <w:highlight w:val="none"/>
              </w:rPr>
              <w:t>总磷</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1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0.99</w:t>
            </w:r>
            <w:r>
              <w:rPr>
                <w:rFonts w:hint="eastAsia" w:cs="Times New Roman"/>
                <w:color w:val="auto"/>
                <w:sz w:val="21"/>
                <w:szCs w:val="21"/>
                <w:highlight w:val="none"/>
                <w:lang w:val="en-US" w:eastAsia="zh-CN"/>
              </w:rPr>
              <w:t>8</w:t>
            </w:r>
          </w:p>
        </w:tc>
        <w:tc>
          <w:tcPr>
            <w:tcW w:w="11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3</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0.000</w:t>
            </w:r>
            <w:r>
              <w:rPr>
                <w:rFonts w:hint="eastAsia" w:cs="Times New Roman"/>
                <w:color w:val="auto"/>
                <w:sz w:val="21"/>
                <w:szCs w:val="21"/>
                <w:highlight w:val="none"/>
                <w:lang w:val="en-US" w:eastAsia="zh-CN"/>
              </w:rPr>
              <w:t>3</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0.0009</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color w:val="auto"/>
                <w:sz w:val="21"/>
                <w:szCs w:val="21"/>
                <w:highlight w:val="none"/>
                <w:lang w:val="en-US" w:eastAsia="zh-CN"/>
              </w:rPr>
              <w:t>0.000</w:t>
            </w:r>
            <w:r>
              <w:rPr>
                <w:rFonts w:hint="eastAsia" w:cs="Times New Roman"/>
                <w:color w:val="auto"/>
                <w:sz w:val="21"/>
                <w:szCs w:val="21"/>
                <w:highlight w:val="none"/>
                <w:lang w:val="en-US" w:eastAsia="zh-CN"/>
              </w:rPr>
              <w:t>3</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0.0009</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0.000</w:t>
            </w:r>
            <w:r>
              <w:rPr>
                <w:rFonts w:hint="eastAsia" w:cs="Times New Roman"/>
                <w:color w:val="auto"/>
                <w:sz w:val="21"/>
                <w:szCs w:val="21"/>
                <w:lang w:val="en-US" w:eastAsia="zh-CN"/>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snapToGrid w:val="0"/>
                <w:color w:val="auto"/>
                <w:spacing w:val="10"/>
                <w:sz w:val="21"/>
                <w:szCs w:val="21"/>
                <w:highlight w:val="none"/>
                <w:lang w:val="en-US" w:eastAsia="zh-CN" w:bidi="ar-SA"/>
              </w:rPr>
            </w:pPr>
            <w:r>
              <w:rPr>
                <w:rFonts w:hint="eastAsia" w:ascii="Times New Roman" w:hAnsi="Times New Roman" w:eastAsia="宋体" w:cs="Times New Roman"/>
                <w:b/>
                <w:snapToGrid w:val="0"/>
                <w:color w:val="auto"/>
                <w:spacing w:val="10"/>
                <w:sz w:val="21"/>
                <w:szCs w:val="21"/>
                <w:highlight w:val="none"/>
                <w:lang w:val="en-US" w:eastAsia="zh-CN" w:bidi="ar-SA"/>
              </w:rPr>
              <w:t>总氮</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1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11.76</w:t>
            </w:r>
            <w:r>
              <w:rPr>
                <w:rFonts w:hint="eastAsia" w:cs="Times New Roman"/>
                <w:color w:val="auto"/>
                <w:sz w:val="21"/>
                <w:szCs w:val="21"/>
                <w:highlight w:val="none"/>
                <w:lang w:val="en-US" w:eastAsia="zh-CN"/>
              </w:rPr>
              <w:t>3</w:t>
            </w:r>
          </w:p>
        </w:tc>
        <w:tc>
          <w:tcPr>
            <w:tcW w:w="11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35</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0.0035</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0.0105</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color w:val="auto"/>
                <w:sz w:val="21"/>
                <w:szCs w:val="21"/>
                <w:highlight w:val="none"/>
                <w:lang w:val="en-US" w:eastAsia="zh-CN"/>
              </w:rPr>
              <w:t>0.0035</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0.0105</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0.0035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10"/>
                <w:sz w:val="21"/>
                <w:szCs w:val="21"/>
              </w:rPr>
            </w:pPr>
            <w:r>
              <w:rPr>
                <w:rFonts w:hint="default" w:ascii="Times New Roman" w:hAnsi="Times New Roman" w:eastAsia="宋体" w:cs="Times New Roman"/>
                <w:b/>
                <w:color w:val="auto"/>
                <w:spacing w:val="10"/>
                <w:sz w:val="21"/>
                <w:szCs w:val="21"/>
              </w:rPr>
              <w:t>废气</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297"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360"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c>
          <w:tcPr>
            <w:tcW w:w="322" w:type="pct"/>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10"/>
                <w:sz w:val="21"/>
                <w:szCs w:val="21"/>
                <w:highlight w:val="none"/>
                <w:lang w:val="en-US" w:eastAsia="zh-CN"/>
              </w:rPr>
            </w:pPr>
            <w:r>
              <w:rPr>
                <w:rFonts w:hint="eastAsia" w:cs="Times New Roman"/>
                <w:b/>
                <w:color w:val="auto"/>
                <w:spacing w:val="10"/>
                <w:sz w:val="21"/>
                <w:szCs w:val="21"/>
                <w:highlight w:val="none"/>
                <w:lang w:val="en-US" w:eastAsia="zh-CN"/>
              </w:rPr>
              <w:t>非甲烷总烃</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97"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0.017</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0.483</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highlight w:val="none"/>
              </w:rPr>
            </w:pPr>
            <w:r>
              <w:rPr>
                <w:rFonts w:hint="eastAsia" w:ascii="Times New Roman" w:hAnsi="Times New Roman" w:eastAsia="宋体" w:cs="Times New Roman"/>
                <w:color w:val="auto"/>
                <w:sz w:val="21"/>
                <w:szCs w:val="21"/>
                <w:highlight w:val="none"/>
                <w:lang w:val="en-US" w:eastAsia="zh-CN"/>
              </w:rPr>
              <w:t>0.017</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0.483</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0.017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24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10"/>
                <w:sz w:val="21"/>
                <w:szCs w:val="21"/>
                <w:highlight w:val="none"/>
              </w:rPr>
            </w:pPr>
            <w:r>
              <w:rPr>
                <w:rFonts w:hint="default" w:ascii="Times New Roman" w:hAnsi="Times New Roman" w:eastAsia="宋体" w:cs="Times New Roman"/>
                <w:b/>
                <w:color w:val="auto"/>
                <w:spacing w:val="10"/>
                <w:sz w:val="21"/>
                <w:szCs w:val="21"/>
                <w:highlight w:val="none"/>
              </w:rPr>
              <w:t>颗粒物</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0.0008</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0.08</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0.0008</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0.08</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0.0008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24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10"/>
                <w:sz w:val="21"/>
                <w:szCs w:val="21"/>
                <w:highlight w:val="none"/>
              </w:rPr>
            </w:pPr>
            <w:r>
              <w:rPr>
                <w:rFonts w:hint="default" w:ascii="Times New Roman" w:hAnsi="Times New Roman" w:eastAsia="宋体" w:cs="Times New Roman"/>
                <w:b/>
                <w:color w:val="auto"/>
                <w:spacing w:val="10"/>
                <w:sz w:val="21"/>
                <w:szCs w:val="21"/>
                <w:highlight w:val="none"/>
              </w:rPr>
              <w:t>二氧化硫</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0.0023</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0.013</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0.0023</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auto"/>
                <w:sz w:val="21"/>
                <w:szCs w:val="21"/>
                <w:highlight w:val="none"/>
              </w:rPr>
            </w:pPr>
            <w:r>
              <w:rPr>
                <w:rFonts w:hint="eastAsia" w:cs="Times New Roman"/>
                <w:color w:val="auto"/>
                <w:sz w:val="21"/>
                <w:szCs w:val="21"/>
                <w:highlight w:val="none"/>
                <w:lang w:val="en-US" w:eastAsia="zh-CN"/>
              </w:rPr>
              <w:t>0.013</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0.0023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24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10"/>
                <w:sz w:val="21"/>
                <w:szCs w:val="21"/>
              </w:rPr>
            </w:pPr>
            <w:r>
              <w:rPr>
                <w:rFonts w:hint="default" w:ascii="Times New Roman" w:hAnsi="Times New Roman" w:eastAsia="宋体" w:cs="Times New Roman"/>
                <w:b/>
                <w:color w:val="auto"/>
                <w:spacing w:val="10"/>
                <w:sz w:val="21"/>
                <w:szCs w:val="21"/>
              </w:rPr>
              <w:t>氮氧化物</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FF0000"/>
                <w:sz w:val="21"/>
                <w:szCs w:val="21"/>
                <w:highlight w:val="yellow"/>
              </w:rPr>
            </w:pPr>
            <w:r>
              <w:rPr>
                <w:rFonts w:hint="eastAsia" w:cs="Times New Roman"/>
                <w:color w:val="auto"/>
                <w:sz w:val="21"/>
                <w:szCs w:val="21"/>
                <w:lang w:val="en-US" w:eastAsia="zh-CN"/>
              </w:rPr>
              <w:t>0.0023</w:t>
            </w:r>
          </w:p>
        </w:tc>
        <w:tc>
          <w:tcPr>
            <w:tcW w:w="116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color w:val="FF0000"/>
                <w:sz w:val="21"/>
                <w:szCs w:val="21"/>
              </w:rPr>
            </w:pPr>
            <w:r>
              <w:rPr>
                <w:rFonts w:hint="eastAsia" w:cs="Times New Roman"/>
                <w:color w:val="auto"/>
                <w:sz w:val="21"/>
                <w:szCs w:val="21"/>
                <w:lang w:val="en-US" w:eastAsia="zh-CN"/>
              </w:rPr>
              <w:t>0.023</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3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bCs/>
                <w:color w:val="FF0000"/>
                <w:sz w:val="21"/>
                <w:szCs w:val="21"/>
                <w:highlight w:val="yellow"/>
              </w:rPr>
            </w:pPr>
            <w:r>
              <w:rPr>
                <w:rFonts w:hint="eastAsia" w:cs="Times New Roman"/>
                <w:color w:val="auto"/>
                <w:sz w:val="21"/>
                <w:szCs w:val="21"/>
                <w:lang w:val="en-US" w:eastAsia="zh-CN"/>
              </w:rPr>
              <w:t>0.0023</w:t>
            </w:r>
          </w:p>
        </w:tc>
        <w:tc>
          <w:tcPr>
            <w:tcW w:w="151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28"/>
              <w:ind w:firstLine="0" w:firstLineChars="0"/>
              <w:rPr>
                <w:rFonts w:hint="default" w:ascii="Times New Roman" w:hAnsi="Times New Roman" w:eastAsia="宋体" w:cs="Times New Roman"/>
                <w:bCs/>
                <w:color w:val="FF0000"/>
                <w:sz w:val="21"/>
                <w:szCs w:val="21"/>
              </w:rPr>
            </w:pPr>
            <w:r>
              <w:rPr>
                <w:rFonts w:hint="eastAsia" w:cs="Times New Roman"/>
                <w:color w:val="auto"/>
                <w:sz w:val="21"/>
                <w:szCs w:val="21"/>
                <w:lang w:val="en-US" w:eastAsia="zh-CN"/>
              </w:rPr>
              <w:t>0.023</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1358"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pStyle w:val="28"/>
              <w:spacing w:line="240" w:lineRule="auto"/>
              <w:ind w:firstLine="0" w:firstLineChars="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0.0023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48" w:type="pct"/>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20"/>
                <w:sz w:val="21"/>
                <w:szCs w:val="21"/>
              </w:rPr>
            </w:pPr>
          </w:p>
        </w:tc>
        <w:tc>
          <w:tcPr>
            <w:tcW w:w="57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djustRightInd w:val="0"/>
              <w:snapToGrid w:val="0"/>
              <w:spacing w:line="240" w:lineRule="auto"/>
              <w:ind w:firstLine="0" w:firstLineChars="0"/>
              <w:jc w:val="center"/>
              <w:rPr>
                <w:rFonts w:hint="default" w:ascii="Times New Roman" w:hAnsi="Times New Roman" w:eastAsia="宋体" w:cs="Times New Roman"/>
                <w:b/>
                <w:color w:val="auto"/>
                <w:spacing w:val="10"/>
                <w:sz w:val="21"/>
                <w:szCs w:val="21"/>
              </w:rPr>
            </w:pPr>
            <w:r>
              <w:rPr>
                <w:rFonts w:hint="default" w:ascii="Times New Roman" w:hAnsi="Times New Roman" w:eastAsia="宋体" w:cs="Times New Roman"/>
                <w:b/>
                <w:color w:val="auto"/>
                <w:spacing w:val="10"/>
                <w:sz w:val="21"/>
                <w:szCs w:val="21"/>
              </w:rPr>
              <w:t>工业固体废物</w:t>
            </w:r>
          </w:p>
        </w:tc>
        <w:tc>
          <w:tcPr>
            <w:tcW w:w="21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69"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81"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31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97"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278"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766"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55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0</w:t>
            </w:r>
          </w:p>
        </w:tc>
        <w:tc>
          <w:tcPr>
            <w:tcW w:w="360"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0</w:t>
            </w:r>
          </w:p>
        </w:tc>
        <w:tc>
          <w:tcPr>
            <w:tcW w:w="332" w:type="pc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c>
          <w:tcPr>
            <w:tcW w:w="322" w:type="pct"/>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pPr>
              <w:autoSpaceDE/>
              <w:autoSpaceDN/>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w:t>
            </w:r>
          </w:p>
        </w:tc>
      </w:tr>
    </w:tbl>
    <w:p>
      <w:pPr>
        <w:adjustRightInd w:val="0"/>
        <w:snapToGrid w:val="0"/>
        <w:spacing w:line="240" w:lineRule="auto"/>
        <w:ind w:firstLine="422"/>
        <w:rPr>
          <w:rFonts w:hint="default" w:ascii="Times New Roman" w:hAnsi="Times New Roman" w:eastAsia="宋体" w:cs="Times New Roman"/>
          <w:color w:val="auto"/>
          <w:sz w:val="21"/>
          <w:szCs w:val="21"/>
        </w:rPr>
        <w:sectPr>
          <w:pgSz w:w="23811" w:h="16838" w:orient="landscape"/>
          <w:pgMar w:top="1440" w:right="1440" w:bottom="1440" w:left="1440" w:header="851" w:footer="992" w:gutter="0"/>
          <w:pgBorders>
            <w:top w:val="none" w:sz="0" w:space="0"/>
            <w:left w:val="none" w:sz="0" w:space="0"/>
            <w:bottom w:val="none" w:sz="0" w:space="0"/>
            <w:right w:val="none" w:sz="0" w:space="0"/>
          </w:pgBorders>
          <w:cols w:space="0" w:num="1"/>
          <w:docGrid w:type="lines" w:linePitch="392" w:charSpace="0"/>
        </w:sectPr>
      </w:pPr>
      <w:r>
        <w:rPr>
          <w:rFonts w:hint="default" w:ascii="Times New Roman" w:hAnsi="Times New Roman" w:eastAsia="宋体" w:cs="Times New Roman"/>
          <w:b/>
          <w:color w:val="auto"/>
          <w:sz w:val="21"/>
          <w:szCs w:val="21"/>
        </w:rPr>
        <w:t>注</w:t>
      </w:r>
      <w:r>
        <w:rPr>
          <w:rFonts w:hint="default" w:ascii="Times New Roman" w:hAnsi="Times New Roman" w:eastAsia="宋体" w:cs="Times New Roman"/>
          <w:color w:val="auto"/>
          <w:sz w:val="21"/>
          <w:szCs w:val="21"/>
        </w:rPr>
        <w:t>：1、</w:t>
      </w:r>
      <w:r>
        <w:rPr>
          <w:rFonts w:hint="default" w:ascii="Times New Roman" w:hAnsi="Times New Roman" w:eastAsia="宋体" w:cs="Times New Roman"/>
          <w:color w:val="auto"/>
          <w:spacing w:val="-4"/>
          <w:sz w:val="21"/>
          <w:szCs w:val="21"/>
        </w:rPr>
        <w:t>排放增减量：（+）表示增加，（-）表示减少。2、(12)=(6)-(8)-(11)，（9）= (4)-(5)-(8)- (11) +（1）。3、计量单位：废水排放量——吨/年；废气排放量——标立方米/年；工业固体废物排放</w:t>
      </w:r>
      <w:r>
        <w:rPr>
          <w:rFonts w:hint="default" w:ascii="Times New Roman" w:hAnsi="Times New Roman" w:eastAsia="宋体" w:cs="Times New Roman"/>
          <w:color w:val="auto"/>
          <w:sz w:val="21"/>
          <w:szCs w:val="21"/>
        </w:rPr>
        <w:t>量——吨/年；水污染物排放浓度——毫克/升。</w:t>
      </w:r>
    </w:p>
    <w:p>
      <w:pPr>
        <w:pStyle w:val="3"/>
        <w:keepNext/>
        <w:keepLines/>
        <w:pageBreakBefore w:val="0"/>
        <w:widowControl w:val="0"/>
        <w:kinsoku/>
        <w:wordWrap/>
        <w:overflowPunct/>
        <w:topLinePunct w:val="0"/>
        <w:autoSpaceDE w:val="0"/>
        <w:autoSpaceDN w:val="0"/>
        <w:bidi w:val="0"/>
        <w:adjustRightInd/>
        <w:snapToGrid/>
        <w:spacing w:beforeLines="0" w:afterLines="0" w:line="360" w:lineRule="auto"/>
        <w:ind w:firstLine="422" w:firstLineChars="200"/>
        <w:textAlignment w:val="auto"/>
        <w:rPr>
          <w:rFonts w:hint="eastAsia" w:ascii="Times New Roman" w:hAnsi="Times New Roman" w:eastAsia="宋体" w:cs="Times New Roman"/>
          <w:color w:val="auto"/>
          <w:sz w:val="21"/>
          <w:szCs w:val="21"/>
          <w:highlight w:val="none"/>
          <w:lang w:eastAsia="zh-CN"/>
        </w:rPr>
      </w:pPr>
      <w:bookmarkStart w:id="59" w:name="_Toc4003"/>
      <w:r>
        <w:rPr>
          <w:rFonts w:hint="default" w:ascii="Times New Roman" w:hAnsi="Times New Roman" w:eastAsia="宋体" w:cs="Times New Roman"/>
          <w:color w:val="auto"/>
          <w:sz w:val="21"/>
          <w:szCs w:val="21"/>
          <w:highlight w:val="none"/>
        </w:rPr>
        <w:t>12 附</w:t>
      </w:r>
      <w:r>
        <w:rPr>
          <w:rFonts w:hint="eastAsia" w:ascii="Times New Roman" w:hAnsi="Times New Roman" w:eastAsia="宋体" w:cs="Times New Roman"/>
          <w:color w:val="auto"/>
          <w:sz w:val="21"/>
          <w:szCs w:val="21"/>
          <w:highlight w:val="none"/>
          <w:lang w:val="en-US" w:eastAsia="zh-CN"/>
        </w:rPr>
        <w:t>图</w:t>
      </w:r>
      <w:bookmarkEnd w:id="59"/>
    </w:p>
    <w:p>
      <w:pPr>
        <w:pStyle w:val="11"/>
        <w:keepNext w:val="0"/>
        <w:keepLines w:val="0"/>
        <w:pageBreakBefore w:val="0"/>
        <w:widowControl w:val="0"/>
        <w:kinsoku/>
        <w:wordWrap/>
        <w:overflowPunct/>
        <w:topLinePunct w:val="0"/>
        <w:autoSpaceDE w:val="0"/>
        <w:autoSpaceDN w:val="0"/>
        <w:bidi w:val="0"/>
        <w:adjustRightInd/>
        <w:snapToGrid w:val="0"/>
        <w:spacing w:after="0" w:line="360" w:lineRule="auto"/>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附图一 项目地理位置图</w:t>
      </w:r>
    </w:p>
    <w:p>
      <w:pPr>
        <w:pStyle w:val="11"/>
        <w:keepNext w:val="0"/>
        <w:keepLines w:val="0"/>
        <w:pageBreakBefore w:val="0"/>
        <w:widowControl w:val="0"/>
        <w:kinsoku/>
        <w:wordWrap/>
        <w:overflowPunct/>
        <w:topLinePunct w:val="0"/>
        <w:autoSpaceDE w:val="0"/>
        <w:autoSpaceDN w:val="0"/>
        <w:bidi w:val="0"/>
        <w:adjustRightInd/>
        <w:snapToGrid w:val="0"/>
        <w:spacing w:after="0" w:line="360" w:lineRule="auto"/>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附图二 项目周边概况图</w:t>
      </w:r>
    </w:p>
    <w:p>
      <w:pPr>
        <w:pStyle w:val="11"/>
        <w:keepNext w:val="0"/>
        <w:keepLines w:val="0"/>
        <w:pageBreakBefore w:val="0"/>
        <w:widowControl w:val="0"/>
        <w:kinsoku/>
        <w:wordWrap/>
        <w:overflowPunct/>
        <w:topLinePunct w:val="0"/>
        <w:autoSpaceDE w:val="0"/>
        <w:autoSpaceDN w:val="0"/>
        <w:bidi w:val="0"/>
        <w:adjustRightInd/>
        <w:snapToGrid w:val="0"/>
        <w:spacing w:after="0" w:line="360" w:lineRule="auto"/>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 xml:space="preserve">附图三 </w:t>
      </w:r>
      <w:r>
        <w:rPr>
          <w:rFonts w:hint="eastAsia" w:ascii="宋体" w:hAnsi="宋体" w:eastAsia="宋体" w:cs="宋体"/>
          <w:color w:val="auto"/>
          <w:sz w:val="21"/>
          <w:szCs w:val="21"/>
          <w:highlight w:val="none"/>
        </w:rPr>
        <w:t>环评设计平面布置图</w:t>
      </w:r>
    </w:p>
    <w:p>
      <w:pPr>
        <w:pStyle w:val="11"/>
        <w:keepNext w:val="0"/>
        <w:keepLines w:val="0"/>
        <w:pageBreakBefore w:val="0"/>
        <w:widowControl w:val="0"/>
        <w:kinsoku/>
        <w:wordWrap/>
        <w:overflowPunct/>
        <w:topLinePunct w:val="0"/>
        <w:autoSpaceDE w:val="0"/>
        <w:autoSpaceDN w:val="0"/>
        <w:bidi w:val="0"/>
        <w:adjustRightInd/>
        <w:snapToGrid w:val="0"/>
        <w:spacing w:after="0" w:line="360" w:lineRule="auto"/>
        <w:textAlignment w:val="auto"/>
        <w:rPr>
          <w:rFonts w:hint="eastAsia" w:ascii="宋体" w:hAnsi="宋体" w:eastAsia="宋体" w:cs="宋体"/>
          <w:color w:val="auto"/>
          <w:sz w:val="21"/>
          <w:szCs w:val="21"/>
          <w:highlight w:val="none"/>
        </w:rPr>
      </w:pPr>
      <w:r>
        <w:rPr>
          <w:rFonts w:ascii="宋体" w:hAnsi="宋体" w:eastAsia="宋体" w:cs="宋体"/>
          <w:color w:val="auto"/>
          <w:sz w:val="21"/>
          <w:szCs w:val="21"/>
          <w:highlight w:val="none"/>
        </w:rPr>
        <w:t>附图四</w:t>
      </w:r>
      <w:r>
        <w:rPr>
          <w:rFonts w:hint="eastAsia" w:ascii="宋体" w:hAnsi="宋体" w:eastAsia="宋体" w:cs="宋体"/>
          <w:color w:val="auto"/>
          <w:sz w:val="21"/>
          <w:szCs w:val="21"/>
          <w:highlight w:val="none"/>
        </w:rPr>
        <w:t xml:space="preserve"> 项目实际</w:t>
      </w:r>
      <w:r>
        <w:rPr>
          <w:rFonts w:hint="eastAsia" w:ascii="宋体" w:hAnsi="宋体" w:cs="宋体"/>
          <w:color w:val="auto"/>
          <w:sz w:val="21"/>
          <w:szCs w:val="21"/>
          <w:highlight w:val="none"/>
          <w:lang w:val="en-US" w:eastAsia="zh-CN"/>
        </w:rPr>
        <w:t>厂区</w:t>
      </w:r>
      <w:r>
        <w:rPr>
          <w:rFonts w:hint="eastAsia" w:ascii="宋体" w:hAnsi="宋体" w:eastAsia="宋体" w:cs="宋体"/>
          <w:color w:val="auto"/>
          <w:sz w:val="21"/>
          <w:szCs w:val="21"/>
          <w:highlight w:val="none"/>
        </w:rPr>
        <w:t>平面布置及监测点</w:t>
      </w:r>
      <w:bookmarkStart w:id="61" w:name="_GoBack"/>
      <w:bookmarkEnd w:id="61"/>
      <w:r>
        <w:rPr>
          <w:rFonts w:hint="eastAsia" w:ascii="宋体" w:hAnsi="宋体" w:eastAsia="宋体" w:cs="宋体"/>
          <w:color w:val="auto"/>
          <w:sz w:val="21"/>
          <w:szCs w:val="21"/>
          <w:highlight w:val="none"/>
        </w:rPr>
        <w:t>位示意图</w:t>
      </w:r>
    </w:p>
    <w:p>
      <w:pPr>
        <w:pStyle w:val="11"/>
        <w:keepNext w:val="0"/>
        <w:keepLines w:val="0"/>
        <w:pageBreakBefore w:val="0"/>
        <w:widowControl w:val="0"/>
        <w:kinsoku/>
        <w:wordWrap/>
        <w:overflowPunct/>
        <w:topLinePunct w:val="0"/>
        <w:autoSpaceDE w:val="0"/>
        <w:autoSpaceDN w:val="0"/>
        <w:bidi w:val="0"/>
        <w:adjustRightInd/>
        <w:snapToGrid w:val="0"/>
        <w:spacing w:after="0" w:line="360" w:lineRule="auto"/>
        <w:textAlignment w:val="auto"/>
        <w:rPr>
          <w:rFonts w:hint="eastAsia"/>
          <w:color w:val="auto"/>
          <w:sz w:val="21"/>
          <w:szCs w:val="21"/>
          <w:highlight w:val="none"/>
        </w:rPr>
      </w:pPr>
      <w:r>
        <w:rPr>
          <w:rFonts w:hint="eastAsia" w:ascii="宋体" w:hAnsi="宋体" w:eastAsia="宋体" w:cs="宋体"/>
          <w:color w:val="auto"/>
          <w:sz w:val="21"/>
          <w:szCs w:val="21"/>
          <w:highlight w:val="none"/>
        </w:rPr>
        <w:t>附图五 项目</w:t>
      </w:r>
      <w:r>
        <w:rPr>
          <w:rFonts w:hint="eastAsia" w:ascii="宋体" w:hAnsi="宋体" w:eastAsia="宋体" w:cs="宋体"/>
          <w:color w:val="auto"/>
          <w:sz w:val="21"/>
          <w:szCs w:val="21"/>
          <w:highlight w:val="none"/>
          <w:lang w:val="en-US" w:eastAsia="zh-CN"/>
        </w:rPr>
        <w:t>生产车间平面布置图</w:t>
      </w:r>
    </w:p>
    <w:p>
      <w:pPr>
        <w:pStyle w:val="11"/>
        <w:keepNext w:val="0"/>
        <w:keepLines w:val="0"/>
        <w:pageBreakBefore w:val="0"/>
        <w:widowControl w:val="0"/>
        <w:kinsoku/>
        <w:wordWrap/>
        <w:overflowPunct/>
        <w:topLinePunct w:val="0"/>
        <w:autoSpaceDE w:val="0"/>
        <w:autoSpaceDN w:val="0"/>
        <w:bidi w:val="0"/>
        <w:adjustRightInd/>
        <w:snapToGrid w:val="0"/>
        <w:spacing w:after="0"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附图</w:t>
      </w:r>
      <w:r>
        <w:rPr>
          <w:rFonts w:hint="eastAsia" w:ascii="宋体" w:hAnsi="宋体" w:cs="宋体"/>
          <w:color w:val="auto"/>
          <w:sz w:val="21"/>
          <w:szCs w:val="21"/>
          <w:highlight w:val="none"/>
          <w:lang w:val="en-US" w:eastAsia="zh-CN"/>
        </w:rPr>
        <w:t>六</w:t>
      </w:r>
      <w:r>
        <w:rPr>
          <w:rFonts w:hint="eastAsia" w:ascii="宋体" w:hAnsi="宋体" w:eastAsia="宋体" w:cs="宋体"/>
          <w:color w:val="auto"/>
          <w:sz w:val="21"/>
          <w:szCs w:val="21"/>
          <w:highlight w:val="none"/>
        </w:rPr>
        <w:t xml:space="preserve"> 环保设施及环保标识牌</w:t>
      </w:r>
    </w:p>
    <w:p>
      <w:pPr>
        <w:pStyle w:val="3"/>
        <w:keepNext/>
        <w:keepLines/>
        <w:pageBreakBefore w:val="0"/>
        <w:widowControl w:val="0"/>
        <w:kinsoku/>
        <w:wordWrap/>
        <w:overflowPunct/>
        <w:topLinePunct w:val="0"/>
        <w:autoSpaceDE w:val="0"/>
        <w:autoSpaceDN w:val="0"/>
        <w:bidi w:val="0"/>
        <w:adjustRightInd/>
        <w:snapToGrid/>
        <w:spacing w:beforeLines="0" w:afterLines="0" w:line="360" w:lineRule="auto"/>
        <w:ind w:firstLine="422" w:firstLineChars="200"/>
        <w:textAlignment w:val="auto"/>
        <w:rPr>
          <w:rFonts w:hint="default" w:ascii="Times New Roman" w:hAnsi="Times New Roman" w:eastAsia="宋体" w:cs="Times New Roman"/>
          <w:color w:val="auto"/>
          <w:sz w:val="21"/>
          <w:szCs w:val="21"/>
          <w:highlight w:val="none"/>
        </w:rPr>
      </w:pPr>
      <w:bookmarkStart w:id="60" w:name="_Toc21353"/>
      <w:r>
        <w:rPr>
          <w:rFonts w:hint="default" w:ascii="Times New Roman" w:hAnsi="Times New Roman" w:eastAsia="宋体" w:cs="Times New Roman"/>
          <w:color w:val="auto"/>
          <w:sz w:val="21"/>
          <w:szCs w:val="21"/>
          <w:highlight w:val="none"/>
        </w:rPr>
        <w:t>1</w:t>
      </w:r>
      <w:r>
        <w:rPr>
          <w:rFonts w:hint="eastAsia"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 xml:space="preserve"> 附件</w:t>
      </w:r>
      <w:bookmarkEnd w:id="60"/>
    </w:p>
    <w:p>
      <w:pPr>
        <w:pStyle w:val="11"/>
        <w:keepNext w:val="0"/>
        <w:keepLines w:val="0"/>
        <w:pageBreakBefore w:val="0"/>
        <w:widowControl w:val="0"/>
        <w:kinsoku/>
        <w:wordWrap/>
        <w:overflowPunct/>
        <w:topLinePunct w:val="0"/>
        <w:autoSpaceDE w:val="0"/>
        <w:autoSpaceDN w:val="0"/>
        <w:bidi w:val="0"/>
        <w:snapToGrid w:val="0"/>
        <w:spacing w:after="0" w:line="360" w:lineRule="auto"/>
        <w:rPr>
          <w:rFonts w:ascii="宋体" w:hAnsi="宋体" w:eastAsia="宋体" w:cs="宋体"/>
          <w:color w:val="auto"/>
          <w:sz w:val="21"/>
          <w:szCs w:val="21"/>
          <w:highlight w:val="none"/>
        </w:rPr>
      </w:pPr>
      <w:r>
        <w:rPr>
          <w:rFonts w:ascii="宋体" w:hAnsi="宋体" w:eastAsia="宋体" w:cs="宋体"/>
          <w:color w:val="auto"/>
          <w:sz w:val="21"/>
          <w:szCs w:val="21"/>
          <w:highlight w:val="none"/>
        </w:rPr>
        <w:t>附件一 环评批复</w:t>
      </w:r>
    </w:p>
    <w:p>
      <w:pPr>
        <w:keepNext w:val="0"/>
        <w:keepLines w:val="0"/>
        <w:pageBreakBefore w:val="0"/>
        <w:widowControl w:val="0"/>
        <w:kinsoku/>
        <w:wordWrap/>
        <w:overflowPunct/>
        <w:topLinePunct w:val="0"/>
        <w:autoSpaceDE w:val="0"/>
        <w:autoSpaceDN w:val="0"/>
        <w:bidi w:val="0"/>
        <w:snapToGrid w:val="0"/>
        <w:spacing w:after="0" w:line="360" w:lineRule="auto"/>
        <w:rPr>
          <w:rFonts w:ascii="宋体" w:hAnsi="宋体" w:eastAsia="宋体" w:cs="宋体"/>
          <w:color w:val="auto"/>
          <w:sz w:val="21"/>
          <w:szCs w:val="21"/>
          <w:highlight w:val="none"/>
        </w:rPr>
      </w:pPr>
      <w:r>
        <w:rPr>
          <w:rFonts w:ascii="宋体" w:hAnsi="宋体" w:eastAsia="宋体" w:cs="宋体"/>
          <w:color w:val="auto"/>
          <w:sz w:val="21"/>
          <w:szCs w:val="21"/>
          <w:highlight w:val="none"/>
        </w:rPr>
        <w:t>附件二 营业执照</w:t>
      </w:r>
    </w:p>
    <w:p>
      <w:pPr>
        <w:pStyle w:val="11"/>
        <w:keepNext w:val="0"/>
        <w:keepLines w:val="0"/>
        <w:pageBreakBefore w:val="0"/>
        <w:widowControl w:val="0"/>
        <w:kinsoku/>
        <w:wordWrap/>
        <w:overflowPunct/>
        <w:topLinePunct w:val="0"/>
        <w:autoSpaceDE w:val="0"/>
        <w:autoSpaceDN w:val="0"/>
        <w:bidi w:val="0"/>
        <w:snapToGrid w:val="0"/>
        <w:spacing w:after="0" w:line="360" w:lineRule="auto"/>
        <w:rPr>
          <w:rFonts w:hint="eastAsia" w:ascii="宋体" w:hAnsi="宋体" w:eastAsia="宋体" w:cs="宋体"/>
          <w:color w:val="auto"/>
          <w:sz w:val="21"/>
          <w:szCs w:val="21"/>
          <w:highlight w:val="none"/>
        </w:rPr>
      </w:pPr>
      <w:r>
        <w:rPr>
          <w:rFonts w:ascii="宋体" w:hAnsi="宋体" w:eastAsia="宋体" w:cs="宋体"/>
          <w:color w:val="auto"/>
          <w:sz w:val="21"/>
          <w:szCs w:val="21"/>
          <w:highlight w:val="none"/>
        </w:rPr>
        <w:t>附件三 法人</w:t>
      </w:r>
      <w:r>
        <w:rPr>
          <w:rFonts w:hint="eastAsia" w:ascii="宋体" w:hAnsi="宋体" w:eastAsia="宋体" w:cs="宋体"/>
          <w:color w:val="auto"/>
          <w:sz w:val="21"/>
          <w:szCs w:val="21"/>
          <w:highlight w:val="none"/>
        </w:rPr>
        <w:t>证件</w:t>
      </w:r>
    </w:p>
    <w:p>
      <w:pPr>
        <w:keepNext w:val="0"/>
        <w:keepLines w:val="0"/>
        <w:pageBreakBefore w:val="0"/>
        <w:widowControl w:val="0"/>
        <w:kinsoku/>
        <w:wordWrap/>
        <w:overflowPunct/>
        <w:topLinePunct w:val="0"/>
        <w:autoSpaceDE w:val="0"/>
        <w:autoSpaceDN w:val="0"/>
        <w:bidi w:val="0"/>
        <w:snapToGrid w:val="0"/>
        <w:spacing w:after="0" w:line="360" w:lineRule="auto"/>
        <w:rPr>
          <w:rFonts w:hint="default" w:ascii="宋体" w:hAnsi="宋体" w:eastAsia="宋体" w:cs="宋体"/>
          <w:color w:val="auto"/>
          <w:sz w:val="21"/>
          <w:szCs w:val="21"/>
          <w:highlight w:val="none"/>
          <w:lang w:val="en-US"/>
        </w:rPr>
      </w:pPr>
      <w:r>
        <w:rPr>
          <w:rFonts w:ascii="宋体" w:hAnsi="宋体" w:eastAsia="宋体" w:cs="宋体"/>
          <w:color w:val="auto"/>
          <w:sz w:val="21"/>
          <w:szCs w:val="21"/>
          <w:highlight w:val="none"/>
        </w:rPr>
        <w:t xml:space="preserve">附件四 </w:t>
      </w:r>
      <w:r>
        <w:rPr>
          <w:rFonts w:hint="eastAsia" w:ascii="宋体" w:hAnsi="宋体" w:cs="宋体"/>
          <w:color w:val="auto"/>
          <w:sz w:val="21"/>
          <w:szCs w:val="21"/>
          <w:highlight w:val="none"/>
          <w:lang w:val="en-US" w:eastAsia="zh-CN"/>
        </w:rPr>
        <w:t>验收</w:t>
      </w:r>
      <w:r>
        <w:rPr>
          <w:rFonts w:ascii="宋体" w:hAnsi="宋体" w:eastAsia="宋体" w:cs="宋体"/>
          <w:color w:val="auto"/>
          <w:sz w:val="21"/>
          <w:szCs w:val="21"/>
          <w:highlight w:val="none"/>
        </w:rPr>
        <w:t>检测报告</w:t>
      </w:r>
    </w:p>
    <w:p>
      <w:pPr>
        <w:keepNext w:val="0"/>
        <w:keepLines w:val="0"/>
        <w:pageBreakBefore w:val="0"/>
        <w:widowControl w:val="0"/>
        <w:kinsoku/>
        <w:wordWrap/>
        <w:overflowPunct/>
        <w:topLinePunct w:val="0"/>
        <w:autoSpaceDE w:val="0"/>
        <w:autoSpaceDN w:val="0"/>
        <w:bidi w:val="0"/>
        <w:snapToGrid w:val="0"/>
        <w:spacing w:after="0" w:line="360" w:lineRule="auto"/>
        <w:rPr>
          <w:rFonts w:ascii="宋体" w:hAnsi="宋体" w:eastAsia="宋体" w:cs="宋体"/>
          <w:color w:val="auto"/>
          <w:sz w:val="21"/>
          <w:szCs w:val="21"/>
          <w:highlight w:val="none"/>
        </w:rPr>
      </w:pPr>
      <w:r>
        <w:rPr>
          <w:rFonts w:ascii="宋体" w:hAnsi="宋体" w:eastAsia="宋体" w:cs="宋体"/>
          <w:color w:val="auto"/>
          <w:sz w:val="21"/>
          <w:szCs w:val="21"/>
          <w:highlight w:val="none"/>
        </w:rPr>
        <w:t>附件五 危险废物处置合同</w:t>
      </w:r>
    </w:p>
    <w:p>
      <w:pPr>
        <w:pStyle w:val="11"/>
        <w:keepNext w:val="0"/>
        <w:keepLines w:val="0"/>
        <w:pageBreakBefore w:val="0"/>
        <w:widowControl w:val="0"/>
        <w:kinsoku/>
        <w:wordWrap/>
        <w:overflowPunct/>
        <w:topLinePunct w:val="0"/>
        <w:autoSpaceDE w:val="0"/>
        <w:autoSpaceDN w:val="0"/>
        <w:bidi w:val="0"/>
        <w:snapToGrid w:val="0"/>
        <w:spacing w:after="0" w:line="360" w:lineRule="auto"/>
        <w:rPr>
          <w:rFonts w:hint="default" w:ascii="宋体" w:hAnsi="宋体" w:eastAsia="宋体" w:cs="宋体"/>
          <w:color w:val="auto"/>
          <w:sz w:val="21"/>
          <w:szCs w:val="21"/>
          <w:highlight w:val="none"/>
          <w:lang w:val="en-US" w:eastAsia="zh-CN"/>
        </w:rPr>
      </w:pPr>
      <w:r>
        <w:rPr>
          <w:rFonts w:ascii="宋体" w:hAnsi="宋体" w:eastAsia="宋体" w:cs="宋体"/>
          <w:color w:val="auto"/>
          <w:sz w:val="21"/>
          <w:szCs w:val="21"/>
          <w:highlight w:val="none"/>
        </w:rPr>
        <w:t xml:space="preserve">附件六 </w:t>
      </w:r>
      <w:r>
        <w:rPr>
          <w:rFonts w:hint="eastAsia" w:ascii="宋体" w:hAnsi="宋体" w:eastAsia="宋体" w:cs="宋体"/>
          <w:color w:val="auto"/>
          <w:sz w:val="21"/>
          <w:szCs w:val="21"/>
          <w:highlight w:val="none"/>
          <w:lang w:val="en-US" w:eastAsia="zh-CN"/>
        </w:rPr>
        <w:t>污水接管证明</w:t>
      </w:r>
    </w:p>
    <w:p>
      <w:pPr>
        <w:pStyle w:val="11"/>
        <w:keepNext w:val="0"/>
        <w:keepLines w:val="0"/>
        <w:pageBreakBefore w:val="0"/>
        <w:widowControl w:val="0"/>
        <w:kinsoku/>
        <w:wordWrap/>
        <w:overflowPunct/>
        <w:topLinePunct w:val="0"/>
        <w:autoSpaceDE w:val="0"/>
        <w:autoSpaceDN w:val="0"/>
        <w:bidi w:val="0"/>
        <w:snapToGrid w:val="0"/>
        <w:spacing w:after="0"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附件七 </w:t>
      </w:r>
      <w:r>
        <w:rPr>
          <w:rFonts w:hint="eastAsia" w:cs="Times New Roman"/>
          <w:color w:val="auto"/>
          <w:sz w:val="21"/>
          <w:szCs w:val="21"/>
          <w:highlight w:val="none"/>
          <w:lang w:val="en-US" w:eastAsia="zh-CN"/>
        </w:rPr>
        <w:t>排污许可</w:t>
      </w:r>
      <w:r>
        <w:rPr>
          <w:rFonts w:hint="eastAsia" w:ascii="宋体" w:hAnsi="宋体" w:eastAsia="宋体" w:cs="宋体"/>
          <w:color w:val="auto"/>
          <w:sz w:val="21"/>
          <w:szCs w:val="21"/>
          <w:highlight w:val="none"/>
          <w:lang w:val="en-US" w:eastAsia="zh-CN"/>
        </w:rPr>
        <w:t>登记回执</w:t>
      </w:r>
    </w:p>
    <w:p>
      <w:pPr>
        <w:pStyle w:val="11"/>
        <w:keepNext w:val="0"/>
        <w:keepLines w:val="0"/>
        <w:pageBreakBefore w:val="0"/>
        <w:widowControl w:val="0"/>
        <w:kinsoku/>
        <w:wordWrap/>
        <w:overflowPunct/>
        <w:topLinePunct w:val="0"/>
        <w:autoSpaceDE w:val="0"/>
        <w:autoSpaceDN w:val="0"/>
        <w:bidi w:val="0"/>
        <w:snapToGrid w:val="0"/>
        <w:spacing w:after="0"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附件八 一般固废处置合同</w:t>
      </w:r>
    </w:p>
    <w:p>
      <w:pPr>
        <w:pStyle w:val="11"/>
        <w:keepNext w:val="0"/>
        <w:keepLines w:val="0"/>
        <w:pageBreakBefore w:val="0"/>
        <w:widowControl w:val="0"/>
        <w:kinsoku/>
        <w:wordWrap/>
        <w:overflowPunct/>
        <w:topLinePunct w:val="0"/>
        <w:autoSpaceDE w:val="0"/>
        <w:autoSpaceDN w:val="0"/>
        <w:bidi w:val="0"/>
        <w:snapToGrid w:val="0"/>
        <w:spacing w:after="0"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附件九 调试公示</w:t>
      </w:r>
    </w:p>
    <w:p>
      <w:pPr>
        <w:pStyle w:val="11"/>
        <w:keepNext w:val="0"/>
        <w:keepLines w:val="0"/>
        <w:pageBreakBefore w:val="0"/>
        <w:widowControl w:val="0"/>
        <w:kinsoku/>
        <w:wordWrap/>
        <w:overflowPunct/>
        <w:topLinePunct w:val="0"/>
        <w:autoSpaceDE w:val="0"/>
        <w:autoSpaceDN w:val="0"/>
        <w:bidi w:val="0"/>
        <w:snapToGrid w:val="0"/>
        <w:spacing w:after="0" w:line="360" w:lineRule="auto"/>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附件十 竣工公示</w:t>
      </w:r>
    </w:p>
    <w:p>
      <w:pPr>
        <w:pStyle w:val="11"/>
        <w:keepNext w:val="0"/>
        <w:keepLines w:val="0"/>
        <w:pageBreakBefore w:val="0"/>
        <w:widowControl w:val="0"/>
        <w:kinsoku/>
        <w:wordWrap/>
        <w:overflowPunct/>
        <w:topLinePunct w:val="0"/>
        <w:autoSpaceDE w:val="0"/>
        <w:autoSpaceDN w:val="0"/>
        <w:bidi w:val="0"/>
        <w:snapToGrid w:val="0"/>
        <w:spacing w:after="0" w:line="360" w:lineRule="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附件十一 原辅料MSDS报告</w:t>
      </w:r>
    </w:p>
    <w:p>
      <w:pPr>
        <w:keepNext w:val="0"/>
        <w:keepLines w:val="0"/>
        <w:pageBreakBefore w:val="0"/>
        <w:widowControl w:val="0"/>
        <w:kinsoku/>
        <w:wordWrap/>
        <w:overflowPunct/>
        <w:topLinePunct w:val="0"/>
        <w:autoSpaceDE w:val="0"/>
        <w:autoSpaceDN w:val="0"/>
        <w:bidi w:val="0"/>
        <w:snapToGrid w:val="0"/>
        <w:spacing w:line="360" w:lineRule="auto"/>
        <w:rPr>
          <w:rFonts w:hint="default" w:ascii="Times New Roman" w:hAnsi="Times New Roman" w:eastAsia="宋体" w:cs="Times New Roman"/>
          <w:color w:val="FF0000"/>
        </w:rPr>
      </w:pPr>
    </w:p>
    <w:sectPr>
      <w:pgSz w:w="11905" w:h="16838"/>
      <w:pgMar w:top="1440" w:right="1440" w:bottom="1440" w:left="1440" w:header="851" w:footer="992" w:gutter="0"/>
      <w:pgBorders>
        <w:top w:val="none" w:sz="0" w:space="0"/>
        <w:left w:val="none" w:sz="0" w:space="0"/>
        <w:bottom w:val="none" w:sz="0" w:space="0"/>
        <w:right w:val="none" w:sz="0" w:space="0"/>
      </w:pgBorders>
      <w:cols w:space="0" w:num="1"/>
      <w:docGrid w:type="lines" w:linePitch="39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both"/>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path/>
          <v:fill on="f" focussize="0,0"/>
          <v:stroke on="f" weight="0.5pt" joinstyle="miter"/>
          <v:imagedata o:title=""/>
          <o:lock v:ext="edit"/>
          <v:textbox inset="0mm,0mm,0mm,0mm" style="mso-fit-shape-to-text:t;">
            <w:txbxContent>
              <w:p>
                <w:pPr>
                  <w:pStyle w:val="17"/>
                  <w:ind w:firstLine="360"/>
                </w:pP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5245666"/>
      <w:docPartObj>
        <w:docPartGallery w:val="autotext"/>
      </w:docPartObj>
    </w:sdtPr>
    <w:sdtContent>
      <w:p>
        <w:pPr>
          <w:pStyle w:val="17"/>
          <w:ind w:firstLine="360"/>
          <w:jc w:val="center"/>
        </w:pPr>
        <w:r>
          <w:fldChar w:fldCharType="begin"/>
        </w:r>
        <w:r>
          <w:instrText xml:space="preserve">PAGE   \* MERGEFORMAT</w:instrText>
        </w:r>
        <w:r>
          <w:fldChar w:fldCharType="separate"/>
        </w:r>
        <w:r>
          <w:rPr>
            <w:lang w:val="zh-CN"/>
          </w:rPr>
          <w:t>2</w:t>
        </w:r>
        <w:r>
          <w:fldChar w:fldCharType="end"/>
        </w:r>
      </w:p>
    </w:sdtContent>
  </w:sdt>
  <w:p>
    <w:pPr>
      <w:pStyle w:val="17"/>
      <w:ind w:firstLine="0"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none" w:color="auto" w:sz="0" w:space="0"/>
        <w:left w:val="none" w:color="auto" w:sz="0" w:space="0"/>
        <w:bottom w:val="none" w:color="auto" w:sz="0" w:space="0"/>
        <w:right w:val="none" w:color="auto" w:sz="0" w:space="0"/>
      </w:pBdr>
      <w:kinsoku w:val="0"/>
      <w:overflowPunct w:val="0"/>
      <w:adjustRightInd w:val="0"/>
      <w:ind w:firstLine="360"/>
      <w:jc w:val="center"/>
      <w:rPr>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none" w:color="auto" w:sz="0" w:space="0"/>
        <w:left w:val="none" w:color="auto" w:sz="0" w:space="0"/>
        <w:bottom w:val="single" w:color="auto" w:sz="4" w:space="1"/>
        <w:right w:val="none" w:color="auto" w:sz="0" w:space="0"/>
      </w:pBdr>
      <w:ind w:firstLine="420"/>
      <w:jc w:val="center"/>
      <w:rPr>
        <w:sz w:val="21"/>
        <w:szCs w:val="21"/>
      </w:rPr>
    </w:pPr>
    <w:r>
      <w:rPr>
        <w:rFonts w:hint="eastAsia"/>
        <w:sz w:val="21"/>
        <w:szCs w:val="21"/>
      </w:rPr>
      <w:t>项目竣工环境保护验收监测报告</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5951"/>
      </w:tabs>
      <w:ind w:firstLine="0" w:firstLineChars="0"/>
      <w:jc w:val="left"/>
      <w:rPr>
        <w:rFonts w:ascii="华文行楷" w:eastAsia="华文行楷"/>
        <w:spacing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21DF6"/>
    <w:multiLevelType w:val="singleLevel"/>
    <w:tmpl w:val="9EB21DF6"/>
    <w:lvl w:ilvl="0" w:tentative="0">
      <w:start w:val="1"/>
      <w:numFmt w:val="decimal"/>
      <w:suff w:val="nothing"/>
      <w:lvlText w:val="%1、"/>
      <w:lvlJc w:val="left"/>
    </w:lvl>
  </w:abstractNum>
  <w:abstractNum w:abstractNumId="1">
    <w:nsid w:val="F7D8331C"/>
    <w:multiLevelType w:val="singleLevel"/>
    <w:tmpl w:val="F7D8331C"/>
    <w:lvl w:ilvl="0" w:tentative="0">
      <w:start w:val="2"/>
      <w:numFmt w:val="decimal"/>
      <w:suff w:val="nothing"/>
      <w:lvlText w:val="（%1）"/>
      <w:lvlJc w:val="left"/>
    </w:lvl>
  </w:abstractNum>
  <w:abstractNum w:abstractNumId="2">
    <w:nsid w:val="0D04EBBC"/>
    <w:multiLevelType w:val="singleLevel"/>
    <w:tmpl w:val="0D04EBBC"/>
    <w:lvl w:ilvl="0" w:tentative="0">
      <w:start w:val="1"/>
      <w:numFmt w:val="bullet"/>
      <w:pStyle w:val="12"/>
      <w:lvlText w:val=""/>
      <w:lvlJc w:val="left"/>
      <w:pPr>
        <w:tabs>
          <w:tab w:val="left" w:pos="2040"/>
        </w:tabs>
        <w:ind w:left="2040" w:hanging="360"/>
      </w:pPr>
      <w:rPr>
        <w:rFonts w:hint="default" w:ascii="Wingdings" w:hAnsi="Wingdings"/>
      </w:rPr>
    </w:lvl>
  </w:abstractNum>
  <w:abstractNum w:abstractNumId="3">
    <w:nsid w:val="24688E2F"/>
    <w:multiLevelType w:val="singleLevel"/>
    <w:tmpl w:val="24688E2F"/>
    <w:lvl w:ilvl="0" w:tentative="0">
      <w:start w:val="1"/>
      <w:numFmt w:val="decimal"/>
      <w:suff w:val="nothing"/>
      <w:lvlText w:val="%1、"/>
      <w:lvlJc w:val="left"/>
    </w:lvl>
  </w:abstractNum>
  <w:abstractNum w:abstractNumId="4">
    <w:nsid w:val="3EA03FDB"/>
    <w:multiLevelType w:val="multilevel"/>
    <w:tmpl w:val="3EA03FDB"/>
    <w:lvl w:ilvl="0" w:tentative="0">
      <w:start w:val="1"/>
      <w:numFmt w:val="decimal"/>
      <w:suff w:val="nothing"/>
      <w:lvlText w:val="%1."/>
      <w:lvlJc w:val="left"/>
      <w:pPr>
        <w:ind w:left="720" w:hanging="720"/>
      </w:pPr>
      <w:rPr>
        <w:rFonts w:hint="eastAsia"/>
      </w:rPr>
    </w:lvl>
    <w:lvl w:ilvl="1" w:tentative="0">
      <w:start w:val="1"/>
      <w:numFmt w:val="decimal"/>
      <w:lvlText w:val="%2."/>
      <w:lvlJc w:val="left"/>
      <w:pPr>
        <w:tabs>
          <w:tab w:val="left" w:pos="1440"/>
        </w:tabs>
        <w:ind w:left="1440" w:hanging="720"/>
      </w:pPr>
      <w:rPr>
        <w:rFonts w:hint="eastAsia"/>
      </w:rPr>
    </w:lvl>
    <w:lvl w:ilvl="2" w:tentative="0">
      <w:start w:val="1"/>
      <w:numFmt w:val="decimal"/>
      <w:lvlText w:val="%3."/>
      <w:lvlJc w:val="left"/>
      <w:pPr>
        <w:tabs>
          <w:tab w:val="left" w:pos="2160"/>
        </w:tabs>
        <w:ind w:left="2160" w:hanging="720"/>
      </w:pPr>
      <w:rPr>
        <w:rFonts w:hint="eastAsia"/>
      </w:rPr>
    </w:lvl>
    <w:lvl w:ilvl="3" w:tentative="0">
      <w:start w:val="1"/>
      <w:numFmt w:val="decimal"/>
      <w:lvlText w:val="%4."/>
      <w:lvlJc w:val="left"/>
      <w:pPr>
        <w:tabs>
          <w:tab w:val="left" w:pos="2880"/>
        </w:tabs>
        <w:ind w:left="2880" w:hanging="720"/>
      </w:pPr>
      <w:rPr>
        <w:rFonts w:hint="eastAsia"/>
      </w:rPr>
    </w:lvl>
    <w:lvl w:ilvl="4" w:tentative="0">
      <w:start w:val="1"/>
      <w:numFmt w:val="decimal"/>
      <w:lvlText w:val="%5."/>
      <w:lvlJc w:val="left"/>
      <w:pPr>
        <w:tabs>
          <w:tab w:val="left" w:pos="3600"/>
        </w:tabs>
        <w:ind w:left="3600" w:hanging="720"/>
      </w:pPr>
      <w:rPr>
        <w:rFonts w:hint="eastAsia"/>
      </w:rPr>
    </w:lvl>
    <w:lvl w:ilvl="5" w:tentative="0">
      <w:start w:val="1"/>
      <w:numFmt w:val="decimal"/>
      <w:lvlText w:val="%6."/>
      <w:lvlJc w:val="left"/>
      <w:pPr>
        <w:tabs>
          <w:tab w:val="left" w:pos="4320"/>
        </w:tabs>
        <w:ind w:left="4320" w:hanging="720"/>
      </w:pPr>
      <w:rPr>
        <w:rFonts w:hint="eastAsia"/>
      </w:rPr>
    </w:lvl>
    <w:lvl w:ilvl="6" w:tentative="0">
      <w:start w:val="1"/>
      <w:numFmt w:val="decimal"/>
      <w:lvlText w:val="%7."/>
      <w:lvlJc w:val="left"/>
      <w:pPr>
        <w:tabs>
          <w:tab w:val="left" w:pos="5040"/>
        </w:tabs>
        <w:ind w:left="5040" w:hanging="720"/>
      </w:pPr>
      <w:rPr>
        <w:rFonts w:hint="eastAsia"/>
      </w:rPr>
    </w:lvl>
    <w:lvl w:ilvl="7" w:tentative="0">
      <w:start w:val="1"/>
      <w:numFmt w:val="decimal"/>
      <w:lvlText w:val="%8."/>
      <w:lvlJc w:val="left"/>
      <w:pPr>
        <w:tabs>
          <w:tab w:val="left" w:pos="5760"/>
        </w:tabs>
        <w:ind w:left="5760" w:hanging="720"/>
      </w:pPr>
      <w:rPr>
        <w:rFonts w:hint="eastAsia"/>
      </w:rPr>
    </w:lvl>
    <w:lvl w:ilvl="8" w:tentative="0">
      <w:start w:val="1"/>
      <w:numFmt w:val="decimal"/>
      <w:lvlText w:val="%9."/>
      <w:lvlJc w:val="left"/>
      <w:pPr>
        <w:tabs>
          <w:tab w:val="left" w:pos="6480"/>
        </w:tabs>
        <w:ind w:left="6480" w:hanging="720"/>
      </w:pPr>
      <w:rPr>
        <w:rFonts w:hint="eastAsia"/>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hideSpellingErrors/>
  <w:documentProtection w:enforcement="0"/>
  <w:defaultTabStop w:val="420"/>
  <w:drawingGridVerticalSpacing w:val="199"/>
  <w:displayHorizontalDrawingGridEvery w:val="1"/>
  <w:displayVerticalDrawingGridEvery w:val="1"/>
  <w:noPunctuationKerning w:val="1"/>
  <w:characterSpacingControl w:val="compressPunctuation"/>
  <w:hdrShapeDefaults>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BlZGY1MzRlZTI1Njg5YTk1MDRhYWEzMWU1YzkwYWMifQ=="/>
  </w:docVars>
  <w:rsids>
    <w:rsidRoot w:val="10797046"/>
    <w:rsid w:val="0000169C"/>
    <w:rsid w:val="00001CD9"/>
    <w:rsid w:val="000050CC"/>
    <w:rsid w:val="000227CD"/>
    <w:rsid w:val="000262F2"/>
    <w:rsid w:val="0003166A"/>
    <w:rsid w:val="0004066C"/>
    <w:rsid w:val="000429ED"/>
    <w:rsid w:val="00053947"/>
    <w:rsid w:val="00062A55"/>
    <w:rsid w:val="000645BB"/>
    <w:rsid w:val="000649C0"/>
    <w:rsid w:val="00065BF7"/>
    <w:rsid w:val="00086463"/>
    <w:rsid w:val="00097617"/>
    <w:rsid w:val="000A335B"/>
    <w:rsid w:val="000B2E67"/>
    <w:rsid w:val="000C2BFC"/>
    <w:rsid w:val="000E2057"/>
    <w:rsid w:val="000E4FD5"/>
    <w:rsid w:val="000F355D"/>
    <w:rsid w:val="000F7C91"/>
    <w:rsid w:val="0010319B"/>
    <w:rsid w:val="00105FCF"/>
    <w:rsid w:val="00116D80"/>
    <w:rsid w:val="00122B5A"/>
    <w:rsid w:val="00127A48"/>
    <w:rsid w:val="001323F3"/>
    <w:rsid w:val="00137AB2"/>
    <w:rsid w:val="00140EEA"/>
    <w:rsid w:val="00142E8F"/>
    <w:rsid w:val="00146596"/>
    <w:rsid w:val="00146779"/>
    <w:rsid w:val="00153066"/>
    <w:rsid w:val="00155CB5"/>
    <w:rsid w:val="001666AA"/>
    <w:rsid w:val="00167D4C"/>
    <w:rsid w:val="00173DF9"/>
    <w:rsid w:val="00180C1E"/>
    <w:rsid w:val="001846B6"/>
    <w:rsid w:val="00190EC0"/>
    <w:rsid w:val="00197B07"/>
    <w:rsid w:val="001A4E65"/>
    <w:rsid w:val="001B3D90"/>
    <w:rsid w:val="001D0C31"/>
    <w:rsid w:val="001D5A4A"/>
    <w:rsid w:val="001F11BB"/>
    <w:rsid w:val="001F308A"/>
    <w:rsid w:val="00202FE4"/>
    <w:rsid w:val="00205EA4"/>
    <w:rsid w:val="00207B80"/>
    <w:rsid w:val="00213EBD"/>
    <w:rsid w:val="00222FA7"/>
    <w:rsid w:val="0023173F"/>
    <w:rsid w:val="00240E72"/>
    <w:rsid w:val="0026678B"/>
    <w:rsid w:val="00277A31"/>
    <w:rsid w:val="0028712F"/>
    <w:rsid w:val="0029650D"/>
    <w:rsid w:val="002966BD"/>
    <w:rsid w:val="002A2968"/>
    <w:rsid w:val="002B107D"/>
    <w:rsid w:val="002B1E20"/>
    <w:rsid w:val="002C10C8"/>
    <w:rsid w:val="002C2C59"/>
    <w:rsid w:val="002C351F"/>
    <w:rsid w:val="002C55E0"/>
    <w:rsid w:val="002C7BDA"/>
    <w:rsid w:val="00303B1D"/>
    <w:rsid w:val="00303DA9"/>
    <w:rsid w:val="00323D75"/>
    <w:rsid w:val="00324778"/>
    <w:rsid w:val="003256EC"/>
    <w:rsid w:val="003373B2"/>
    <w:rsid w:val="00370148"/>
    <w:rsid w:val="00371B56"/>
    <w:rsid w:val="0037244B"/>
    <w:rsid w:val="00380848"/>
    <w:rsid w:val="00381FDC"/>
    <w:rsid w:val="0038706A"/>
    <w:rsid w:val="00397A11"/>
    <w:rsid w:val="003A08B2"/>
    <w:rsid w:val="003A315A"/>
    <w:rsid w:val="003A5625"/>
    <w:rsid w:val="003B018F"/>
    <w:rsid w:val="003B0C68"/>
    <w:rsid w:val="003C4D02"/>
    <w:rsid w:val="003C7146"/>
    <w:rsid w:val="003E0DFB"/>
    <w:rsid w:val="003E19CF"/>
    <w:rsid w:val="003E5AC7"/>
    <w:rsid w:val="003F4A32"/>
    <w:rsid w:val="00400746"/>
    <w:rsid w:val="00417C2C"/>
    <w:rsid w:val="0042285A"/>
    <w:rsid w:val="0042345A"/>
    <w:rsid w:val="004306FF"/>
    <w:rsid w:val="00432824"/>
    <w:rsid w:val="0044230D"/>
    <w:rsid w:val="00442BC5"/>
    <w:rsid w:val="00443E84"/>
    <w:rsid w:val="00462DF1"/>
    <w:rsid w:val="00473692"/>
    <w:rsid w:val="00475C36"/>
    <w:rsid w:val="00480C6F"/>
    <w:rsid w:val="00484D83"/>
    <w:rsid w:val="00492AAC"/>
    <w:rsid w:val="00493E92"/>
    <w:rsid w:val="00495B1D"/>
    <w:rsid w:val="004A16A9"/>
    <w:rsid w:val="004A4382"/>
    <w:rsid w:val="004B6CC7"/>
    <w:rsid w:val="004B70FB"/>
    <w:rsid w:val="004D10F7"/>
    <w:rsid w:val="004D1D7A"/>
    <w:rsid w:val="004D25A6"/>
    <w:rsid w:val="004D63EB"/>
    <w:rsid w:val="004E07EF"/>
    <w:rsid w:val="004E13FB"/>
    <w:rsid w:val="004E74CE"/>
    <w:rsid w:val="004F3CEC"/>
    <w:rsid w:val="00500587"/>
    <w:rsid w:val="00504ACC"/>
    <w:rsid w:val="00506813"/>
    <w:rsid w:val="00511986"/>
    <w:rsid w:val="005234D1"/>
    <w:rsid w:val="00525C0C"/>
    <w:rsid w:val="00525E83"/>
    <w:rsid w:val="0053065A"/>
    <w:rsid w:val="005457D3"/>
    <w:rsid w:val="00546951"/>
    <w:rsid w:val="005470E4"/>
    <w:rsid w:val="00555578"/>
    <w:rsid w:val="005629FA"/>
    <w:rsid w:val="00562D97"/>
    <w:rsid w:val="00570F63"/>
    <w:rsid w:val="00583D06"/>
    <w:rsid w:val="00594C74"/>
    <w:rsid w:val="005971CE"/>
    <w:rsid w:val="005B3C69"/>
    <w:rsid w:val="005B4CC7"/>
    <w:rsid w:val="005C01B4"/>
    <w:rsid w:val="005C73EA"/>
    <w:rsid w:val="005D30EF"/>
    <w:rsid w:val="005D5804"/>
    <w:rsid w:val="005D5ECE"/>
    <w:rsid w:val="005F621D"/>
    <w:rsid w:val="005F6A96"/>
    <w:rsid w:val="00605DC5"/>
    <w:rsid w:val="00610563"/>
    <w:rsid w:val="00615F70"/>
    <w:rsid w:val="00621ADD"/>
    <w:rsid w:val="006230DC"/>
    <w:rsid w:val="0062663D"/>
    <w:rsid w:val="00627973"/>
    <w:rsid w:val="00636F23"/>
    <w:rsid w:val="00643613"/>
    <w:rsid w:val="00653582"/>
    <w:rsid w:val="00662376"/>
    <w:rsid w:val="00666896"/>
    <w:rsid w:val="00667510"/>
    <w:rsid w:val="00687D89"/>
    <w:rsid w:val="0069551F"/>
    <w:rsid w:val="006B0343"/>
    <w:rsid w:val="006B42C5"/>
    <w:rsid w:val="006B4357"/>
    <w:rsid w:val="006B4B8E"/>
    <w:rsid w:val="006B75C7"/>
    <w:rsid w:val="006C2F8F"/>
    <w:rsid w:val="006C3DD2"/>
    <w:rsid w:val="006C544A"/>
    <w:rsid w:val="006C595D"/>
    <w:rsid w:val="006D03EF"/>
    <w:rsid w:val="006D1AAC"/>
    <w:rsid w:val="006E7C99"/>
    <w:rsid w:val="006F37D1"/>
    <w:rsid w:val="006F697E"/>
    <w:rsid w:val="0070724B"/>
    <w:rsid w:val="00717D37"/>
    <w:rsid w:val="00732550"/>
    <w:rsid w:val="0073358D"/>
    <w:rsid w:val="00755F83"/>
    <w:rsid w:val="00765ED7"/>
    <w:rsid w:val="007679EA"/>
    <w:rsid w:val="0077676E"/>
    <w:rsid w:val="0077748E"/>
    <w:rsid w:val="0078009A"/>
    <w:rsid w:val="007878B6"/>
    <w:rsid w:val="00787DC9"/>
    <w:rsid w:val="007918D0"/>
    <w:rsid w:val="007936F7"/>
    <w:rsid w:val="00795247"/>
    <w:rsid w:val="0079642C"/>
    <w:rsid w:val="00796512"/>
    <w:rsid w:val="007A027E"/>
    <w:rsid w:val="007A68DC"/>
    <w:rsid w:val="007B0102"/>
    <w:rsid w:val="007C619B"/>
    <w:rsid w:val="007C71CE"/>
    <w:rsid w:val="007D0864"/>
    <w:rsid w:val="007D1E1B"/>
    <w:rsid w:val="007D357B"/>
    <w:rsid w:val="007D6336"/>
    <w:rsid w:val="007F0136"/>
    <w:rsid w:val="00805CCA"/>
    <w:rsid w:val="00810002"/>
    <w:rsid w:val="0081573D"/>
    <w:rsid w:val="008308C1"/>
    <w:rsid w:val="00843DCA"/>
    <w:rsid w:val="00847FE0"/>
    <w:rsid w:val="00852013"/>
    <w:rsid w:val="0085391E"/>
    <w:rsid w:val="00861726"/>
    <w:rsid w:val="0086486E"/>
    <w:rsid w:val="0087113D"/>
    <w:rsid w:val="00874C86"/>
    <w:rsid w:val="00875BD2"/>
    <w:rsid w:val="008766F9"/>
    <w:rsid w:val="0087713D"/>
    <w:rsid w:val="00887A0E"/>
    <w:rsid w:val="00894018"/>
    <w:rsid w:val="008949A2"/>
    <w:rsid w:val="008A1554"/>
    <w:rsid w:val="008B2429"/>
    <w:rsid w:val="008B3008"/>
    <w:rsid w:val="008B37FF"/>
    <w:rsid w:val="008B69A2"/>
    <w:rsid w:val="008C4E64"/>
    <w:rsid w:val="008D6013"/>
    <w:rsid w:val="008E0333"/>
    <w:rsid w:val="008E5632"/>
    <w:rsid w:val="008F387D"/>
    <w:rsid w:val="008F5027"/>
    <w:rsid w:val="008F7E90"/>
    <w:rsid w:val="00900B16"/>
    <w:rsid w:val="0090159D"/>
    <w:rsid w:val="00901FBA"/>
    <w:rsid w:val="00920CCF"/>
    <w:rsid w:val="00923B1E"/>
    <w:rsid w:val="009413F3"/>
    <w:rsid w:val="00951681"/>
    <w:rsid w:val="00963FBE"/>
    <w:rsid w:val="009715ED"/>
    <w:rsid w:val="00973BA3"/>
    <w:rsid w:val="00983E17"/>
    <w:rsid w:val="00984E33"/>
    <w:rsid w:val="00994A13"/>
    <w:rsid w:val="0099627B"/>
    <w:rsid w:val="009A1608"/>
    <w:rsid w:val="009B2BFE"/>
    <w:rsid w:val="009C68EA"/>
    <w:rsid w:val="009D1C0E"/>
    <w:rsid w:val="009D526B"/>
    <w:rsid w:val="00A00182"/>
    <w:rsid w:val="00A067AA"/>
    <w:rsid w:val="00A11BB3"/>
    <w:rsid w:val="00A11D55"/>
    <w:rsid w:val="00A261A0"/>
    <w:rsid w:val="00A2689B"/>
    <w:rsid w:val="00A409A6"/>
    <w:rsid w:val="00A41179"/>
    <w:rsid w:val="00A45F21"/>
    <w:rsid w:val="00A476C6"/>
    <w:rsid w:val="00A56823"/>
    <w:rsid w:val="00A57B7D"/>
    <w:rsid w:val="00A67A0B"/>
    <w:rsid w:val="00A70B93"/>
    <w:rsid w:val="00A729C3"/>
    <w:rsid w:val="00A73666"/>
    <w:rsid w:val="00A76104"/>
    <w:rsid w:val="00A76BD5"/>
    <w:rsid w:val="00A82B24"/>
    <w:rsid w:val="00A856A2"/>
    <w:rsid w:val="00A864DA"/>
    <w:rsid w:val="00A90F28"/>
    <w:rsid w:val="00AB1B96"/>
    <w:rsid w:val="00AB2267"/>
    <w:rsid w:val="00AB52AE"/>
    <w:rsid w:val="00AB7165"/>
    <w:rsid w:val="00AC2046"/>
    <w:rsid w:val="00AC7205"/>
    <w:rsid w:val="00AD0C6B"/>
    <w:rsid w:val="00AD7EB8"/>
    <w:rsid w:val="00AE1F34"/>
    <w:rsid w:val="00AF368D"/>
    <w:rsid w:val="00AF4279"/>
    <w:rsid w:val="00B050B2"/>
    <w:rsid w:val="00B121E8"/>
    <w:rsid w:val="00B210DD"/>
    <w:rsid w:val="00B21604"/>
    <w:rsid w:val="00B27D16"/>
    <w:rsid w:val="00B437B0"/>
    <w:rsid w:val="00B55D3C"/>
    <w:rsid w:val="00B74C38"/>
    <w:rsid w:val="00B77A70"/>
    <w:rsid w:val="00B931CF"/>
    <w:rsid w:val="00BB203C"/>
    <w:rsid w:val="00BB3307"/>
    <w:rsid w:val="00BC311D"/>
    <w:rsid w:val="00BC3164"/>
    <w:rsid w:val="00BC4351"/>
    <w:rsid w:val="00BC7F0F"/>
    <w:rsid w:val="00BD2174"/>
    <w:rsid w:val="00BD29C6"/>
    <w:rsid w:val="00BD7F10"/>
    <w:rsid w:val="00BE0421"/>
    <w:rsid w:val="00BE184C"/>
    <w:rsid w:val="00BE5ADC"/>
    <w:rsid w:val="00C03073"/>
    <w:rsid w:val="00C054B4"/>
    <w:rsid w:val="00C058D4"/>
    <w:rsid w:val="00C07E15"/>
    <w:rsid w:val="00C13A2E"/>
    <w:rsid w:val="00C168E8"/>
    <w:rsid w:val="00C32963"/>
    <w:rsid w:val="00C449A6"/>
    <w:rsid w:val="00C44AA6"/>
    <w:rsid w:val="00C4665D"/>
    <w:rsid w:val="00C47A58"/>
    <w:rsid w:val="00C47D28"/>
    <w:rsid w:val="00C55AD4"/>
    <w:rsid w:val="00C642EC"/>
    <w:rsid w:val="00C65D79"/>
    <w:rsid w:val="00C716B7"/>
    <w:rsid w:val="00C72B21"/>
    <w:rsid w:val="00C76141"/>
    <w:rsid w:val="00C83419"/>
    <w:rsid w:val="00C8431C"/>
    <w:rsid w:val="00C903E0"/>
    <w:rsid w:val="00C91691"/>
    <w:rsid w:val="00C91A69"/>
    <w:rsid w:val="00C95D3D"/>
    <w:rsid w:val="00C97E51"/>
    <w:rsid w:val="00CA359E"/>
    <w:rsid w:val="00CA6510"/>
    <w:rsid w:val="00CB64C2"/>
    <w:rsid w:val="00CD09BA"/>
    <w:rsid w:val="00CD1E72"/>
    <w:rsid w:val="00CD34E4"/>
    <w:rsid w:val="00CD72B8"/>
    <w:rsid w:val="00CE0147"/>
    <w:rsid w:val="00CF5063"/>
    <w:rsid w:val="00D00C3F"/>
    <w:rsid w:val="00D02664"/>
    <w:rsid w:val="00D02D5F"/>
    <w:rsid w:val="00D02E4E"/>
    <w:rsid w:val="00D16B43"/>
    <w:rsid w:val="00D26B0A"/>
    <w:rsid w:val="00D27BAB"/>
    <w:rsid w:val="00D27FF1"/>
    <w:rsid w:val="00D44A6D"/>
    <w:rsid w:val="00D47A27"/>
    <w:rsid w:val="00D52043"/>
    <w:rsid w:val="00D6445B"/>
    <w:rsid w:val="00D65DB5"/>
    <w:rsid w:val="00D70CD9"/>
    <w:rsid w:val="00D7375E"/>
    <w:rsid w:val="00D73ECD"/>
    <w:rsid w:val="00D82D8A"/>
    <w:rsid w:val="00D936ED"/>
    <w:rsid w:val="00DA05C3"/>
    <w:rsid w:val="00DA2201"/>
    <w:rsid w:val="00DB2DA9"/>
    <w:rsid w:val="00DC14CB"/>
    <w:rsid w:val="00DD0A02"/>
    <w:rsid w:val="00DE18E0"/>
    <w:rsid w:val="00DE6E68"/>
    <w:rsid w:val="00DE703D"/>
    <w:rsid w:val="00DF0A01"/>
    <w:rsid w:val="00E01444"/>
    <w:rsid w:val="00E029E5"/>
    <w:rsid w:val="00E075DD"/>
    <w:rsid w:val="00E11139"/>
    <w:rsid w:val="00E131B9"/>
    <w:rsid w:val="00E24BC5"/>
    <w:rsid w:val="00E27135"/>
    <w:rsid w:val="00E43192"/>
    <w:rsid w:val="00E46F3B"/>
    <w:rsid w:val="00E47E68"/>
    <w:rsid w:val="00E565C7"/>
    <w:rsid w:val="00E7591D"/>
    <w:rsid w:val="00E85276"/>
    <w:rsid w:val="00E9096F"/>
    <w:rsid w:val="00E9546F"/>
    <w:rsid w:val="00E96DFB"/>
    <w:rsid w:val="00EA14EF"/>
    <w:rsid w:val="00EA5F50"/>
    <w:rsid w:val="00EB0C7E"/>
    <w:rsid w:val="00EC1E73"/>
    <w:rsid w:val="00EE27F1"/>
    <w:rsid w:val="00EE368B"/>
    <w:rsid w:val="00EE5B47"/>
    <w:rsid w:val="00EE7182"/>
    <w:rsid w:val="00EF78D2"/>
    <w:rsid w:val="00F067F1"/>
    <w:rsid w:val="00F13932"/>
    <w:rsid w:val="00F209F9"/>
    <w:rsid w:val="00F264CC"/>
    <w:rsid w:val="00F33B06"/>
    <w:rsid w:val="00F3565F"/>
    <w:rsid w:val="00F558D5"/>
    <w:rsid w:val="00F6578E"/>
    <w:rsid w:val="00F73888"/>
    <w:rsid w:val="00F856A2"/>
    <w:rsid w:val="00F95B5A"/>
    <w:rsid w:val="00FA17E2"/>
    <w:rsid w:val="00FA599A"/>
    <w:rsid w:val="00FB3F66"/>
    <w:rsid w:val="00FC0F40"/>
    <w:rsid w:val="00FC39F8"/>
    <w:rsid w:val="00FC44EE"/>
    <w:rsid w:val="00FC4CD1"/>
    <w:rsid w:val="00FE1482"/>
    <w:rsid w:val="00FE7B5F"/>
    <w:rsid w:val="00FF110D"/>
    <w:rsid w:val="00FF7B60"/>
    <w:rsid w:val="013024FA"/>
    <w:rsid w:val="016B1609"/>
    <w:rsid w:val="01C21C57"/>
    <w:rsid w:val="01F60E3B"/>
    <w:rsid w:val="01FA5C12"/>
    <w:rsid w:val="021E1A96"/>
    <w:rsid w:val="02343174"/>
    <w:rsid w:val="02491E48"/>
    <w:rsid w:val="02866093"/>
    <w:rsid w:val="028F2CAE"/>
    <w:rsid w:val="029B3382"/>
    <w:rsid w:val="029C40FA"/>
    <w:rsid w:val="02CA43AF"/>
    <w:rsid w:val="02DA4B9E"/>
    <w:rsid w:val="02E87C32"/>
    <w:rsid w:val="03215DBB"/>
    <w:rsid w:val="0340372A"/>
    <w:rsid w:val="03575C81"/>
    <w:rsid w:val="039E3CE7"/>
    <w:rsid w:val="03AD0D74"/>
    <w:rsid w:val="03C246A7"/>
    <w:rsid w:val="03D92B91"/>
    <w:rsid w:val="04047B11"/>
    <w:rsid w:val="040B5DE1"/>
    <w:rsid w:val="040B6233"/>
    <w:rsid w:val="041A68CB"/>
    <w:rsid w:val="04217B53"/>
    <w:rsid w:val="043F6F52"/>
    <w:rsid w:val="044F4D0C"/>
    <w:rsid w:val="046046C1"/>
    <w:rsid w:val="0470119F"/>
    <w:rsid w:val="04731936"/>
    <w:rsid w:val="047A0AAC"/>
    <w:rsid w:val="047B01FF"/>
    <w:rsid w:val="04C149A6"/>
    <w:rsid w:val="04CB23DB"/>
    <w:rsid w:val="04FC3899"/>
    <w:rsid w:val="05633B14"/>
    <w:rsid w:val="05A37831"/>
    <w:rsid w:val="05A4218A"/>
    <w:rsid w:val="05E01D2E"/>
    <w:rsid w:val="05EC0EA6"/>
    <w:rsid w:val="060F45F1"/>
    <w:rsid w:val="06100580"/>
    <w:rsid w:val="065E4527"/>
    <w:rsid w:val="06716937"/>
    <w:rsid w:val="0697268B"/>
    <w:rsid w:val="069E0F1D"/>
    <w:rsid w:val="07201EB8"/>
    <w:rsid w:val="072A35C1"/>
    <w:rsid w:val="072D64EB"/>
    <w:rsid w:val="075E75DE"/>
    <w:rsid w:val="075F2E62"/>
    <w:rsid w:val="07D2424B"/>
    <w:rsid w:val="07EC6998"/>
    <w:rsid w:val="08213A07"/>
    <w:rsid w:val="082F43E5"/>
    <w:rsid w:val="08483A8D"/>
    <w:rsid w:val="084E05C8"/>
    <w:rsid w:val="08674B68"/>
    <w:rsid w:val="08713E17"/>
    <w:rsid w:val="088E422A"/>
    <w:rsid w:val="08D14D2B"/>
    <w:rsid w:val="08E04468"/>
    <w:rsid w:val="08E64683"/>
    <w:rsid w:val="091837BC"/>
    <w:rsid w:val="092048A6"/>
    <w:rsid w:val="092E2BED"/>
    <w:rsid w:val="093C5DF3"/>
    <w:rsid w:val="09572C5B"/>
    <w:rsid w:val="09A83E56"/>
    <w:rsid w:val="0A062F7B"/>
    <w:rsid w:val="0A1707CB"/>
    <w:rsid w:val="0A6311F0"/>
    <w:rsid w:val="0ABE26B0"/>
    <w:rsid w:val="0AD54C11"/>
    <w:rsid w:val="0B336D2B"/>
    <w:rsid w:val="0B3D1B83"/>
    <w:rsid w:val="0B472137"/>
    <w:rsid w:val="0B4C1313"/>
    <w:rsid w:val="0BBA6CB0"/>
    <w:rsid w:val="0BD00180"/>
    <w:rsid w:val="0BD36DF2"/>
    <w:rsid w:val="0BDC7CE0"/>
    <w:rsid w:val="0BEC4936"/>
    <w:rsid w:val="0BF93427"/>
    <w:rsid w:val="0C115ADC"/>
    <w:rsid w:val="0C1D16F4"/>
    <w:rsid w:val="0C384DDF"/>
    <w:rsid w:val="0C4B60A7"/>
    <w:rsid w:val="0C6831D4"/>
    <w:rsid w:val="0C7A2837"/>
    <w:rsid w:val="0C801DA5"/>
    <w:rsid w:val="0CA1581F"/>
    <w:rsid w:val="0CBE3A6B"/>
    <w:rsid w:val="0CC12E57"/>
    <w:rsid w:val="0CC17CB1"/>
    <w:rsid w:val="0CC97C11"/>
    <w:rsid w:val="0D2546FA"/>
    <w:rsid w:val="0D2B1ADE"/>
    <w:rsid w:val="0D314E4D"/>
    <w:rsid w:val="0D447276"/>
    <w:rsid w:val="0D491FBC"/>
    <w:rsid w:val="0D5B2615"/>
    <w:rsid w:val="0D5D5C23"/>
    <w:rsid w:val="0D656B3A"/>
    <w:rsid w:val="0D704A07"/>
    <w:rsid w:val="0D8615D0"/>
    <w:rsid w:val="0DC14423"/>
    <w:rsid w:val="0DEC4547"/>
    <w:rsid w:val="0DED151B"/>
    <w:rsid w:val="0DF345B1"/>
    <w:rsid w:val="0E4D358C"/>
    <w:rsid w:val="0E5C5EAE"/>
    <w:rsid w:val="0E5F357F"/>
    <w:rsid w:val="0EC51CF1"/>
    <w:rsid w:val="0EC8358F"/>
    <w:rsid w:val="0F2271EE"/>
    <w:rsid w:val="0F2B042C"/>
    <w:rsid w:val="0F64775C"/>
    <w:rsid w:val="0F683A5A"/>
    <w:rsid w:val="0F7143EA"/>
    <w:rsid w:val="0FC36BE4"/>
    <w:rsid w:val="0FF3440B"/>
    <w:rsid w:val="0FF85083"/>
    <w:rsid w:val="0FFF14DF"/>
    <w:rsid w:val="10127B3B"/>
    <w:rsid w:val="102F3BA4"/>
    <w:rsid w:val="103D4120"/>
    <w:rsid w:val="105C0BF4"/>
    <w:rsid w:val="10797046"/>
    <w:rsid w:val="1092282E"/>
    <w:rsid w:val="10CE2CA9"/>
    <w:rsid w:val="10DA337B"/>
    <w:rsid w:val="10F66AD9"/>
    <w:rsid w:val="115A0E16"/>
    <w:rsid w:val="11672407"/>
    <w:rsid w:val="11685F26"/>
    <w:rsid w:val="11BD3153"/>
    <w:rsid w:val="11C2314A"/>
    <w:rsid w:val="11F7576D"/>
    <w:rsid w:val="11FF551A"/>
    <w:rsid w:val="12021424"/>
    <w:rsid w:val="121C7DF8"/>
    <w:rsid w:val="121F47DD"/>
    <w:rsid w:val="122B15E5"/>
    <w:rsid w:val="12533ABD"/>
    <w:rsid w:val="126D4B79"/>
    <w:rsid w:val="12812750"/>
    <w:rsid w:val="128466E1"/>
    <w:rsid w:val="128B4FFF"/>
    <w:rsid w:val="12CD717A"/>
    <w:rsid w:val="12FB3F33"/>
    <w:rsid w:val="130F3FEA"/>
    <w:rsid w:val="133523A3"/>
    <w:rsid w:val="13515C9C"/>
    <w:rsid w:val="137902CF"/>
    <w:rsid w:val="13FD567E"/>
    <w:rsid w:val="14592C22"/>
    <w:rsid w:val="14CB202B"/>
    <w:rsid w:val="14D7277E"/>
    <w:rsid w:val="151832C3"/>
    <w:rsid w:val="151D113D"/>
    <w:rsid w:val="152B6F5D"/>
    <w:rsid w:val="152E7227"/>
    <w:rsid w:val="153167D1"/>
    <w:rsid w:val="15864F51"/>
    <w:rsid w:val="15B722E0"/>
    <w:rsid w:val="15E96C0C"/>
    <w:rsid w:val="15F57284"/>
    <w:rsid w:val="16027D8C"/>
    <w:rsid w:val="164C7C96"/>
    <w:rsid w:val="165027E8"/>
    <w:rsid w:val="16953ED2"/>
    <w:rsid w:val="169F72CB"/>
    <w:rsid w:val="16C5174A"/>
    <w:rsid w:val="16CB6103"/>
    <w:rsid w:val="17035AAC"/>
    <w:rsid w:val="1743234C"/>
    <w:rsid w:val="17681293"/>
    <w:rsid w:val="177116D2"/>
    <w:rsid w:val="17842B8C"/>
    <w:rsid w:val="17A40BEF"/>
    <w:rsid w:val="180C11EB"/>
    <w:rsid w:val="1830144F"/>
    <w:rsid w:val="18860743"/>
    <w:rsid w:val="18A134D5"/>
    <w:rsid w:val="18B306D1"/>
    <w:rsid w:val="18CB0B5A"/>
    <w:rsid w:val="18F50DB9"/>
    <w:rsid w:val="19022997"/>
    <w:rsid w:val="19357A8B"/>
    <w:rsid w:val="19361C1D"/>
    <w:rsid w:val="1965624E"/>
    <w:rsid w:val="19AB0CFC"/>
    <w:rsid w:val="19C71B4A"/>
    <w:rsid w:val="1A004B69"/>
    <w:rsid w:val="1A1407F6"/>
    <w:rsid w:val="1A4817A9"/>
    <w:rsid w:val="1A8C700D"/>
    <w:rsid w:val="1A8D031C"/>
    <w:rsid w:val="1ACF18A8"/>
    <w:rsid w:val="1ADD3E4A"/>
    <w:rsid w:val="1AE2466B"/>
    <w:rsid w:val="1AF25856"/>
    <w:rsid w:val="1B1E6199"/>
    <w:rsid w:val="1B557670"/>
    <w:rsid w:val="1B5E13E6"/>
    <w:rsid w:val="1B652F0B"/>
    <w:rsid w:val="1B837BD3"/>
    <w:rsid w:val="1BE26B75"/>
    <w:rsid w:val="1BE37264"/>
    <w:rsid w:val="1BE85270"/>
    <w:rsid w:val="1C371F16"/>
    <w:rsid w:val="1C3F6CF1"/>
    <w:rsid w:val="1C490204"/>
    <w:rsid w:val="1C6F505E"/>
    <w:rsid w:val="1C8A4618"/>
    <w:rsid w:val="1C8A791B"/>
    <w:rsid w:val="1CAF5C6F"/>
    <w:rsid w:val="1CC343EB"/>
    <w:rsid w:val="1CDF61E2"/>
    <w:rsid w:val="1CE55272"/>
    <w:rsid w:val="1D28066B"/>
    <w:rsid w:val="1D484219"/>
    <w:rsid w:val="1D5015F2"/>
    <w:rsid w:val="1D807E56"/>
    <w:rsid w:val="1DA415A5"/>
    <w:rsid w:val="1DEC1797"/>
    <w:rsid w:val="1DFE1A8C"/>
    <w:rsid w:val="1E1D4F71"/>
    <w:rsid w:val="1E200CF1"/>
    <w:rsid w:val="1E6B29A0"/>
    <w:rsid w:val="1E747129"/>
    <w:rsid w:val="1E7B6870"/>
    <w:rsid w:val="1E94108B"/>
    <w:rsid w:val="1E9D7F7A"/>
    <w:rsid w:val="1ECF44C6"/>
    <w:rsid w:val="1F1834DB"/>
    <w:rsid w:val="1F30519D"/>
    <w:rsid w:val="1F45410B"/>
    <w:rsid w:val="1F847FED"/>
    <w:rsid w:val="1F876092"/>
    <w:rsid w:val="1FB03D1C"/>
    <w:rsid w:val="1FEE3E66"/>
    <w:rsid w:val="20001F37"/>
    <w:rsid w:val="20165941"/>
    <w:rsid w:val="2034191D"/>
    <w:rsid w:val="20425DA8"/>
    <w:rsid w:val="20591E90"/>
    <w:rsid w:val="20696C67"/>
    <w:rsid w:val="206F05F8"/>
    <w:rsid w:val="20706614"/>
    <w:rsid w:val="20744D90"/>
    <w:rsid w:val="20A7394C"/>
    <w:rsid w:val="20B15CE0"/>
    <w:rsid w:val="20D5077B"/>
    <w:rsid w:val="20DF38AB"/>
    <w:rsid w:val="20E370C3"/>
    <w:rsid w:val="211508B6"/>
    <w:rsid w:val="21274DEB"/>
    <w:rsid w:val="218177C8"/>
    <w:rsid w:val="21D538DA"/>
    <w:rsid w:val="21DC7E14"/>
    <w:rsid w:val="21EB7868"/>
    <w:rsid w:val="22060B3D"/>
    <w:rsid w:val="221C13F5"/>
    <w:rsid w:val="223A7218"/>
    <w:rsid w:val="223D4F11"/>
    <w:rsid w:val="225952E6"/>
    <w:rsid w:val="226769F6"/>
    <w:rsid w:val="22897DF5"/>
    <w:rsid w:val="229152A4"/>
    <w:rsid w:val="229C464B"/>
    <w:rsid w:val="22BF2F09"/>
    <w:rsid w:val="2368140F"/>
    <w:rsid w:val="236A0004"/>
    <w:rsid w:val="23815238"/>
    <w:rsid w:val="23B077F5"/>
    <w:rsid w:val="23CC629C"/>
    <w:rsid w:val="23FC5DB2"/>
    <w:rsid w:val="24041701"/>
    <w:rsid w:val="24612A46"/>
    <w:rsid w:val="2474262F"/>
    <w:rsid w:val="249D7540"/>
    <w:rsid w:val="24AB166E"/>
    <w:rsid w:val="24DC4741"/>
    <w:rsid w:val="2532646E"/>
    <w:rsid w:val="255D11E9"/>
    <w:rsid w:val="258028D8"/>
    <w:rsid w:val="2593624D"/>
    <w:rsid w:val="2596031A"/>
    <w:rsid w:val="25C14D5A"/>
    <w:rsid w:val="2620401D"/>
    <w:rsid w:val="263E440B"/>
    <w:rsid w:val="26C6001C"/>
    <w:rsid w:val="2705492F"/>
    <w:rsid w:val="271013C3"/>
    <w:rsid w:val="27576A36"/>
    <w:rsid w:val="2758774E"/>
    <w:rsid w:val="277B4305"/>
    <w:rsid w:val="27935330"/>
    <w:rsid w:val="27B54727"/>
    <w:rsid w:val="27BA6EAA"/>
    <w:rsid w:val="27C6290A"/>
    <w:rsid w:val="27DB23F9"/>
    <w:rsid w:val="27E963E9"/>
    <w:rsid w:val="2811285F"/>
    <w:rsid w:val="2894790D"/>
    <w:rsid w:val="28B567D0"/>
    <w:rsid w:val="28DB46A8"/>
    <w:rsid w:val="290A2DBE"/>
    <w:rsid w:val="29244C44"/>
    <w:rsid w:val="29555F85"/>
    <w:rsid w:val="298C1931"/>
    <w:rsid w:val="29EA1B65"/>
    <w:rsid w:val="2A0F190F"/>
    <w:rsid w:val="2A497822"/>
    <w:rsid w:val="2A595B7A"/>
    <w:rsid w:val="2A86750C"/>
    <w:rsid w:val="2A942842"/>
    <w:rsid w:val="2AB21E85"/>
    <w:rsid w:val="2AE96937"/>
    <w:rsid w:val="2B1C1E26"/>
    <w:rsid w:val="2B3360BE"/>
    <w:rsid w:val="2B525D60"/>
    <w:rsid w:val="2B6B0E75"/>
    <w:rsid w:val="2B7E7F7E"/>
    <w:rsid w:val="2B8C1E5D"/>
    <w:rsid w:val="2BBB0287"/>
    <w:rsid w:val="2BD870AF"/>
    <w:rsid w:val="2BE67D83"/>
    <w:rsid w:val="2BF2130D"/>
    <w:rsid w:val="2C0F10E1"/>
    <w:rsid w:val="2C125BF0"/>
    <w:rsid w:val="2C1D4AC2"/>
    <w:rsid w:val="2C3264DB"/>
    <w:rsid w:val="2C3522F9"/>
    <w:rsid w:val="2C576E62"/>
    <w:rsid w:val="2C5E5030"/>
    <w:rsid w:val="2C653C0C"/>
    <w:rsid w:val="2C6C5097"/>
    <w:rsid w:val="2C7219A3"/>
    <w:rsid w:val="2C810BAD"/>
    <w:rsid w:val="2CE43832"/>
    <w:rsid w:val="2CF64C8C"/>
    <w:rsid w:val="2D00459C"/>
    <w:rsid w:val="2D1B1B10"/>
    <w:rsid w:val="2D1F747A"/>
    <w:rsid w:val="2DF33D2D"/>
    <w:rsid w:val="2E2C6C0F"/>
    <w:rsid w:val="2E6C4090"/>
    <w:rsid w:val="2E813A2E"/>
    <w:rsid w:val="2E8250B1"/>
    <w:rsid w:val="2F2131FE"/>
    <w:rsid w:val="2F8C51D0"/>
    <w:rsid w:val="2F8F13DC"/>
    <w:rsid w:val="2FB478B6"/>
    <w:rsid w:val="2FF63FA8"/>
    <w:rsid w:val="308646DC"/>
    <w:rsid w:val="30AF5FF2"/>
    <w:rsid w:val="30B07495"/>
    <w:rsid w:val="30BB2AFC"/>
    <w:rsid w:val="30F62F0D"/>
    <w:rsid w:val="315C1A0C"/>
    <w:rsid w:val="31651648"/>
    <w:rsid w:val="31785583"/>
    <w:rsid w:val="318A1738"/>
    <w:rsid w:val="31AB6B53"/>
    <w:rsid w:val="31AE1F58"/>
    <w:rsid w:val="32087FC3"/>
    <w:rsid w:val="320E32FD"/>
    <w:rsid w:val="32474A0D"/>
    <w:rsid w:val="325B50C0"/>
    <w:rsid w:val="32717019"/>
    <w:rsid w:val="3298765F"/>
    <w:rsid w:val="32B76700"/>
    <w:rsid w:val="32EE6A32"/>
    <w:rsid w:val="330C3B34"/>
    <w:rsid w:val="333948D8"/>
    <w:rsid w:val="336C6FA3"/>
    <w:rsid w:val="33A53F29"/>
    <w:rsid w:val="33AB631D"/>
    <w:rsid w:val="33BE02FD"/>
    <w:rsid w:val="33F56325"/>
    <w:rsid w:val="3419590A"/>
    <w:rsid w:val="344770CC"/>
    <w:rsid w:val="344B6457"/>
    <w:rsid w:val="346661BA"/>
    <w:rsid w:val="349D166E"/>
    <w:rsid w:val="34A61008"/>
    <w:rsid w:val="34C20FD6"/>
    <w:rsid w:val="350C5273"/>
    <w:rsid w:val="351132CB"/>
    <w:rsid w:val="35332241"/>
    <w:rsid w:val="35373099"/>
    <w:rsid w:val="353F3A56"/>
    <w:rsid w:val="35571045"/>
    <w:rsid w:val="356E24CA"/>
    <w:rsid w:val="357B3C95"/>
    <w:rsid w:val="3585327D"/>
    <w:rsid w:val="35CC398B"/>
    <w:rsid w:val="35EA7019"/>
    <w:rsid w:val="360A43C2"/>
    <w:rsid w:val="361541AC"/>
    <w:rsid w:val="36307C8E"/>
    <w:rsid w:val="366E1141"/>
    <w:rsid w:val="36931FCF"/>
    <w:rsid w:val="36D13079"/>
    <w:rsid w:val="3702418B"/>
    <w:rsid w:val="372116BB"/>
    <w:rsid w:val="37421C4F"/>
    <w:rsid w:val="375C0B95"/>
    <w:rsid w:val="37740133"/>
    <w:rsid w:val="378B12CE"/>
    <w:rsid w:val="379060FE"/>
    <w:rsid w:val="37D67677"/>
    <w:rsid w:val="37D906B5"/>
    <w:rsid w:val="37ED7A3F"/>
    <w:rsid w:val="382F0057"/>
    <w:rsid w:val="38976FC5"/>
    <w:rsid w:val="38A30A45"/>
    <w:rsid w:val="38D8180A"/>
    <w:rsid w:val="390337A8"/>
    <w:rsid w:val="393C5B7A"/>
    <w:rsid w:val="39470C8E"/>
    <w:rsid w:val="3989031B"/>
    <w:rsid w:val="399E3713"/>
    <w:rsid w:val="39A82F08"/>
    <w:rsid w:val="39B57502"/>
    <w:rsid w:val="39E22537"/>
    <w:rsid w:val="3A0001A2"/>
    <w:rsid w:val="3A057522"/>
    <w:rsid w:val="3A2D0E42"/>
    <w:rsid w:val="3A4C4715"/>
    <w:rsid w:val="3A5A3496"/>
    <w:rsid w:val="3A663AD8"/>
    <w:rsid w:val="3AB57683"/>
    <w:rsid w:val="3AC52EF5"/>
    <w:rsid w:val="3B104B58"/>
    <w:rsid w:val="3B166A42"/>
    <w:rsid w:val="3B1A0764"/>
    <w:rsid w:val="3B310BB2"/>
    <w:rsid w:val="3B3E44D6"/>
    <w:rsid w:val="3B43086A"/>
    <w:rsid w:val="3B527DFC"/>
    <w:rsid w:val="3B590743"/>
    <w:rsid w:val="3B593894"/>
    <w:rsid w:val="3B5F0C53"/>
    <w:rsid w:val="3B62603D"/>
    <w:rsid w:val="3B855E97"/>
    <w:rsid w:val="3BA50630"/>
    <w:rsid w:val="3BC66F24"/>
    <w:rsid w:val="3BCF37C3"/>
    <w:rsid w:val="3BE8463D"/>
    <w:rsid w:val="3C092149"/>
    <w:rsid w:val="3C23212A"/>
    <w:rsid w:val="3C341B7A"/>
    <w:rsid w:val="3C3F1FC2"/>
    <w:rsid w:val="3C6B7FC0"/>
    <w:rsid w:val="3D2224C2"/>
    <w:rsid w:val="3D2D2775"/>
    <w:rsid w:val="3D6E0D71"/>
    <w:rsid w:val="3D76164B"/>
    <w:rsid w:val="3D812643"/>
    <w:rsid w:val="3D9C2405"/>
    <w:rsid w:val="3DA41CF5"/>
    <w:rsid w:val="3DD97882"/>
    <w:rsid w:val="3DE204BD"/>
    <w:rsid w:val="3DE73182"/>
    <w:rsid w:val="3E0B212E"/>
    <w:rsid w:val="3E4E0F00"/>
    <w:rsid w:val="3E975A06"/>
    <w:rsid w:val="3EA37781"/>
    <w:rsid w:val="3EAD60F9"/>
    <w:rsid w:val="3EAF05BB"/>
    <w:rsid w:val="3EC41D96"/>
    <w:rsid w:val="3F070704"/>
    <w:rsid w:val="3F13697E"/>
    <w:rsid w:val="3F8C3FE1"/>
    <w:rsid w:val="3F9410E8"/>
    <w:rsid w:val="3F967921"/>
    <w:rsid w:val="3FCA68B7"/>
    <w:rsid w:val="400D38B4"/>
    <w:rsid w:val="401C421C"/>
    <w:rsid w:val="404E24F0"/>
    <w:rsid w:val="406C37EC"/>
    <w:rsid w:val="4071181D"/>
    <w:rsid w:val="40862F37"/>
    <w:rsid w:val="40972BE2"/>
    <w:rsid w:val="409E3FCC"/>
    <w:rsid w:val="40B1515B"/>
    <w:rsid w:val="40BF0C05"/>
    <w:rsid w:val="40F042DA"/>
    <w:rsid w:val="41257EEE"/>
    <w:rsid w:val="413E4B49"/>
    <w:rsid w:val="41407088"/>
    <w:rsid w:val="414A0928"/>
    <w:rsid w:val="41832BEF"/>
    <w:rsid w:val="418F4759"/>
    <w:rsid w:val="41B33AA7"/>
    <w:rsid w:val="41B63F31"/>
    <w:rsid w:val="41B8516E"/>
    <w:rsid w:val="41EF70B3"/>
    <w:rsid w:val="41FC7A5F"/>
    <w:rsid w:val="41FD11C6"/>
    <w:rsid w:val="4279124E"/>
    <w:rsid w:val="42A94EAA"/>
    <w:rsid w:val="42AC06F5"/>
    <w:rsid w:val="42B47D15"/>
    <w:rsid w:val="42BF3044"/>
    <w:rsid w:val="42D12C1E"/>
    <w:rsid w:val="42F9694C"/>
    <w:rsid w:val="431B67F1"/>
    <w:rsid w:val="432814A6"/>
    <w:rsid w:val="434574C4"/>
    <w:rsid w:val="43761FB4"/>
    <w:rsid w:val="437C2D76"/>
    <w:rsid w:val="43883A31"/>
    <w:rsid w:val="43D42377"/>
    <w:rsid w:val="43F97387"/>
    <w:rsid w:val="443D0038"/>
    <w:rsid w:val="44511355"/>
    <w:rsid w:val="4467572B"/>
    <w:rsid w:val="44786A70"/>
    <w:rsid w:val="44D8320E"/>
    <w:rsid w:val="44F2494A"/>
    <w:rsid w:val="453A003B"/>
    <w:rsid w:val="455F7AA2"/>
    <w:rsid w:val="456F0363"/>
    <w:rsid w:val="458A4C1E"/>
    <w:rsid w:val="45A91524"/>
    <w:rsid w:val="45F92E1B"/>
    <w:rsid w:val="4609236C"/>
    <w:rsid w:val="46192353"/>
    <w:rsid w:val="46195946"/>
    <w:rsid w:val="46375EB2"/>
    <w:rsid w:val="463E2E72"/>
    <w:rsid w:val="464D5875"/>
    <w:rsid w:val="465957BB"/>
    <w:rsid w:val="465D2B0B"/>
    <w:rsid w:val="46CD5819"/>
    <w:rsid w:val="46D737C5"/>
    <w:rsid w:val="47033CC6"/>
    <w:rsid w:val="472803B2"/>
    <w:rsid w:val="476A10AC"/>
    <w:rsid w:val="476C7AA5"/>
    <w:rsid w:val="47D76144"/>
    <w:rsid w:val="47E26118"/>
    <w:rsid w:val="47EC273E"/>
    <w:rsid w:val="48005753"/>
    <w:rsid w:val="480E18EF"/>
    <w:rsid w:val="48217291"/>
    <w:rsid w:val="4822387E"/>
    <w:rsid w:val="488C3C2D"/>
    <w:rsid w:val="48A171C8"/>
    <w:rsid w:val="48B200F7"/>
    <w:rsid w:val="48B23AE9"/>
    <w:rsid w:val="48E768C7"/>
    <w:rsid w:val="48E903A4"/>
    <w:rsid w:val="48F70A8F"/>
    <w:rsid w:val="490628A4"/>
    <w:rsid w:val="490A15DF"/>
    <w:rsid w:val="49215B50"/>
    <w:rsid w:val="49472C61"/>
    <w:rsid w:val="499853A1"/>
    <w:rsid w:val="49A76D50"/>
    <w:rsid w:val="49FC715E"/>
    <w:rsid w:val="4A005036"/>
    <w:rsid w:val="4A1A6E00"/>
    <w:rsid w:val="4A2313BD"/>
    <w:rsid w:val="4A294903"/>
    <w:rsid w:val="4A741D13"/>
    <w:rsid w:val="4ADE31BD"/>
    <w:rsid w:val="4B1B766F"/>
    <w:rsid w:val="4B531E57"/>
    <w:rsid w:val="4B5D41CE"/>
    <w:rsid w:val="4B5F7B05"/>
    <w:rsid w:val="4B743BB7"/>
    <w:rsid w:val="4B9D1DD3"/>
    <w:rsid w:val="4BA33A52"/>
    <w:rsid w:val="4BBE536A"/>
    <w:rsid w:val="4BE42059"/>
    <w:rsid w:val="4C32539B"/>
    <w:rsid w:val="4C4D6E07"/>
    <w:rsid w:val="4C623071"/>
    <w:rsid w:val="4C883D82"/>
    <w:rsid w:val="4CA55CC0"/>
    <w:rsid w:val="4CEC2563"/>
    <w:rsid w:val="4D0252EC"/>
    <w:rsid w:val="4D2E3D2D"/>
    <w:rsid w:val="4D702226"/>
    <w:rsid w:val="4D7117ED"/>
    <w:rsid w:val="4DB32790"/>
    <w:rsid w:val="4DCA7CC9"/>
    <w:rsid w:val="4DD0579D"/>
    <w:rsid w:val="4DD4538E"/>
    <w:rsid w:val="4DE72B40"/>
    <w:rsid w:val="4DEF0379"/>
    <w:rsid w:val="4DF37D48"/>
    <w:rsid w:val="4DFA6830"/>
    <w:rsid w:val="4E36517B"/>
    <w:rsid w:val="4E415457"/>
    <w:rsid w:val="4E487C6D"/>
    <w:rsid w:val="4EB83176"/>
    <w:rsid w:val="4F135F47"/>
    <w:rsid w:val="4F457D08"/>
    <w:rsid w:val="4F6F4D85"/>
    <w:rsid w:val="4F78669C"/>
    <w:rsid w:val="4F9C0C70"/>
    <w:rsid w:val="500872BE"/>
    <w:rsid w:val="507C3BFE"/>
    <w:rsid w:val="50A17E83"/>
    <w:rsid w:val="50BC64D7"/>
    <w:rsid w:val="5101093D"/>
    <w:rsid w:val="51552CBD"/>
    <w:rsid w:val="51596A74"/>
    <w:rsid w:val="51906D92"/>
    <w:rsid w:val="519D5BDA"/>
    <w:rsid w:val="51F5431A"/>
    <w:rsid w:val="520E6AD8"/>
    <w:rsid w:val="521870B4"/>
    <w:rsid w:val="521E31BF"/>
    <w:rsid w:val="52270A6D"/>
    <w:rsid w:val="527F1783"/>
    <w:rsid w:val="52884ADC"/>
    <w:rsid w:val="52934405"/>
    <w:rsid w:val="52936F5F"/>
    <w:rsid w:val="52F272D1"/>
    <w:rsid w:val="531C5496"/>
    <w:rsid w:val="534B2BD5"/>
    <w:rsid w:val="537C3CAB"/>
    <w:rsid w:val="53AE3FCB"/>
    <w:rsid w:val="53C02053"/>
    <w:rsid w:val="53D91158"/>
    <w:rsid w:val="53F215D8"/>
    <w:rsid w:val="53FC2F2B"/>
    <w:rsid w:val="53FD32A8"/>
    <w:rsid w:val="540934A0"/>
    <w:rsid w:val="540C272C"/>
    <w:rsid w:val="540C5E54"/>
    <w:rsid w:val="541E2F37"/>
    <w:rsid w:val="5455702E"/>
    <w:rsid w:val="5460237F"/>
    <w:rsid w:val="546C6817"/>
    <w:rsid w:val="54D62FEA"/>
    <w:rsid w:val="551760A9"/>
    <w:rsid w:val="551B1C37"/>
    <w:rsid w:val="55576F8D"/>
    <w:rsid w:val="555C529D"/>
    <w:rsid w:val="55646457"/>
    <w:rsid w:val="557D644E"/>
    <w:rsid w:val="55B54460"/>
    <w:rsid w:val="55BF0815"/>
    <w:rsid w:val="55CC01C4"/>
    <w:rsid w:val="55CC4D6F"/>
    <w:rsid w:val="55EA5046"/>
    <w:rsid w:val="55F67FAE"/>
    <w:rsid w:val="5614756A"/>
    <w:rsid w:val="5621519C"/>
    <w:rsid w:val="563707BB"/>
    <w:rsid w:val="569A45D9"/>
    <w:rsid w:val="56AE6857"/>
    <w:rsid w:val="56C1236A"/>
    <w:rsid w:val="56DD6DC9"/>
    <w:rsid w:val="56F73FDE"/>
    <w:rsid w:val="571B2368"/>
    <w:rsid w:val="57762D89"/>
    <w:rsid w:val="57866EC6"/>
    <w:rsid w:val="57C83498"/>
    <w:rsid w:val="58631817"/>
    <w:rsid w:val="58A752B9"/>
    <w:rsid w:val="58C67F5E"/>
    <w:rsid w:val="58D87F50"/>
    <w:rsid w:val="58E667C0"/>
    <w:rsid w:val="591F67B8"/>
    <w:rsid w:val="59315D12"/>
    <w:rsid w:val="59A85F87"/>
    <w:rsid w:val="59D3608C"/>
    <w:rsid w:val="5A1E6BA8"/>
    <w:rsid w:val="5A8E3F72"/>
    <w:rsid w:val="5A9C2531"/>
    <w:rsid w:val="5AA45163"/>
    <w:rsid w:val="5AA96649"/>
    <w:rsid w:val="5AC307E4"/>
    <w:rsid w:val="5ACC0A38"/>
    <w:rsid w:val="5AEE02B3"/>
    <w:rsid w:val="5B041B3B"/>
    <w:rsid w:val="5B192FFC"/>
    <w:rsid w:val="5B953AFF"/>
    <w:rsid w:val="5B975D12"/>
    <w:rsid w:val="5B993A12"/>
    <w:rsid w:val="5BC621D1"/>
    <w:rsid w:val="5C0C4088"/>
    <w:rsid w:val="5C0E6052"/>
    <w:rsid w:val="5C3605BA"/>
    <w:rsid w:val="5C3D54FC"/>
    <w:rsid w:val="5C640EFC"/>
    <w:rsid w:val="5C9C4847"/>
    <w:rsid w:val="5CA02BEB"/>
    <w:rsid w:val="5CC606DB"/>
    <w:rsid w:val="5CD005AF"/>
    <w:rsid w:val="5CD556DD"/>
    <w:rsid w:val="5CD96E3F"/>
    <w:rsid w:val="5CE055AC"/>
    <w:rsid w:val="5CE87750"/>
    <w:rsid w:val="5D190921"/>
    <w:rsid w:val="5D2E3253"/>
    <w:rsid w:val="5D3836EE"/>
    <w:rsid w:val="5D424616"/>
    <w:rsid w:val="5D58562D"/>
    <w:rsid w:val="5D805AE1"/>
    <w:rsid w:val="5DA36C6E"/>
    <w:rsid w:val="5DD32F67"/>
    <w:rsid w:val="5E2F22B0"/>
    <w:rsid w:val="5E361C12"/>
    <w:rsid w:val="5E4D759C"/>
    <w:rsid w:val="5E8439D3"/>
    <w:rsid w:val="5EA1558C"/>
    <w:rsid w:val="5EB6652D"/>
    <w:rsid w:val="5EEE7500"/>
    <w:rsid w:val="5F0C59B0"/>
    <w:rsid w:val="5F1319AB"/>
    <w:rsid w:val="5F296323"/>
    <w:rsid w:val="5F5B37E4"/>
    <w:rsid w:val="5F6D6E60"/>
    <w:rsid w:val="5F775146"/>
    <w:rsid w:val="5F980C6E"/>
    <w:rsid w:val="5F9963E0"/>
    <w:rsid w:val="5FA12D37"/>
    <w:rsid w:val="5FBB2BCD"/>
    <w:rsid w:val="5FDD3ED9"/>
    <w:rsid w:val="5FF7325E"/>
    <w:rsid w:val="60241A65"/>
    <w:rsid w:val="603040BD"/>
    <w:rsid w:val="603F644D"/>
    <w:rsid w:val="60471B32"/>
    <w:rsid w:val="606D5311"/>
    <w:rsid w:val="609E5338"/>
    <w:rsid w:val="60B66E16"/>
    <w:rsid w:val="60D21E1E"/>
    <w:rsid w:val="60E6783C"/>
    <w:rsid w:val="6104391D"/>
    <w:rsid w:val="610E0F08"/>
    <w:rsid w:val="6128329F"/>
    <w:rsid w:val="615403CB"/>
    <w:rsid w:val="61576F96"/>
    <w:rsid w:val="617069B6"/>
    <w:rsid w:val="61B37203"/>
    <w:rsid w:val="6257403C"/>
    <w:rsid w:val="626468B7"/>
    <w:rsid w:val="626F4756"/>
    <w:rsid w:val="627807F7"/>
    <w:rsid w:val="627C3A20"/>
    <w:rsid w:val="628E14E5"/>
    <w:rsid w:val="62963AE5"/>
    <w:rsid w:val="62AE063C"/>
    <w:rsid w:val="63207F3B"/>
    <w:rsid w:val="634936C2"/>
    <w:rsid w:val="636515AD"/>
    <w:rsid w:val="637E7860"/>
    <w:rsid w:val="63813C98"/>
    <w:rsid w:val="63B65B10"/>
    <w:rsid w:val="63DC340D"/>
    <w:rsid w:val="63EB6C97"/>
    <w:rsid w:val="64165990"/>
    <w:rsid w:val="645E744B"/>
    <w:rsid w:val="64882B0E"/>
    <w:rsid w:val="64A82DBC"/>
    <w:rsid w:val="64A87C69"/>
    <w:rsid w:val="64D17B29"/>
    <w:rsid w:val="64D6758B"/>
    <w:rsid w:val="64DD0F91"/>
    <w:rsid w:val="64ED04F4"/>
    <w:rsid w:val="64ED373A"/>
    <w:rsid w:val="65100A0C"/>
    <w:rsid w:val="651A36D7"/>
    <w:rsid w:val="65207FFD"/>
    <w:rsid w:val="65590704"/>
    <w:rsid w:val="656324CD"/>
    <w:rsid w:val="65673095"/>
    <w:rsid w:val="65693DB1"/>
    <w:rsid w:val="659B2A40"/>
    <w:rsid w:val="65D774B5"/>
    <w:rsid w:val="65F86BC0"/>
    <w:rsid w:val="66114E2D"/>
    <w:rsid w:val="66141B18"/>
    <w:rsid w:val="66326BB9"/>
    <w:rsid w:val="668411DE"/>
    <w:rsid w:val="668F3A97"/>
    <w:rsid w:val="668F3F0B"/>
    <w:rsid w:val="66901F3F"/>
    <w:rsid w:val="66925C95"/>
    <w:rsid w:val="66A43563"/>
    <w:rsid w:val="66AA2E1B"/>
    <w:rsid w:val="66C45133"/>
    <w:rsid w:val="67201EC5"/>
    <w:rsid w:val="672A39A0"/>
    <w:rsid w:val="673E3563"/>
    <w:rsid w:val="674C2EFD"/>
    <w:rsid w:val="675C017D"/>
    <w:rsid w:val="677B47B7"/>
    <w:rsid w:val="67B42B21"/>
    <w:rsid w:val="67BE45AB"/>
    <w:rsid w:val="67D54704"/>
    <w:rsid w:val="67D619EE"/>
    <w:rsid w:val="67E45429"/>
    <w:rsid w:val="682B3AE8"/>
    <w:rsid w:val="683926A8"/>
    <w:rsid w:val="684A1B8C"/>
    <w:rsid w:val="687150F5"/>
    <w:rsid w:val="68724066"/>
    <w:rsid w:val="687E797D"/>
    <w:rsid w:val="688E64BB"/>
    <w:rsid w:val="68DF5345"/>
    <w:rsid w:val="68E33569"/>
    <w:rsid w:val="68F0088D"/>
    <w:rsid w:val="68FA2328"/>
    <w:rsid w:val="69233008"/>
    <w:rsid w:val="693945B2"/>
    <w:rsid w:val="69395D58"/>
    <w:rsid w:val="693F66C1"/>
    <w:rsid w:val="69482A1E"/>
    <w:rsid w:val="699A1135"/>
    <w:rsid w:val="69A55591"/>
    <w:rsid w:val="69C70F95"/>
    <w:rsid w:val="69E71C90"/>
    <w:rsid w:val="6A1011E7"/>
    <w:rsid w:val="6A4B66C3"/>
    <w:rsid w:val="6A6F5E4A"/>
    <w:rsid w:val="6A734D18"/>
    <w:rsid w:val="6ACF23D3"/>
    <w:rsid w:val="6AE03492"/>
    <w:rsid w:val="6B0A2CB8"/>
    <w:rsid w:val="6B1437FA"/>
    <w:rsid w:val="6B4F5E80"/>
    <w:rsid w:val="6B560E7C"/>
    <w:rsid w:val="6B6D6359"/>
    <w:rsid w:val="6BC40EFA"/>
    <w:rsid w:val="6BE57F19"/>
    <w:rsid w:val="6C6C3A28"/>
    <w:rsid w:val="6CB61FCB"/>
    <w:rsid w:val="6D1108D3"/>
    <w:rsid w:val="6D1178D1"/>
    <w:rsid w:val="6D1B60CB"/>
    <w:rsid w:val="6D1C7981"/>
    <w:rsid w:val="6D284A9A"/>
    <w:rsid w:val="6D61038D"/>
    <w:rsid w:val="6D6617DE"/>
    <w:rsid w:val="6D78443E"/>
    <w:rsid w:val="6DA23C0B"/>
    <w:rsid w:val="6DB76D9B"/>
    <w:rsid w:val="6DBF1FB2"/>
    <w:rsid w:val="6DC91F8D"/>
    <w:rsid w:val="6DE0003A"/>
    <w:rsid w:val="6E1171EE"/>
    <w:rsid w:val="6E331948"/>
    <w:rsid w:val="6EB07F79"/>
    <w:rsid w:val="6ED8604B"/>
    <w:rsid w:val="6EF551CD"/>
    <w:rsid w:val="6EFB6D71"/>
    <w:rsid w:val="6F13284A"/>
    <w:rsid w:val="6F26325B"/>
    <w:rsid w:val="6F4D0F92"/>
    <w:rsid w:val="6F537D01"/>
    <w:rsid w:val="6F7F22DE"/>
    <w:rsid w:val="6FC038B7"/>
    <w:rsid w:val="6FF23C99"/>
    <w:rsid w:val="70016559"/>
    <w:rsid w:val="706F21AE"/>
    <w:rsid w:val="70913435"/>
    <w:rsid w:val="709D18AF"/>
    <w:rsid w:val="70DC1E23"/>
    <w:rsid w:val="70E61216"/>
    <w:rsid w:val="70E9663C"/>
    <w:rsid w:val="70EB007B"/>
    <w:rsid w:val="70FD56FC"/>
    <w:rsid w:val="710D5483"/>
    <w:rsid w:val="713D2894"/>
    <w:rsid w:val="71C40D5A"/>
    <w:rsid w:val="71D34201"/>
    <w:rsid w:val="720D63D3"/>
    <w:rsid w:val="724F6760"/>
    <w:rsid w:val="725E4ABA"/>
    <w:rsid w:val="728C7879"/>
    <w:rsid w:val="729D277C"/>
    <w:rsid w:val="72A14827"/>
    <w:rsid w:val="72B66C39"/>
    <w:rsid w:val="72CA214F"/>
    <w:rsid w:val="72D91B8C"/>
    <w:rsid w:val="72DA7D0C"/>
    <w:rsid w:val="72EC727D"/>
    <w:rsid w:val="72F66594"/>
    <w:rsid w:val="730E4E1B"/>
    <w:rsid w:val="734D525A"/>
    <w:rsid w:val="73955EAB"/>
    <w:rsid w:val="73A55D58"/>
    <w:rsid w:val="73C36235"/>
    <w:rsid w:val="73D70FC8"/>
    <w:rsid w:val="73DB7F4D"/>
    <w:rsid w:val="73E93E0B"/>
    <w:rsid w:val="73FD3FCA"/>
    <w:rsid w:val="740621AC"/>
    <w:rsid w:val="740A3838"/>
    <w:rsid w:val="744E2763"/>
    <w:rsid w:val="74634E48"/>
    <w:rsid w:val="74700A07"/>
    <w:rsid w:val="74EA1CD6"/>
    <w:rsid w:val="74EC7994"/>
    <w:rsid w:val="74F85AAE"/>
    <w:rsid w:val="74FF5622"/>
    <w:rsid w:val="751541EF"/>
    <w:rsid w:val="753C5952"/>
    <w:rsid w:val="754F39D5"/>
    <w:rsid w:val="75735DEC"/>
    <w:rsid w:val="75CD61DE"/>
    <w:rsid w:val="75DF1E0F"/>
    <w:rsid w:val="75F451F3"/>
    <w:rsid w:val="76163760"/>
    <w:rsid w:val="762052E6"/>
    <w:rsid w:val="762D2F18"/>
    <w:rsid w:val="763811A7"/>
    <w:rsid w:val="76A31929"/>
    <w:rsid w:val="76B12E3E"/>
    <w:rsid w:val="76F65C09"/>
    <w:rsid w:val="775B5F02"/>
    <w:rsid w:val="77635977"/>
    <w:rsid w:val="77BF5FFA"/>
    <w:rsid w:val="77D17553"/>
    <w:rsid w:val="77F85C2A"/>
    <w:rsid w:val="78005F03"/>
    <w:rsid w:val="78193BC4"/>
    <w:rsid w:val="783339D9"/>
    <w:rsid w:val="78AE64F8"/>
    <w:rsid w:val="78BE28C9"/>
    <w:rsid w:val="78E0091E"/>
    <w:rsid w:val="78F76F4B"/>
    <w:rsid w:val="79075916"/>
    <w:rsid w:val="79154652"/>
    <w:rsid w:val="797E3B04"/>
    <w:rsid w:val="79A61825"/>
    <w:rsid w:val="79D3374C"/>
    <w:rsid w:val="79DA2558"/>
    <w:rsid w:val="79F857F4"/>
    <w:rsid w:val="7A0F005A"/>
    <w:rsid w:val="7A6E7831"/>
    <w:rsid w:val="7A9F3F53"/>
    <w:rsid w:val="7AA3020A"/>
    <w:rsid w:val="7AD76316"/>
    <w:rsid w:val="7AD854D9"/>
    <w:rsid w:val="7AE95902"/>
    <w:rsid w:val="7AEE5D61"/>
    <w:rsid w:val="7B3404B1"/>
    <w:rsid w:val="7B9B0A7E"/>
    <w:rsid w:val="7BE81A4F"/>
    <w:rsid w:val="7BF07F90"/>
    <w:rsid w:val="7C0E0F63"/>
    <w:rsid w:val="7C2765E3"/>
    <w:rsid w:val="7C436A5B"/>
    <w:rsid w:val="7C483FF7"/>
    <w:rsid w:val="7C584D57"/>
    <w:rsid w:val="7C5F67B2"/>
    <w:rsid w:val="7C7F3A57"/>
    <w:rsid w:val="7C8A4171"/>
    <w:rsid w:val="7CAB361E"/>
    <w:rsid w:val="7CD460A4"/>
    <w:rsid w:val="7CDA4DED"/>
    <w:rsid w:val="7D00333D"/>
    <w:rsid w:val="7D3755EB"/>
    <w:rsid w:val="7D3E2E22"/>
    <w:rsid w:val="7D952967"/>
    <w:rsid w:val="7D9B07A4"/>
    <w:rsid w:val="7D9E23AB"/>
    <w:rsid w:val="7DB01666"/>
    <w:rsid w:val="7DB705CA"/>
    <w:rsid w:val="7DC75BE6"/>
    <w:rsid w:val="7DD25778"/>
    <w:rsid w:val="7E004857"/>
    <w:rsid w:val="7E131B02"/>
    <w:rsid w:val="7E204D99"/>
    <w:rsid w:val="7E5C45A3"/>
    <w:rsid w:val="7EC52672"/>
    <w:rsid w:val="7ECB1729"/>
    <w:rsid w:val="7ECC6D7D"/>
    <w:rsid w:val="7EDB25A4"/>
    <w:rsid w:val="7EE077C1"/>
    <w:rsid w:val="7EE54876"/>
    <w:rsid w:val="7EF53682"/>
    <w:rsid w:val="7F1B0294"/>
    <w:rsid w:val="7F3C6C40"/>
    <w:rsid w:val="7F487CE4"/>
    <w:rsid w:val="7F513A54"/>
    <w:rsid w:val="7F7978C8"/>
    <w:rsid w:val="7FAE4E23"/>
    <w:rsid w:val="7FB05DC4"/>
    <w:rsid w:val="7FB651F0"/>
    <w:rsid w:val="7FD07F28"/>
    <w:rsid w:val="7FDD0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spacing w:line="500" w:lineRule="exact"/>
      <w:ind w:firstLine="560" w:firstLineChars="200"/>
    </w:pPr>
    <w:rPr>
      <w:rFonts w:ascii="Times New Roman" w:hAnsi="Times New Roman" w:eastAsia="宋体" w:cs="Times New Roman"/>
      <w:snapToGrid w:val="0"/>
      <w:sz w:val="28"/>
      <w:szCs w:val="13"/>
      <w:lang w:val="en-US" w:eastAsia="zh-CN" w:bidi="ar-SA"/>
    </w:rPr>
  </w:style>
  <w:style w:type="paragraph" w:styleId="3">
    <w:name w:val="heading 1"/>
    <w:basedOn w:val="1"/>
    <w:next w:val="1"/>
    <w:qFormat/>
    <w:uiPriority w:val="0"/>
    <w:pPr>
      <w:keepNext/>
      <w:keepLines/>
      <w:spacing w:beforeLines="50" w:afterLines="50" w:line="240" w:lineRule="auto"/>
      <w:ind w:firstLine="0" w:firstLineChars="0"/>
      <w:outlineLvl w:val="0"/>
    </w:pPr>
    <w:rPr>
      <w:b/>
      <w:kern w:val="44"/>
      <w:sz w:val="32"/>
    </w:rPr>
  </w:style>
  <w:style w:type="paragraph" w:styleId="4">
    <w:name w:val="heading 2"/>
    <w:basedOn w:val="1"/>
    <w:next w:val="1"/>
    <w:unhideWhenUsed/>
    <w:qFormat/>
    <w:uiPriority w:val="0"/>
    <w:pPr>
      <w:keepNext/>
      <w:keepLines/>
      <w:spacing w:beforeLines="50" w:afterLines="50" w:line="240" w:lineRule="auto"/>
      <w:ind w:firstLine="0" w:firstLineChars="0"/>
      <w:outlineLvl w:val="1"/>
    </w:pPr>
    <w:rPr>
      <w:b/>
    </w:rPr>
  </w:style>
  <w:style w:type="paragraph" w:styleId="2">
    <w:name w:val="heading 3"/>
    <w:basedOn w:val="1"/>
    <w:next w:val="1"/>
    <w:unhideWhenUsed/>
    <w:qFormat/>
    <w:uiPriority w:val="0"/>
    <w:pPr>
      <w:keepNext/>
      <w:keepLines/>
      <w:spacing w:beforeLines="50" w:afterLines="50" w:line="240" w:lineRule="auto"/>
      <w:ind w:firstLine="0" w:firstLineChars="0"/>
      <w:outlineLvl w:val="2"/>
    </w:pPr>
    <w:rPr>
      <w:b/>
    </w:rPr>
  </w:style>
  <w:style w:type="paragraph" w:styleId="5">
    <w:name w:val="heading 4"/>
    <w:basedOn w:val="1"/>
    <w:next w:val="1"/>
    <w:unhideWhenUsed/>
    <w:qFormat/>
    <w:uiPriority w:val="0"/>
    <w:pPr>
      <w:keepNext/>
      <w:keepLines/>
      <w:spacing w:beforeLines="50" w:afterLines="50" w:line="240" w:lineRule="auto"/>
      <w:ind w:firstLine="0" w:firstLineChars="0"/>
      <w:outlineLvl w:val="3"/>
    </w:pPr>
    <w:rPr>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adjustRightInd w:val="0"/>
      <w:snapToGrid w:val="0"/>
      <w:spacing w:line="300" w:lineRule="auto"/>
      <w:textAlignment w:val="baseline"/>
    </w:pPr>
    <w:rPr>
      <w:rFonts w:ascii="仿宋_GB2312"/>
      <w:color w:val="000000"/>
    </w:rPr>
  </w:style>
  <w:style w:type="paragraph" w:styleId="7">
    <w:name w:val="caption"/>
    <w:basedOn w:val="8"/>
    <w:next w:val="1"/>
    <w:link w:val="36"/>
    <w:unhideWhenUsed/>
    <w:qFormat/>
    <w:uiPriority w:val="35"/>
  </w:style>
  <w:style w:type="paragraph" w:customStyle="1" w:styleId="8">
    <w:name w:val="图标题"/>
    <w:basedOn w:val="1"/>
    <w:qFormat/>
    <w:uiPriority w:val="0"/>
    <w:pPr>
      <w:keepLines/>
      <w:ind w:firstLine="0" w:firstLineChars="0"/>
      <w:jc w:val="center"/>
    </w:pPr>
    <w:rPr>
      <w:b/>
      <w:sz w:val="24"/>
    </w:rPr>
  </w:style>
  <w:style w:type="paragraph" w:styleId="9">
    <w:name w:val="Document Map"/>
    <w:basedOn w:val="1"/>
    <w:link w:val="30"/>
    <w:qFormat/>
    <w:uiPriority w:val="0"/>
    <w:rPr>
      <w:rFonts w:ascii="宋体"/>
      <w:sz w:val="18"/>
      <w:szCs w:val="18"/>
    </w:rPr>
  </w:style>
  <w:style w:type="paragraph" w:styleId="10">
    <w:name w:val="annotation text"/>
    <w:basedOn w:val="1"/>
    <w:link w:val="32"/>
    <w:qFormat/>
    <w:uiPriority w:val="0"/>
  </w:style>
  <w:style w:type="paragraph" w:styleId="11">
    <w:name w:val="Body Text"/>
    <w:basedOn w:val="1"/>
    <w:next w:val="12"/>
    <w:qFormat/>
    <w:uiPriority w:val="1"/>
    <w:rPr>
      <w:sz w:val="24"/>
      <w:szCs w:val="24"/>
    </w:rPr>
  </w:style>
  <w:style w:type="paragraph" w:styleId="12">
    <w:name w:val="List Bullet 5"/>
    <w:basedOn w:val="1"/>
    <w:qFormat/>
    <w:uiPriority w:val="0"/>
    <w:pPr>
      <w:numPr>
        <w:ilvl w:val="0"/>
        <w:numId w:val="1"/>
      </w:numPr>
    </w:pPr>
  </w:style>
  <w:style w:type="paragraph" w:styleId="13">
    <w:name w:val="Body Text Indent"/>
    <w:basedOn w:val="1"/>
    <w:qFormat/>
    <w:uiPriority w:val="0"/>
    <w:pPr>
      <w:spacing w:line="360" w:lineRule="auto"/>
      <w:ind w:firstLine="480"/>
    </w:pPr>
    <w:rPr>
      <w:sz w:val="24"/>
      <w:lang w:val="zh-CN"/>
    </w:rPr>
  </w:style>
  <w:style w:type="paragraph" w:styleId="14">
    <w:name w:val="Block Text"/>
    <w:basedOn w:val="1"/>
    <w:qFormat/>
    <w:uiPriority w:val="0"/>
    <w:pPr>
      <w:adjustRightInd w:val="0"/>
      <w:snapToGrid w:val="0"/>
      <w:spacing w:line="490" w:lineRule="atLeast"/>
      <w:ind w:left="10" w:leftChars="5" w:right="-449" w:rightChars="-214" w:firstLine="560" w:firstLineChars="200"/>
    </w:pPr>
    <w:rPr>
      <w:color w:val="000000"/>
      <w:sz w:val="28"/>
      <w:szCs w:val="24"/>
    </w:rPr>
  </w:style>
  <w:style w:type="paragraph" w:styleId="15">
    <w:name w:val="Plain Text"/>
    <w:basedOn w:val="1"/>
    <w:qFormat/>
    <w:uiPriority w:val="0"/>
    <w:rPr>
      <w:rFonts w:ascii="宋体" w:hAnsi="Courier New"/>
    </w:rPr>
  </w:style>
  <w:style w:type="paragraph" w:styleId="16">
    <w:name w:val="Balloon Text"/>
    <w:basedOn w:val="1"/>
    <w:link w:val="31"/>
    <w:qFormat/>
    <w:uiPriority w:val="0"/>
    <w:pPr>
      <w:spacing w:line="240" w:lineRule="auto"/>
    </w:pPr>
    <w:rPr>
      <w:sz w:val="18"/>
      <w:szCs w:val="18"/>
    </w:rPr>
  </w:style>
  <w:style w:type="paragraph" w:styleId="17">
    <w:name w:val="footer"/>
    <w:basedOn w:val="1"/>
    <w:link w:val="41"/>
    <w:qFormat/>
    <w:uiPriority w:val="99"/>
    <w:pPr>
      <w:tabs>
        <w:tab w:val="center" w:pos="4153"/>
        <w:tab w:val="right" w:pos="8306"/>
      </w:tabs>
      <w:snapToGrid w:val="0"/>
    </w:pPr>
    <w:rPr>
      <w:sz w:val="18"/>
    </w:rPr>
  </w:style>
  <w:style w:type="paragraph" w:styleId="1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9">
    <w:name w:val="toc 1"/>
    <w:basedOn w:val="1"/>
    <w:next w:val="1"/>
    <w:qFormat/>
    <w:uiPriority w:val="0"/>
  </w:style>
  <w:style w:type="paragraph" w:styleId="20">
    <w:name w:val="List"/>
    <w:basedOn w:val="1"/>
    <w:semiHidden/>
    <w:unhideWhenUsed/>
    <w:qFormat/>
    <w:uiPriority w:val="99"/>
    <w:pPr>
      <w:ind w:left="200" w:hanging="200" w:hangingChars="200"/>
      <w:contextualSpacing/>
    </w:pPr>
  </w:style>
  <w:style w:type="paragraph" w:styleId="21">
    <w:name w:val="toc 2"/>
    <w:basedOn w:val="1"/>
    <w:next w:val="1"/>
    <w:qFormat/>
    <w:uiPriority w:val="0"/>
    <w:pPr>
      <w:ind w:left="420" w:leftChars="200"/>
    </w:pPr>
  </w:style>
  <w:style w:type="paragraph" w:styleId="22">
    <w:name w:val="Normal (Web)"/>
    <w:basedOn w:val="1"/>
    <w:unhideWhenUsed/>
    <w:qFormat/>
    <w:uiPriority w:val="99"/>
    <w:pPr>
      <w:widowControl/>
      <w:spacing w:before="100" w:beforeLines="0" w:beforeAutospacing="1" w:after="100" w:afterLines="0" w:afterAutospacing="1" w:line="240" w:lineRule="auto"/>
      <w:jc w:val="left"/>
    </w:pPr>
    <w:rPr>
      <w:rFonts w:hint="eastAsia" w:ascii="宋体" w:hAnsi="宋体"/>
      <w:color w:val="000000"/>
      <w:kern w:val="0"/>
      <w:sz w:val="21"/>
      <w:szCs w:val="24"/>
    </w:rPr>
  </w:style>
  <w:style w:type="paragraph" w:styleId="23">
    <w:name w:val="annotation subject"/>
    <w:basedOn w:val="10"/>
    <w:next w:val="10"/>
    <w:link w:val="33"/>
    <w:qFormat/>
    <w:uiPriority w:val="0"/>
    <w:rPr>
      <w:b/>
      <w:bCs/>
    </w:rPr>
  </w:style>
  <w:style w:type="table" w:styleId="25">
    <w:name w:val="Table Grid"/>
    <w:basedOn w:val="2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annotation reference"/>
    <w:basedOn w:val="26"/>
    <w:qFormat/>
    <w:uiPriority w:val="0"/>
    <w:rPr>
      <w:sz w:val="21"/>
      <w:szCs w:val="21"/>
    </w:rPr>
  </w:style>
  <w:style w:type="paragraph" w:customStyle="1" w:styleId="28">
    <w:name w:val="表格文字"/>
    <w:basedOn w:val="15"/>
    <w:qFormat/>
    <w:uiPriority w:val="0"/>
    <w:pPr>
      <w:adjustRightInd w:val="0"/>
      <w:snapToGrid w:val="0"/>
      <w:spacing w:line="240" w:lineRule="auto"/>
      <w:ind w:firstLine="0" w:firstLineChars="0"/>
      <w:jc w:val="center"/>
    </w:pPr>
    <w:rPr>
      <w:rFonts w:ascii="Times New Roman" w:hAnsi="Times New Roman"/>
      <w:sz w:val="24"/>
    </w:rPr>
  </w:style>
  <w:style w:type="paragraph" w:customStyle="1" w:styleId="29">
    <w:name w:val="表头1"/>
    <w:qFormat/>
    <w:uiPriority w:val="1"/>
    <w:pPr>
      <w:adjustRightInd w:val="0"/>
      <w:snapToGrid w:val="0"/>
      <w:spacing w:beforeLines="50"/>
      <w:jc w:val="center"/>
    </w:pPr>
    <w:rPr>
      <w:rFonts w:ascii="Times New Roman" w:hAnsi="Times New Roman" w:eastAsia="宋体" w:cs="Times New Roman"/>
      <w:b/>
      <w:sz w:val="24"/>
      <w:lang w:val="en-US" w:eastAsia="zh-CN" w:bidi="ar-SA"/>
    </w:rPr>
  </w:style>
  <w:style w:type="character" w:customStyle="1" w:styleId="30">
    <w:name w:val="文档结构图 字符"/>
    <w:basedOn w:val="26"/>
    <w:link w:val="9"/>
    <w:qFormat/>
    <w:uiPriority w:val="0"/>
    <w:rPr>
      <w:rFonts w:ascii="宋体"/>
      <w:snapToGrid w:val="0"/>
      <w:sz w:val="18"/>
      <w:szCs w:val="18"/>
    </w:rPr>
  </w:style>
  <w:style w:type="character" w:customStyle="1" w:styleId="31">
    <w:name w:val="批注框文本 字符"/>
    <w:basedOn w:val="26"/>
    <w:link w:val="16"/>
    <w:qFormat/>
    <w:uiPriority w:val="0"/>
    <w:rPr>
      <w:snapToGrid w:val="0"/>
      <w:sz w:val="18"/>
      <w:szCs w:val="18"/>
    </w:rPr>
  </w:style>
  <w:style w:type="character" w:customStyle="1" w:styleId="32">
    <w:name w:val="批注文字 字符"/>
    <w:basedOn w:val="26"/>
    <w:link w:val="10"/>
    <w:qFormat/>
    <w:uiPriority w:val="0"/>
    <w:rPr>
      <w:snapToGrid w:val="0"/>
      <w:sz w:val="28"/>
      <w:szCs w:val="13"/>
    </w:rPr>
  </w:style>
  <w:style w:type="character" w:customStyle="1" w:styleId="33">
    <w:name w:val="批注主题 字符"/>
    <w:basedOn w:val="32"/>
    <w:link w:val="23"/>
    <w:qFormat/>
    <w:uiPriority w:val="0"/>
    <w:rPr>
      <w:b/>
      <w:bCs/>
      <w:snapToGrid w:val="0"/>
      <w:sz w:val="28"/>
      <w:szCs w:val="13"/>
    </w:rPr>
  </w:style>
  <w:style w:type="paragraph" w:customStyle="1" w:styleId="34">
    <w:name w:val="表格中C+A+Z"/>
    <w:basedOn w:val="1"/>
    <w:link w:val="35"/>
    <w:qFormat/>
    <w:uiPriority w:val="34"/>
    <w:pPr>
      <w:autoSpaceDE/>
      <w:autoSpaceDN/>
      <w:adjustRightInd w:val="0"/>
      <w:snapToGrid w:val="0"/>
      <w:spacing w:line="240" w:lineRule="auto"/>
      <w:ind w:firstLine="0" w:firstLineChars="0"/>
      <w:jc w:val="center"/>
    </w:pPr>
    <w:rPr>
      <w:rFonts w:eastAsia="仿宋_GB2312"/>
      <w:bCs/>
      <w:snapToGrid/>
      <w:kern w:val="2"/>
      <w:sz w:val="21"/>
      <w:szCs w:val="21"/>
    </w:rPr>
  </w:style>
  <w:style w:type="character" w:customStyle="1" w:styleId="35">
    <w:name w:val="表格中C+A+Z Char"/>
    <w:link w:val="34"/>
    <w:qFormat/>
    <w:uiPriority w:val="34"/>
    <w:rPr>
      <w:rFonts w:eastAsia="仿宋_GB2312"/>
      <w:bCs/>
      <w:kern w:val="2"/>
      <w:sz w:val="21"/>
      <w:szCs w:val="21"/>
    </w:rPr>
  </w:style>
  <w:style w:type="character" w:customStyle="1" w:styleId="36">
    <w:name w:val="题注 字符"/>
    <w:link w:val="7"/>
    <w:qFormat/>
    <w:uiPriority w:val="35"/>
    <w:rPr>
      <w:b/>
      <w:snapToGrid w:val="0"/>
      <w:sz w:val="24"/>
      <w:szCs w:val="13"/>
    </w:rPr>
  </w:style>
  <w:style w:type="paragraph" w:customStyle="1" w:styleId="37">
    <w:name w:val="表头、图尾"/>
    <w:next w:val="1"/>
    <w:link w:val="38"/>
    <w:qFormat/>
    <w:uiPriority w:val="0"/>
    <w:pPr>
      <w:spacing w:line="500" w:lineRule="exact"/>
      <w:jc w:val="center"/>
    </w:pPr>
    <w:rPr>
      <w:rFonts w:ascii="Times New Roman" w:hAnsi="Times New Roman" w:eastAsia="仿宋_GB2312" w:cs="Times New Roman"/>
      <w:b/>
      <w:kern w:val="2"/>
      <w:sz w:val="24"/>
      <w:lang w:val="en-US" w:eastAsia="zh-CN" w:bidi="ar-SA"/>
    </w:rPr>
  </w:style>
  <w:style w:type="character" w:customStyle="1" w:styleId="38">
    <w:name w:val="表头、图尾 Char"/>
    <w:basedOn w:val="26"/>
    <w:link w:val="37"/>
    <w:qFormat/>
    <w:uiPriority w:val="0"/>
    <w:rPr>
      <w:rFonts w:eastAsia="仿宋_GB2312"/>
      <w:b/>
      <w:kern w:val="2"/>
      <w:sz w:val="24"/>
    </w:rPr>
  </w:style>
  <w:style w:type="table" w:customStyle="1" w:styleId="3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0">
    <w:name w:val="Table Paragraph"/>
    <w:basedOn w:val="1"/>
    <w:qFormat/>
    <w:uiPriority w:val="1"/>
    <w:pPr>
      <w:spacing w:line="240" w:lineRule="auto"/>
      <w:ind w:firstLine="0" w:firstLineChars="0"/>
      <w:jc w:val="center"/>
    </w:pPr>
    <w:rPr>
      <w:rFonts w:eastAsia="Times New Roman"/>
      <w:snapToGrid/>
      <w:sz w:val="22"/>
      <w:szCs w:val="22"/>
      <w:lang w:eastAsia="en-US" w:bidi="en-US"/>
    </w:rPr>
  </w:style>
  <w:style w:type="character" w:customStyle="1" w:styleId="41">
    <w:name w:val="页脚 字符"/>
    <w:basedOn w:val="26"/>
    <w:link w:val="17"/>
    <w:qFormat/>
    <w:uiPriority w:val="99"/>
    <w:rPr>
      <w:snapToGrid w:val="0"/>
      <w:sz w:val="18"/>
      <w:szCs w:val="13"/>
    </w:rPr>
  </w:style>
  <w:style w:type="paragraph" w:customStyle="1" w:styleId="42">
    <w:name w:val="表格"/>
    <w:basedOn w:val="1"/>
    <w:next w:val="1"/>
    <w:qFormat/>
    <w:uiPriority w:val="0"/>
    <w:pPr>
      <w:jc w:val="center"/>
    </w:pPr>
    <w:rPr>
      <w:kern w:val="0"/>
      <w:sz w:val="24"/>
      <w:szCs w:val="24"/>
    </w:rPr>
  </w:style>
  <w:style w:type="paragraph" w:customStyle="1" w:styleId="43">
    <w:name w:val="表格中文字"/>
    <w:basedOn w:val="1"/>
    <w:unhideWhenUsed/>
    <w:qFormat/>
    <w:uiPriority w:val="0"/>
    <w:pPr>
      <w:adjustRightInd w:val="0"/>
      <w:snapToGrid w:val="0"/>
      <w:spacing w:beforeLines="0" w:afterLines="0" w:line="240" w:lineRule="auto"/>
      <w:jc w:val="center"/>
    </w:pPr>
    <w:rPr>
      <w:rFonts w:hint="default"/>
      <w:kern w:val="18"/>
      <w:sz w:val="21"/>
      <w:szCs w:val="21"/>
    </w:rPr>
  </w:style>
  <w:style w:type="paragraph" w:customStyle="1" w:styleId="4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5">
    <w:name w:val="表格首行字体"/>
    <w:basedOn w:val="1"/>
    <w:qFormat/>
    <w:uiPriority w:val="0"/>
    <w:pPr>
      <w:spacing w:line="240" w:lineRule="auto"/>
      <w:jc w:val="center"/>
    </w:pPr>
    <w:rPr>
      <w:b/>
      <w:sz w:val="21"/>
      <w:szCs w:val="20"/>
    </w:rPr>
  </w:style>
  <w:style w:type="paragraph" w:customStyle="1" w:styleId="46">
    <w:name w:val="表格正文"/>
    <w:basedOn w:val="1"/>
    <w:next w:val="1"/>
    <w:qFormat/>
    <w:uiPriority w:val="0"/>
    <w:pPr>
      <w:spacing w:line="240" w:lineRule="auto"/>
      <w:jc w:val="center"/>
    </w:pPr>
    <w:rPr>
      <w:sz w:val="21"/>
    </w:rPr>
  </w:style>
  <w:style w:type="character" w:customStyle="1" w:styleId="47">
    <w:name w:val="font21"/>
    <w:basedOn w:val="26"/>
    <w:qFormat/>
    <w:uiPriority w:val="0"/>
    <w:rPr>
      <w:rFonts w:hint="eastAsia" w:ascii="宋体" w:hAnsi="宋体" w:eastAsia="宋体" w:cs="宋体"/>
      <w:color w:val="000000"/>
      <w:sz w:val="24"/>
      <w:szCs w:val="24"/>
      <w:u w:val="none"/>
      <w:vertAlign w:val="superscript"/>
    </w:rPr>
  </w:style>
  <w:style w:type="character" w:customStyle="1" w:styleId="48">
    <w:name w:val="font31"/>
    <w:basedOn w:val="26"/>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png"/><Relationship Id="rId17" Type="http://schemas.openxmlformats.org/officeDocument/2006/relationships/image" Target="media/image2.emf"/><Relationship Id="rId16" Type="http://schemas.openxmlformats.org/officeDocument/2006/relationships/oleObject" Target="embeddings/oleObject1.bin"/><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73"/>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2FE61-BE3D-48FD-B729-38C6F96FB16E}">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48</Pages>
  <Words>27535</Words>
  <Characters>33169</Characters>
  <Lines>483</Lines>
  <Paragraphs>136</Paragraphs>
  <TotalTime>12</TotalTime>
  <ScaleCrop>false</ScaleCrop>
  <LinksUpToDate>false</LinksUpToDate>
  <CharactersWithSpaces>34852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2021-08-12T07:06:00Z</dcterms:created>
  <dc:creator>作者</dc:creator>
  <cp:lastModifiedBy>湾湾²⁰¹⁹</cp:lastModifiedBy>
  <cp:lastPrinted>2022-11-10T02:52:00Z</cp:lastPrinted>
  <dcterms:modified xsi:type="dcterms:W3CDTF">2023-04-06T07:44:18Z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185DF5D451B647C881F6BA4CF835706C</vt:lpwstr>
  </property>
  <property fmtid="{D5CDD505-2E9C-101B-9397-08002B2CF9AE}" pid="4" name="KSOSaveFontToCloudKey">
    <vt:lpwstr>268871303_btnclosed</vt:lpwstr>
  </property>
</Properties>
</file>