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0" w:firstLineChars="100"/>
        <w:rPr>
          <w:color w:val="auto"/>
          <w:sz w:val="36"/>
          <w:szCs w:val="36"/>
          <w:highlight w:val="none"/>
        </w:rPr>
      </w:pPr>
    </w:p>
    <w:p>
      <w:pPr>
        <w:pStyle w:val="2"/>
        <w:rPr>
          <w:color w:val="auto"/>
          <w:sz w:val="36"/>
          <w:szCs w:val="36"/>
          <w:highlight w:val="none"/>
        </w:rPr>
      </w:pPr>
    </w:p>
    <w:p>
      <w:pPr>
        <w:pStyle w:val="14"/>
        <w:numPr>
          <w:ilvl w:val="0"/>
          <w:numId w:val="0"/>
        </w:numPr>
        <w:rPr>
          <w:color w:val="auto"/>
          <w:highlight w:val="none"/>
        </w:rPr>
      </w:pPr>
    </w:p>
    <w:p>
      <w:pPr>
        <w:ind w:firstLine="360" w:firstLineChars="100"/>
        <w:rPr>
          <w:color w:val="auto"/>
          <w:sz w:val="36"/>
          <w:szCs w:val="36"/>
          <w:highlight w:val="none"/>
        </w:rPr>
      </w:pPr>
    </w:p>
    <w:p>
      <w:pPr>
        <w:jc w:val="center"/>
        <w:rPr>
          <w:b/>
          <w:color w:val="auto"/>
          <w:sz w:val="72"/>
          <w:szCs w:val="72"/>
          <w:highlight w:val="none"/>
        </w:rPr>
      </w:pPr>
      <w:r>
        <w:rPr>
          <w:b/>
          <w:bCs/>
          <w:color w:val="auto"/>
          <w:sz w:val="72"/>
          <w:szCs w:val="72"/>
          <w:highlight w:val="none"/>
        </w:rPr>
        <w:t>建设项目环境影响报告表</w:t>
      </w:r>
    </w:p>
    <w:p>
      <w:pPr>
        <w:adjustRightInd w:val="0"/>
        <w:snapToGrid w:val="0"/>
        <w:jc w:val="center"/>
        <w:rPr>
          <w:b/>
          <w:color w:val="auto"/>
          <w:sz w:val="52"/>
          <w:szCs w:val="52"/>
          <w:highlight w:val="none"/>
        </w:rPr>
      </w:pPr>
      <w:r>
        <w:rPr>
          <w:b/>
          <w:color w:val="auto"/>
          <w:sz w:val="52"/>
          <w:szCs w:val="52"/>
          <w:highlight w:val="none"/>
        </w:rPr>
        <w:t>（污染影响类）</w:t>
      </w:r>
    </w:p>
    <w:p>
      <w:pPr>
        <w:rPr>
          <w:color w:val="auto"/>
          <w:highlight w:val="none"/>
        </w:rPr>
      </w:pPr>
    </w:p>
    <w:p>
      <w:pPr>
        <w:ind w:firstLine="1040"/>
        <w:rPr>
          <w:color w:val="auto"/>
          <w:sz w:val="44"/>
          <w:szCs w:val="44"/>
          <w:highlight w:val="none"/>
        </w:rPr>
      </w:pPr>
    </w:p>
    <w:p>
      <w:pPr>
        <w:ind w:firstLine="1040"/>
        <w:rPr>
          <w:color w:val="auto"/>
          <w:sz w:val="44"/>
          <w:szCs w:val="44"/>
          <w:highlight w:val="none"/>
        </w:rPr>
      </w:pPr>
    </w:p>
    <w:p>
      <w:pPr>
        <w:pStyle w:val="2"/>
        <w:rPr>
          <w:color w:val="auto"/>
          <w:highlight w:val="none"/>
        </w:rPr>
      </w:pPr>
    </w:p>
    <w:p>
      <w:pPr>
        <w:pStyle w:val="2"/>
        <w:rPr>
          <w:rFonts w:ascii="Times New Roman" w:hAnsi="Times New Roman" w:eastAsia="宋体"/>
          <w:color w:val="auto"/>
          <w:sz w:val="44"/>
          <w:szCs w:val="44"/>
          <w:highlight w:val="none"/>
        </w:rPr>
      </w:pPr>
    </w:p>
    <w:p>
      <w:pPr>
        <w:pStyle w:val="14"/>
        <w:numPr>
          <w:ilvl w:val="0"/>
          <w:numId w:val="0"/>
        </w:numPr>
        <w:ind w:left="1680"/>
        <w:rPr>
          <w:color w:val="auto"/>
          <w:highlight w:val="none"/>
        </w:rPr>
      </w:pPr>
    </w:p>
    <w:p>
      <w:pPr>
        <w:rPr>
          <w:color w:val="auto"/>
          <w:sz w:val="32"/>
          <w:szCs w:val="32"/>
          <w:highlight w:val="none"/>
        </w:rPr>
      </w:pPr>
    </w:p>
    <w:p>
      <w:pPr>
        <w:adjustRightInd w:val="0"/>
        <w:snapToGrid w:val="0"/>
        <w:spacing w:line="360" w:lineRule="auto"/>
        <w:ind w:firstLine="964" w:firstLineChars="300"/>
        <w:jc w:val="left"/>
        <w:rPr>
          <w:rFonts w:hint="eastAsia"/>
          <w:b/>
          <w:bCs/>
          <w:color w:val="auto"/>
          <w:sz w:val="32"/>
          <w:szCs w:val="32"/>
          <w:highlight w:val="none"/>
          <w:u w:val="single"/>
        </w:rPr>
      </w:pPr>
      <w:r>
        <w:rPr>
          <w:b/>
          <w:bCs/>
          <w:color w:val="auto"/>
          <w:sz w:val="32"/>
          <w:szCs w:val="32"/>
          <w:highlight w:val="none"/>
        </w:rPr>
        <w:t>项</w:t>
      </w:r>
      <w:r>
        <w:rPr>
          <w:rFonts w:hint="eastAsia"/>
          <w:b/>
          <w:bCs/>
          <w:color w:val="auto"/>
          <w:sz w:val="32"/>
          <w:szCs w:val="32"/>
          <w:highlight w:val="none"/>
        </w:rPr>
        <w:t xml:space="preserve">  </w:t>
      </w:r>
      <w:r>
        <w:rPr>
          <w:b/>
          <w:bCs/>
          <w:color w:val="auto"/>
          <w:sz w:val="32"/>
          <w:szCs w:val="32"/>
          <w:highlight w:val="none"/>
        </w:rPr>
        <w:t>目</w:t>
      </w:r>
      <w:r>
        <w:rPr>
          <w:rFonts w:hint="eastAsia"/>
          <w:b/>
          <w:bCs/>
          <w:color w:val="auto"/>
          <w:sz w:val="32"/>
          <w:szCs w:val="32"/>
          <w:highlight w:val="none"/>
        </w:rPr>
        <w:t xml:space="preserve">  </w:t>
      </w:r>
      <w:r>
        <w:rPr>
          <w:b/>
          <w:bCs/>
          <w:color w:val="auto"/>
          <w:sz w:val="32"/>
          <w:szCs w:val="32"/>
          <w:highlight w:val="none"/>
        </w:rPr>
        <w:t>名</w:t>
      </w:r>
      <w:r>
        <w:rPr>
          <w:rFonts w:hint="eastAsia"/>
          <w:b/>
          <w:bCs/>
          <w:color w:val="auto"/>
          <w:sz w:val="32"/>
          <w:szCs w:val="32"/>
          <w:highlight w:val="none"/>
        </w:rPr>
        <w:t xml:space="preserve">  </w:t>
      </w:r>
      <w:r>
        <w:rPr>
          <w:b/>
          <w:bCs/>
          <w:color w:val="auto"/>
          <w:sz w:val="32"/>
          <w:szCs w:val="32"/>
          <w:highlight w:val="none"/>
        </w:rPr>
        <w:t>称：</w:t>
      </w:r>
      <w:r>
        <w:rPr>
          <w:rFonts w:hint="eastAsia"/>
          <w:b/>
          <w:bCs/>
          <w:color w:val="auto"/>
          <w:sz w:val="32"/>
          <w:szCs w:val="32"/>
          <w:highlight w:val="none"/>
          <w:u w:val="single"/>
        </w:rPr>
        <w:t xml:space="preserve">     新建包装材料生产项目       </w:t>
      </w:r>
    </w:p>
    <w:p>
      <w:pPr>
        <w:adjustRightInd w:val="0"/>
        <w:snapToGrid w:val="0"/>
        <w:spacing w:line="360" w:lineRule="auto"/>
        <w:ind w:firstLine="964" w:firstLineChars="300"/>
        <w:jc w:val="left"/>
        <w:rPr>
          <w:b/>
          <w:bCs/>
          <w:color w:val="auto"/>
          <w:sz w:val="32"/>
          <w:szCs w:val="32"/>
          <w:highlight w:val="none"/>
        </w:rPr>
      </w:pPr>
      <w:r>
        <w:rPr>
          <w:b/>
          <w:bCs/>
          <w:color w:val="auto"/>
          <w:sz w:val="32"/>
          <w:szCs w:val="32"/>
          <w:highlight w:val="none"/>
        </w:rPr>
        <w:t>建设单位（盖章）：</w:t>
      </w:r>
      <w:r>
        <w:rPr>
          <w:b/>
          <w:bCs/>
          <w:color w:val="auto"/>
          <w:sz w:val="32"/>
          <w:szCs w:val="32"/>
          <w:highlight w:val="none"/>
          <w:u w:val="single"/>
        </w:rPr>
        <w:t xml:space="preserve"> </w:t>
      </w:r>
      <w:r>
        <w:rPr>
          <w:rFonts w:hint="eastAsia"/>
          <w:b/>
          <w:bCs/>
          <w:color w:val="auto"/>
          <w:sz w:val="32"/>
          <w:szCs w:val="32"/>
          <w:highlight w:val="none"/>
          <w:u w:val="single"/>
        </w:rPr>
        <w:t xml:space="preserve"> </w:t>
      </w:r>
      <w:r>
        <w:rPr>
          <w:rFonts w:hint="eastAsia"/>
          <w:b/>
          <w:bCs/>
          <w:color w:val="auto"/>
          <w:sz w:val="32"/>
          <w:szCs w:val="32"/>
          <w:highlight w:val="none"/>
          <w:u w:val="single"/>
          <w:lang w:val="en-US" w:eastAsia="zh-CN"/>
        </w:rPr>
        <w:t xml:space="preserve"> </w:t>
      </w:r>
      <w:r>
        <w:rPr>
          <w:rFonts w:hint="eastAsia"/>
          <w:b/>
          <w:bCs/>
          <w:color w:val="auto"/>
          <w:sz w:val="32"/>
          <w:szCs w:val="32"/>
          <w:highlight w:val="none"/>
          <w:u w:val="single"/>
        </w:rPr>
        <w:t>江苏汇富新型材料有限公司</w:t>
      </w:r>
      <w:r>
        <w:rPr>
          <w:rFonts w:hint="eastAsia"/>
          <w:b/>
          <w:bCs/>
          <w:color w:val="auto"/>
          <w:sz w:val="32"/>
          <w:szCs w:val="32"/>
          <w:highlight w:val="none"/>
          <w:u w:val="single"/>
          <w:lang w:val="en-US" w:eastAsia="zh-CN"/>
        </w:rPr>
        <w:t xml:space="preserve">   </w:t>
      </w:r>
    </w:p>
    <w:p>
      <w:pPr>
        <w:adjustRightInd w:val="0"/>
        <w:snapToGrid w:val="0"/>
        <w:spacing w:line="288" w:lineRule="auto"/>
        <w:ind w:firstLine="964" w:firstLineChars="300"/>
        <w:jc w:val="left"/>
        <w:rPr>
          <w:rFonts w:hint="default"/>
          <w:color w:val="auto"/>
          <w:sz w:val="32"/>
          <w:szCs w:val="32"/>
          <w:highlight w:val="none"/>
          <w:u w:val="single"/>
          <w:lang w:val="en-US"/>
        </w:rPr>
      </w:pPr>
      <w:r>
        <w:rPr>
          <w:b/>
          <w:bCs/>
          <w:color w:val="auto"/>
          <w:sz w:val="32"/>
          <w:szCs w:val="32"/>
          <w:highlight w:val="none"/>
        </w:rPr>
        <w:t>编</w:t>
      </w:r>
      <w:r>
        <w:rPr>
          <w:rFonts w:hint="eastAsia"/>
          <w:b/>
          <w:bCs/>
          <w:color w:val="auto"/>
          <w:sz w:val="32"/>
          <w:szCs w:val="32"/>
          <w:highlight w:val="none"/>
        </w:rPr>
        <w:t xml:space="preserve">  </w:t>
      </w:r>
      <w:r>
        <w:rPr>
          <w:b/>
          <w:bCs/>
          <w:color w:val="auto"/>
          <w:sz w:val="32"/>
          <w:szCs w:val="32"/>
          <w:highlight w:val="none"/>
        </w:rPr>
        <w:t>制</w:t>
      </w:r>
      <w:r>
        <w:rPr>
          <w:rFonts w:hint="eastAsia"/>
          <w:b/>
          <w:bCs/>
          <w:color w:val="auto"/>
          <w:sz w:val="32"/>
          <w:szCs w:val="32"/>
          <w:highlight w:val="none"/>
        </w:rPr>
        <w:t xml:space="preserve">  </w:t>
      </w:r>
      <w:r>
        <w:rPr>
          <w:b/>
          <w:bCs/>
          <w:color w:val="auto"/>
          <w:sz w:val="32"/>
          <w:szCs w:val="32"/>
          <w:highlight w:val="none"/>
        </w:rPr>
        <w:t>日</w:t>
      </w:r>
      <w:r>
        <w:rPr>
          <w:rFonts w:hint="eastAsia"/>
          <w:b/>
          <w:bCs/>
          <w:color w:val="auto"/>
          <w:sz w:val="32"/>
          <w:szCs w:val="32"/>
          <w:highlight w:val="none"/>
        </w:rPr>
        <w:t xml:space="preserve">  </w:t>
      </w:r>
      <w:r>
        <w:rPr>
          <w:b/>
          <w:bCs/>
          <w:color w:val="auto"/>
          <w:sz w:val="32"/>
          <w:szCs w:val="32"/>
          <w:highlight w:val="none"/>
        </w:rPr>
        <w:t>期：</w:t>
      </w:r>
      <w:r>
        <w:rPr>
          <w:b/>
          <w:bCs/>
          <w:color w:val="auto"/>
          <w:sz w:val="32"/>
          <w:szCs w:val="32"/>
          <w:highlight w:val="none"/>
          <w:u w:val="single"/>
        </w:rPr>
        <w:t xml:space="preserve">  </w:t>
      </w:r>
      <w:r>
        <w:rPr>
          <w:rFonts w:hint="eastAsia"/>
          <w:b/>
          <w:bCs/>
          <w:color w:val="auto"/>
          <w:sz w:val="32"/>
          <w:szCs w:val="32"/>
          <w:highlight w:val="none"/>
          <w:u w:val="single"/>
        </w:rPr>
        <w:t xml:space="preserve">       </w:t>
      </w:r>
      <w:r>
        <w:rPr>
          <w:rFonts w:hint="eastAsia"/>
          <w:b/>
          <w:bCs/>
          <w:color w:val="auto"/>
          <w:sz w:val="32"/>
          <w:szCs w:val="32"/>
          <w:highlight w:val="none"/>
          <w:u w:val="single"/>
          <w:lang w:val="en-US" w:eastAsia="zh-CN"/>
        </w:rPr>
        <w:t xml:space="preserve"> </w:t>
      </w:r>
      <w:r>
        <w:rPr>
          <w:rFonts w:hint="eastAsia"/>
          <w:b/>
          <w:bCs/>
          <w:color w:val="auto"/>
          <w:sz w:val="32"/>
          <w:szCs w:val="32"/>
          <w:highlight w:val="none"/>
          <w:u w:val="single"/>
        </w:rPr>
        <w:t xml:space="preserve"> </w:t>
      </w:r>
      <w:r>
        <w:rPr>
          <w:b/>
          <w:bCs/>
          <w:color w:val="auto"/>
          <w:sz w:val="32"/>
          <w:szCs w:val="32"/>
          <w:highlight w:val="none"/>
          <w:u w:val="single"/>
        </w:rPr>
        <w:t>202</w:t>
      </w:r>
      <w:r>
        <w:rPr>
          <w:rFonts w:hint="eastAsia"/>
          <w:b/>
          <w:bCs/>
          <w:color w:val="auto"/>
          <w:sz w:val="32"/>
          <w:szCs w:val="32"/>
          <w:highlight w:val="none"/>
          <w:u w:val="single"/>
          <w:lang w:val="en-US" w:eastAsia="zh-CN"/>
        </w:rPr>
        <w:t>3</w:t>
      </w:r>
      <w:r>
        <w:rPr>
          <w:b/>
          <w:bCs/>
          <w:color w:val="auto"/>
          <w:sz w:val="32"/>
          <w:szCs w:val="32"/>
          <w:highlight w:val="none"/>
          <w:u w:val="single"/>
        </w:rPr>
        <w:t>年</w:t>
      </w:r>
      <w:r>
        <w:rPr>
          <w:rFonts w:hint="eastAsia"/>
          <w:b/>
          <w:bCs/>
          <w:color w:val="auto"/>
          <w:sz w:val="32"/>
          <w:szCs w:val="32"/>
          <w:highlight w:val="none"/>
          <w:u w:val="single"/>
          <w:lang w:val="en-US" w:eastAsia="zh-CN"/>
        </w:rPr>
        <w:t>10</w:t>
      </w:r>
      <w:r>
        <w:rPr>
          <w:b/>
          <w:bCs/>
          <w:color w:val="auto"/>
          <w:sz w:val="32"/>
          <w:szCs w:val="32"/>
          <w:highlight w:val="none"/>
          <w:u w:val="single"/>
        </w:rPr>
        <w:t>月</w:t>
      </w:r>
      <w:r>
        <w:rPr>
          <w:rFonts w:hint="eastAsia"/>
          <w:b/>
          <w:bCs/>
          <w:color w:val="auto"/>
          <w:sz w:val="32"/>
          <w:szCs w:val="32"/>
          <w:highlight w:val="none"/>
          <w:u w:val="single"/>
        </w:rPr>
        <w:t xml:space="preserve">   </w:t>
      </w:r>
      <w:r>
        <w:rPr>
          <w:rFonts w:hint="eastAsia"/>
          <w:b/>
          <w:bCs/>
          <w:color w:val="auto"/>
          <w:sz w:val="32"/>
          <w:szCs w:val="32"/>
          <w:highlight w:val="none"/>
          <w:u w:val="single"/>
          <w:lang w:val="en-US" w:eastAsia="zh-CN"/>
        </w:rPr>
        <w:t xml:space="preserve"> </w:t>
      </w:r>
      <w:r>
        <w:rPr>
          <w:rFonts w:hint="eastAsia"/>
          <w:b/>
          <w:bCs/>
          <w:color w:val="auto"/>
          <w:sz w:val="32"/>
          <w:szCs w:val="32"/>
          <w:highlight w:val="none"/>
          <w:u w:val="single"/>
        </w:rPr>
        <w:t xml:space="preserve">   </w:t>
      </w:r>
      <w:r>
        <w:rPr>
          <w:rFonts w:hint="eastAsia"/>
          <w:b/>
          <w:bCs/>
          <w:color w:val="auto"/>
          <w:sz w:val="32"/>
          <w:szCs w:val="32"/>
          <w:highlight w:val="none"/>
          <w:u w:val="single"/>
          <w:lang w:val="en-US" w:eastAsia="zh-CN"/>
        </w:rPr>
        <w:t xml:space="preserve">   </w:t>
      </w:r>
    </w:p>
    <w:p>
      <w:pPr>
        <w:adjustRightInd w:val="0"/>
        <w:snapToGrid w:val="0"/>
        <w:spacing w:line="288" w:lineRule="auto"/>
        <w:ind w:firstLine="1040"/>
        <w:jc w:val="left"/>
        <w:rPr>
          <w:color w:val="auto"/>
          <w:sz w:val="36"/>
          <w:szCs w:val="36"/>
          <w:highlight w:val="none"/>
          <w:u w:val="single"/>
        </w:rPr>
      </w:pPr>
      <w:bookmarkStart w:id="0" w:name="_Hlk57884087"/>
    </w:p>
    <w:p>
      <w:pPr>
        <w:adjustRightInd w:val="0"/>
        <w:snapToGrid w:val="0"/>
        <w:spacing w:line="288" w:lineRule="auto"/>
        <w:ind w:firstLine="1040"/>
        <w:rPr>
          <w:color w:val="auto"/>
          <w:sz w:val="36"/>
          <w:szCs w:val="36"/>
          <w:highlight w:val="none"/>
        </w:rPr>
      </w:pPr>
    </w:p>
    <w:bookmarkEnd w:id="0"/>
    <w:p>
      <w:pPr>
        <w:adjustRightInd w:val="0"/>
        <w:snapToGrid w:val="0"/>
        <w:spacing w:line="288" w:lineRule="auto"/>
        <w:jc w:val="center"/>
        <w:rPr>
          <w:color w:val="auto"/>
          <w:sz w:val="36"/>
          <w:szCs w:val="36"/>
          <w:highlight w:val="none"/>
        </w:rPr>
      </w:pPr>
    </w:p>
    <w:p>
      <w:pPr>
        <w:pStyle w:val="2"/>
        <w:rPr>
          <w:rFonts w:ascii="Times New Roman" w:hAnsi="Times New Roman" w:eastAsia="宋体"/>
          <w:color w:val="auto"/>
          <w:sz w:val="36"/>
          <w:szCs w:val="36"/>
          <w:highlight w:val="none"/>
        </w:rPr>
      </w:pPr>
    </w:p>
    <w:p>
      <w:pPr>
        <w:pStyle w:val="14"/>
        <w:numPr>
          <w:ilvl w:val="0"/>
          <w:numId w:val="0"/>
        </w:numPr>
        <w:rPr>
          <w:color w:val="auto"/>
          <w:sz w:val="36"/>
          <w:szCs w:val="36"/>
          <w:highlight w:val="none"/>
        </w:rPr>
      </w:pPr>
    </w:p>
    <w:p>
      <w:pPr>
        <w:pStyle w:val="14"/>
        <w:numPr>
          <w:ilvl w:val="0"/>
          <w:numId w:val="0"/>
        </w:numPr>
        <w:rPr>
          <w:color w:val="auto"/>
          <w:sz w:val="36"/>
          <w:szCs w:val="36"/>
          <w:highlight w:val="none"/>
        </w:rPr>
      </w:pPr>
    </w:p>
    <w:p>
      <w:pPr>
        <w:pStyle w:val="14"/>
        <w:numPr>
          <w:ilvl w:val="0"/>
          <w:numId w:val="0"/>
        </w:numPr>
        <w:rPr>
          <w:color w:val="auto"/>
          <w:sz w:val="36"/>
          <w:szCs w:val="36"/>
          <w:highlight w:val="none"/>
        </w:rPr>
      </w:pPr>
    </w:p>
    <w:p>
      <w:pPr>
        <w:pStyle w:val="14"/>
        <w:numPr>
          <w:ilvl w:val="0"/>
          <w:numId w:val="0"/>
        </w:numPr>
        <w:rPr>
          <w:color w:val="auto"/>
          <w:sz w:val="36"/>
          <w:szCs w:val="36"/>
          <w:highlight w:val="none"/>
        </w:rPr>
      </w:pPr>
    </w:p>
    <w:p>
      <w:pPr>
        <w:adjustRightInd w:val="0"/>
        <w:snapToGrid w:val="0"/>
        <w:spacing w:line="360" w:lineRule="auto"/>
        <w:jc w:val="center"/>
        <w:rPr>
          <w:color w:val="auto"/>
          <w:sz w:val="36"/>
          <w:szCs w:val="36"/>
          <w:highlight w:val="none"/>
        </w:rPr>
      </w:pPr>
    </w:p>
    <w:p>
      <w:pPr>
        <w:adjustRightInd w:val="0"/>
        <w:snapToGrid w:val="0"/>
        <w:spacing w:line="360" w:lineRule="auto"/>
        <w:jc w:val="center"/>
        <w:rPr>
          <w:b/>
          <w:bCs/>
          <w:color w:val="auto"/>
          <w:sz w:val="36"/>
          <w:szCs w:val="36"/>
          <w:highlight w:val="none"/>
        </w:rPr>
      </w:pPr>
      <w:r>
        <w:rPr>
          <w:b/>
          <w:bCs/>
          <w:color w:val="auto"/>
          <w:sz w:val="36"/>
          <w:szCs w:val="36"/>
          <w:highlight w:val="none"/>
        </w:rPr>
        <w:t>中华人民共和国生态环境部制</w:t>
      </w:r>
    </w:p>
    <w:p>
      <w:pPr>
        <w:jc w:val="center"/>
        <w:rPr>
          <w:b/>
          <w:color w:val="auto"/>
          <w:sz w:val="21"/>
          <w:szCs w:val="21"/>
          <w:highlight w:val="none"/>
        </w:rPr>
      </w:pPr>
    </w:p>
    <w:p>
      <w:pPr>
        <w:jc w:val="center"/>
        <w:rPr>
          <w:b/>
          <w:color w:val="auto"/>
          <w:sz w:val="21"/>
          <w:szCs w:val="21"/>
          <w:highlight w:val="none"/>
        </w:rPr>
      </w:pPr>
    </w:p>
    <w:p>
      <w:pPr>
        <w:jc w:val="center"/>
        <w:rPr>
          <w:b/>
          <w:color w:val="auto"/>
          <w:sz w:val="21"/>
          <w:szCs w:val="21"/>
          <w:highlight w:val="none"/>
        </w:rPr>
      </w:pPr>
    </w:p>
    <w:p>
      <w:pPr>
        <w:jc w:val="center"/>
        <w:rPr>
          <w:b/>
          <w:color w:val="auto"/>
          <w:sz w:val="21"/>
          <w:szCs w:val="21"/>
          <w:highlight w:val="none"/>
        </w:rPr>
      </w:pPr>
      <w:r>
        <w:rPr>
          <w:b/>
          <w:color w:val="auto"/>
          <w:sz w:val="21"/>
          <w:szCs w:val="21"/>
          <w:highlight w:val="none"/>
        </w:rPr>
        <w:t>目录</w:t>
      </w:r>
    </w:p>
    <w:p>
      <w:pPr>
        <w:pStyle w:val="18"/>
        <w:tabs>
          <w:tab w:val="right" w:leader="dot" w:pos="8844"/>
          <w:tab w:val="clear" w:pos="9176"/>
        </w:tabs>
        <w:rPr>
          <w:rFonts w:ascii="Times New Roman" w:hAnsi="Times New Roman" w:eastAsia="宋体" w:cs="Times New Roman"/>
          <w:color w:val="auto"/>
          <w:sz w:val="21"/>
          <w:szCs w:val="21"/>
          <w:highlight w:val="none"/>
        </w:rPr>
      </w:pPr>
      <w:r>
        <w:rPr>
          <w:rFonts w:ascii="Times New Roman" w:hAnsi="Times New Roman" w:eastAsia="宋体" w:cs="Times New Roman"/>
          <w:b/>
          <w:color w:val="auto"/>
          <w:sz w:val="21"/>
          <w:szCs w:val="21"/>
          <w:highlight w:val="none"/>
        </w:rPr>
        <w:fldChar w:fldCharType="begin"/>
      </w:r>
      <w:r>
        <w:rPr>
          <w:rFonts w:ascii="Times New Roman" w:hAnsi="Times New Roman" w:eastAsia="宋体" w:cs="Times New Roman"/>
          <w:b/>
          <w:color w:val="auto"/>
          <w:sz w:val="21"/>
          <w:szCs w:val="21"/>
          <w:highlight w:val="none"/>
        </w:rPr>
        <w:instrText xml:space="preserve"> TOC \o "1-3" \h \z \u </w:instrText>
      </w:r>
      <w:r>
        <w:rPr>
          <w:rFonts w:ascii="Times New Roman" w:hAnsi="Times New Roman" w:eastAsia="宋体" w:cs="Times New Roman"/>
          <w:b/>
          <w:color w:val="auto"/>
          <w:sz w:val="21"/>
          <w:szCs w:val="21"/>
          <w:highlight w:val="none"/>
        </w:rPr>
        <w:fldChar w:fldCharType="separate"/>
      </w:r>
      <w:r>
        <w:rPr>
          <w:color w:val="auto"/>
          <w:sz w:val="21"/>
          <w:szCs w:val="21"/>
          <w:highlight w:val="none"/>
        </w:rPr>
        <w:fldChar w:fldCharType="begin"/>
      </w:r>
      <w:r>
        <w:rPr>
          <w:color w:val="auto"/>
          <w:sz w:val="21"/>
          <w:szCs w:val="21"/>
          <w:highlight w:val="none"/>
        </w:rPr>
        <w:instrText xml:space="preserve"> HYPERLINK \l "_Toc2644" </w:instrText>
      </w:r>
      <w:r>
        <w:rPr>
          <w:color w:val="auto"/>
          <w:sz w:val="21"/>
          <w:szCs w:val="21"/>
          <w:highlight w:val="none"/>
        </w:rPr>
        <w:fldChar w:fldCharType="separate"/>
      </w:r>
      <w:r>
        <w:rPr>
          <w:rFonts w:ascii="Times New Roman" w:hAnsi="Times New Roman" w:eastAsia="宋体" w:cs="Times New Roman"/>
          <w:snapToGrid w:val="0"/>
          <w:color w:val="auto"/>
          <w:sz w:val="21"/>
          <w:szCs w:val="21"/>
          <w:highlight w:val="none"/>
        </w:rPr>
        <w:t>一、建设项目基本情况</w:t>
      </w:r>
      <w:r>
        <w:rPr>
          <w:rFonts w:ascii="Times New Roman" w:hAnsi="Times New Roman" w:eastAsia="宋体" w:cs="Times New Roman"/>
          <w:color w:val="auto"/>
          <w:sz w:val="21"/>
          <w:szCs w:val="21"/>
          <w:highlight w:val="none"/>
        </w:rPr>
        <w:tab/>
      </w:r>
      <w:r>
        <w:rPr>
          <w:rFonts w:ascii="Times New Roman" w:hAnsi="Times New Roman" w:eastAsia="宋体" w:cs="Times New Roman"/>
          <w:color w:val="auto"/>
          <w:sz w:val="21"/>
          <w:szCs w:val="21"/>
          <w:highlight w:val="none"/>
        </w:rPr>
        <w:fldChar w:fldCharType="begin"/>
      </w:r>
      <w:r>
        <w:rPr>
          <w:rFonts w:ascii="Times New Roman" w:hAnsi="Times New Roman" w:eastAsia="宋体" w:cs="Times New Roman"/>
          <w:color w:val="auto"/>
          <w:sz w:val="21"/>
          <w:szCs w:val="21"/>
          <w:highlight w:val="none"/>
        </w:rPr>
        <w:instrText xml:space="preserve"> PAGEREF _Toc2644 </w:instrText>
      </w:r>
      <w:r>
        <w:rPr>
          <w:rFonts w:ascii="Times New Roman" w:hAnsi="Times New Roman" w:eastAsia="宋体" w:cs="Times New Roman"/>
          <w:color w:val="auto"/>
          <w:sz w:val="21"/>
          <w:szCs w:val="21"/>
          <w:highlight w:val="none"/>
        </w:rPr>
        <w:fldChar w:fldCharType="separate"/>
      </w:r>
      <w:r>
        <w:rPr>
          <w:rFonts w:ascii="Times New Roman" w:hAnsi="Times New Roman" w:eastAsia="宋体" w:cs="Times New Roman"/>
          <w:color w:val="auto"/>
          <w:sz w:val="21"/>
          <w:szCs w:val="21"/>
          <w:highlight w:val="none"/>
        </w:rPr>
        <w:t>1</w:t>
      </w:r>
      <w:r>
        <w:rPr>
          <w:rFonts w:ascii="Times New Roman" w:hAnsi="Times New Roman" w:eastAsia="宋体" w:cs="Times New Roman"/>
          <w:color w:val="auto"/>
          <w:sz w:val="21"/>
          <w:szCs w:val="21"/>
          <w:highlight w:val="none"/>
        </w:rPr>
        <w:fldChar w:fldCharType="end"/>
      </w:r>
      <w:r>
        <w:rPr>
          <w:rFonts w:ascii="Times New Roman" w:hAnsi="Times New Roman" w:eastAsia="宋体" w:cs="Times New Roman"/>
          <w:color w:val="auto"/>
          <w:sz w:val="21"/>
          <w:szCs w:val="21"/>
          <w:highlight w:val="none"/>
        </w:rPr>
        <w:fldChar w:fldCharType="end"/>
      </w:r>
    </w:p>
    <w:p>
      <w:pPr>
        <w:pStyle w:val="18"/>
        <w:tabs>
          <w:tab w:val="right" w:leader="dot" w:pos="8844"/>
          <w:tab w:val="clear" w:pos="9176"/>
        </w:tabs>
        <w:rPr>
          <w:rFonts w:ascii="Times New Roman" w:hAnsi="Times New Roman" w:eastAsia="宋体" w:cs="Times New Roman"/>
          <w:color w:val="auto"/>
          <w:sz w:val="21"/>
          <w:szCs w:val="21"/>
          <w:highlight w:val="none"/>
        </w:rPr>
      </w:pPr>
      <w:r>
        <w:rPr>
          <w:color w:val="auto"/>
          <w:sz w:val="21"/>
          <w:szCs w:val="21"/>
          <w:highlight w:val="none"/>
        </w:rPr>
        <w:fldChar w:fldCharType="begin"/>
      </w:r>
      <w:r>
        <w:rPr>
          <w:color w:val="auto"/>
          <w:sz w:val="21"/>
          <w:szCs w:val="21"/>
          <w:highlight w:val="none"/>
        </w:rPr>
        <w:instrText xml:space="preserve"> HYPERLINK \l "_Toc17881" </w:instrText>
      </w:r>
      <w:r>
        <w:rPr>
          <w:color w:val="auto"/>
          <w:sz w:val="21"/>
          <w:szCs w:val="21"/>
          <w:highlight w:val="none"/>
        </w:rPr>
        <w:fldChar w:fldCharType="separate"/>
      </w:r>
      <w:r>
        <w:rPr>
          <w:rFonts w:ascii="Times New Roman" w:hAnsi="Times New Roman" w:eastAsia="宋体" w:cs="Times New Roman"/>
          <w:snapToGrid w:val="0"/>
          <w:color w:val="auto"/>
          <w:sz w:val="21"/>
          <w:szCs w:val="21"/>
          <w:highlight w:val="none"/>
        </w:rPr>
        <w:t>二、建设项目工程分析</w:t>
      </w:r>
      <w:r>
        <w:rPr>
          <w:rFonts w:ascii="Times New Roman" w:hAnsi="Times New Roman" w:eastAsia="宋体" w:cs="Times New Roman"/>
          <w:color w:val="auto"/>
          <w:sz w:val="21"/>
          <w:szCs w:val="21"/>
          <w:highlight w:val="none"/>
        </w:rPr>
        <w:tab/>
      </w:r>
      <w:r>
        <w:rPr>
          <w:rFonts w:ascii="Times New Roman" w:hAnsi="Times New Roman" w:eastAsia="宋体" w:cs="Times New Roman"/>
          <w:color w:val="auto"/>
          <w:sz w:val="21"/>
          <w:szCs w:val="21"/>
          <w:highlight w:val="none"/>
        </w:rPr>
        <w:fldChar w:fldCharType="begin"/>
      </w:r>
      <w:r>
        <w:rPr>
          <w:rFonts w:ascii="Times New Roman" w:hAnsi="Times New Roman" w:eastAsia="宋体" w:cs="Times New Roman"/>
          <w:color w:val="auto"/>
          <w:sz w:val="21"/>
          <w:szCs w:val="21"/>
          <w:highlight w:val="none"/>
        </w:rPr>
        <w:instrText xml:space="preserve"> PAGEREF _Toc17881 </w:instrText>
      </w:r>
      <w:r>
        <w:rPr>
          <w:rFonts w:ascii="Times New Roman" w:hAnsi="Times New Roman" w:eastAsia="宋体" w:cs="Times New Roman"/>
          <w:color w:val="auto"/>
          <w:sz w:val="21"/>
          <w:szCs w:val="21"/>
          <w:highlight w:val="none"/>
        </w:rPr>
        <w:fldChar w:fldCharType="separate"/>
      </w:r>
      <w:r>
        <w:rPr>
          <w:rFonts w:ascii="Times New Roman" w:hAnsi="Times New Roman" w:eastAsia="宋体" w:cs="Times New Roman"/>
          <w:color w:val="auto"/>
          <w:sz w:val="21"/>
          <w:szCs w:val="21"/>
          <w:highlight w:val="none"/>
        </w:rPr>
        <w:t>16</w:t>
      </w:r>
      <w:r>
        <w:rPr>
          <w:rFonts w:ascii="Times New Roman" w:hAnsi="Times New Roman" w:eastAsia="宋体" w:cs="Times New Roman"/>
          <w:color w:val="auto"/>
          <w:sz w:val="21"/>
          <w:szCs w:val="21"/>
          <w:highlight w:val="none"/>
        </w:rPr>
        <w:fldChar w:fldCharType="end"/>
      </w:r>
      <w:r>
        <w:rPr>
          <w:rFonts w:ascii="Times New Roman" w:hAnsi="Times New Roman" w:eastAsia="宋体" w:cs="Times New Roman"/>
          <w:color w:val="auto"/>
          <w:sz w:val="21"/>
          <w:szCs w:val="21"/>
          <w:highlight w:val="none"/>
        </w:rPr>
        <w:fldChar w:fldCharType="end"/>
      </w:r>
    </w:p>
    <w:p>
      <w:pPr>
        <w:pStyle w:val="18"/>
        <w:tabs>
          <w:tab w:val="right" w:leader="dot" w:pos="8844"/>
          <w:tab w:val="clear" w:pos="9176"/>
        </w:tabs>
        <w:rPr>
          <w:rFonts w:ascii="Times New Roman" w:hAnsi="Times New Roman" w:eastAsia="宋体" w:cs="Times New Roman"/>
          <w:color w:val="auto"/>
          <w:sz w:val="21"/>
          <w:szCs w:val="21"/>
          <w:highlight w:val="none"/>
        </w:rPr>
      </w:pPr>
      <w:r>
        <w:rPr>
          <w:color w:val="auto"/>
          <w:sz w:val="21"/>
          <w:szCs w:val="21"/>
          <w:highlight w:val="none"/>
        </w:rPr>
        <w:fldChar w:fldCharType="begin"/>
      </w:r>
      <w:r>
        <w:rPr>
          <w:color w:val="auto"/>
          <w:sz w:val="21"/>
          <w:szCs w:val="21"/>
          <w:highlight w:val="none"/>
        </w:rPr>
        <w:instrText xml:space="preserve"> HYPERLINK \l "_Toc26345" </w:instrText>
      </w:r>
      <w:r>
        <w:rPr>
          <w:color w:val="auto"/>
          <w:sz w:val="21"/>
          <w:szCs w:val="21"/>
          <w:highlight w:val="none"/>
        </w:rPr>
        <w:fldChar w:fldCharType="separate"/>
      </w:r>
      <w:r>
        <w:rPr>
          <w:rFonts w:ascii="Times New Roman" w:hAnsi="Times New Roman" w:eastAsia="宋体" w:cs="Times New Roman"/>
          <w:snapToGrid w:val="0"/>
          <w:color w:val="auto"/>
          <w:sz w:val="21"/>
          <w:szCs w:val="21"/>
          <w:highlight w:val="none"/>
        </w:rPr>
        <w:t>三、区域环境质量现状、环境保护目标及评价标准</w:t>
      </w:r>
      <w:r>
        <w:rPr>
          <w:rFonts w:ascii="Times New Roman" w:hAnsi="Times New Roman" w:eastAsia="宋体" w:cs="Times New Roman"/>
          <w:color w:val="auto"/>
          <w:sz w:val="21"/>
          <w:szCs w:val="21"/>
          <w:highlight w:val="none"/>
        </w:rPr>
        <w:tab/>
      </w:r>
      <w:r>
        <w:rPr>
          <w:rFonts w:ascii="Times New Roman" w:hAnsi="Times New Roman" w:eastAsia="宋体" w:cs="Times New Roman"/>
          <w:color w:val="auto"/>
          <w:sz w:val="21"/>
          <w:szCs w:val="21"/>
          <w:highlight w:val="none"/>
        </w:rPr>
        <w:fldChar w:fldCharType="begin"/>
      </w:r>
      <w:r>
        <w:rPr>
          <w:rFonts w:ascii="Times New Roman" w:hAnsi="Times New Roman" w:eastAsia="宋体" w:cs="Times New Roman"/>
          <w:color w:val="auto"/>
          <w:sz w:val="21"/>
          <w:szCs w:val="21"/>
          <w:highlight w:val="none"/>
        </w:rPr>
        <w:instrText xml:space="preserve"> PAGEREF _Toc26345 </w:instrText>
      </w:r>
      <w:r>
        <w:rPr>
          <w:rFonts w:ascii="Times New Roman" w:hAnsi="Times New Roman" w:eastAsia="宋体" w:cs="Times New Roman"/>
          <w:color w:val="auto"/>
          <w:sz w:val="21"/>
          <w:szCs w:val="21"/>
          <w:highlight w:val="none"/>
        </w:rPr>
        <w:fldChar w:fldCharType="separate"/>
      </w:r>
      <w:r>
        <w:rPr>
          <w:rFonts w:ascii="Times New Roman" w:hAnsi="Times New Roman" w:eastAsia="宋体" w:cs="Times New Roman"/>
          <w:color w:val="auto"/>
          <w:sz w:val="21"/>
          <w:szCs w:val="21"/>
          <w:highlight w:val="none"/>
        </w:rPr>
        <w:t>24</w:t>
      </w:r>
      <w:r>
        <w:rPr>
          <w:rFonts w:ascii="Times New Roman" w:hAnsi="Times New Roman" w:eastAsia="宋体" w:cs="Times New Roman"/>
          <w:color w:val="auto"/>
          <w:sz w:val="21"/>
          <w:szCs w:val="21"/>
          <w:highlight w:val="none"/>
        </w:rPr>
        <w:fldChar w:fldCharType="end"/>
      </w:r>
      <w:r>
        <w:rPr>
          <w:rFonts w:ascii="Times New Roman" w:hAnsi="Times New Roman" w:eastAsia="宋体" w:cs="Times New Roman"/>
          <w:color w:val="auto"/>
          <w:sz w:val="21"/>
          <w:szCs w:val="21"/>
          <w:highlight w:val="none"/>
        </w:rPr>
        <w:fldChar w:fldCharType="end"/>
      </w:r>
    </w:p>
    <w:p>
      <w:pPr>
        <w:pStyle w:val="18"/>
        <w:tabs>
          <w:tab w:val="right" w:leader="dot" w:pos="8844"/>
          <w:tab w:val="clear" w:pos="9176"/>
        </w:tabs>
        <w:rPr>
          <w:rFonts w:ascii="Times New Roman" w:hAnsi="Times New Roman" w:eastAsia="宋体" w:cs="Times New Roman"/>
          <w:color w:val="auto"/>
          <w:sz w:val="21"/>
          <w:szCs w:val="21"/>
          <w:highlight w:val="none"/>
        </w:rPr>
      </w:pPr>
      <w:r>
        <w:rPr>
          <w:color w:val="auto"/>
          <w:sz w:val="21"/>
          <w:szCs w:val="21"/>
          <w:highlight w:val="none"/>
        </w:rPr>
        <w:fldChar w:fldCharType="begin"/>
      </w:r>
      <w:r>
        <w:rPr>
          <w:color w:val="auto"/>
          <w:sz w:val="21"/>
          <w:szCs w:val="21"/>
          <w:highlight w:val="none"/>
        </w:rPr>
        <w:instrText xml:space="preserve"> HYPERLINK \l "_Toc4938" </w:instrText>
      </w:r>
      <w:r>
        <w:rPr>
          <w:color w:val="auto"/>
          <w:sz w:val="21"/>
          <w:szCs w:val="21"/>
          <w:highlight w:val="none"/>
        </w:rPr>
        <w:fldChar w:fldCharType="separate"/>
      </w:r>
      <w:r>
        <w:rPr>
          <w:rFonts w:ascii="Times New Roman" w:hAnsi="Times New Roman" w:eastAsia="宋体" w:cs="Times New Roman"/>
          <w:snapToGrid w:val="0"/>
          <w:color w:val="auto"/>
          <w:sz w:val="21"/>
          <w:szCs w:val="21"/>
          <w:highlight w:val="none"/>
        </w:rPr>
        <w:t>四、主要环境影响和保护措施</w:t>
      </w:r>
      <w:r>
        <w:rPr>
          <w:rFonts w:ascii="Times New Roman" w:hAnsi="Times New Roman" w:eastAsia="宋体" w:cs="Times New Roman"/>
          <w:color w:val="auto"/>
          <w:sz w:val="21"/>
          <w:szCs w:val="21"/>
          <w:highlight w:val="none"/>
        </w:rPr>
        <w:tab/>
      </w:r>
      <w:r>
        <w:rPr>
          <w:rFonts w:ascii="Times New Roman" w:hAnsi="Times New Roman" w:eastAsia="宋体" w:cs="Times New Roman"/>
          <w:color w:val="auto"/>
          <w:sz w:val="21"/>
          <w:szCs w:val="21"/>
          <w:highlight w:val="none"/>
        </w:rPr>
        <w:fldChar w:fldCharType="begin"/>
      </w:r>
      <w:r>
        <w:rPr>
          <w:rFonts w:ascii="Times New Roman" w:hAnsi="Times New Roman" w:eastAsia="宋体" w:cs="Times New Roman"/>
          <w:color w:val="auto"/>
          <w:sz w:val="21"/>
          <w:szCs w:val="21"/>
          <w:highlight w:val="none"/>
        </w:rPr>
        <w:instrText xml:space="preserve"> PAGEREF _Toc4938 </w:instrText>
      </w:r>
      <w:r>
        <w:rPr>
          <w:rFonts w:ascii="Times New Roman" w:hAnsi="Times New Roman" w:eastAsia="宋体" w:cs="Times New Roman"/>
          <w:color w:val="auto"/>
          <w:sz w:val="21"/>
          <w:szCs w:val="21"/>
          <w:highlight w:val="none"/>
        </w:rPr>
        <w:fldChar w:fldCharType="separate"/>
      </w:r>
      <w:r>
        <w:rPr>
          <w:rFonts w:ascii="Times New Roman" w:hAnsi="Times New Roman" w:eastAsia="宋体" w:cs="Times New Roman"/>
          <w:color w:val="auto"/>
          <w:sz w:val="21"/>
          <w:szCs w:val="21"/>
          <w:highlight w:val="none"/>
        </w:rPr>
        <w:t>32</w:t>
      </w:r>
      <w:r>
        <w:rPr>
          <w:rFonts w:ascii="Times New Roman" w:hAnsi="Times New Roman" w:eastAsia="宋体" w:cs="Times New Roman"/>
          <w:color w:val="auto"/>
          <w:sz w:val="21"/>
          <w:szCs w:val="21"/>
          <w:highlight w:val="none"/>
        </w:rPr>
        <w:fldChar w:fldCharType="end"/>
      </w:r>
      <w:r>
        <w:rPr>
          <w:rFonts w:ascii="Times New Roman" w:hAnsi="Times New Roman" w:eastAsia="宋体" w:cs="Times New Roman"/>
          <w:color w:val="auto"/>
          <w:sz w:val="21"/>
          <w:szCs w:val="21"/>
          <w:highlight w:val="none"/>
        </w:rPr>
        <w:fldChar w:fldCharType="end"/>
      </w:r>
    </w:p>
    <w:p>
      <w:pPr>
        <w:pStyle w:val="18"/>
        <w:tabs>
          <w:tab w:val="right" w:leader="dot" w:pos="8844"/>
          <w:tab w:val="clear" w:pos="9176"/>
        </w:tabs>
        <w:rPr>
          <w:rFonts w:ascii="Times New Roman" w:hAnsi="Times New Roman" w:eastAsia="宋体" w:cs="Times New Roman"/>
          <w:color w:val="auto"/>
          <w:sz w:val="21"/>
          <w:szCs w:val="21"/>
          <w:highlight w:val="none"/>
        </w:rPr>
      </w:pPr>
      <w:r>
        <w:rPr>
          <w:color w:val="auto"/>
          <w:sz w:val="21"/>
          <w:szCs w:val="21"/>
          <w:highlight w:val="none"/>
        </w:rPr>
        <w:fldChar w:fldCharType="begin"/>
      </w:r>
      <w:r>
        <w:rPr>
          <w:color w:val="auto"/>
          <w:sz w:val="21"/>
          <w:szCs w:val="21"/>
          <w:highlight w:val="none"/>
        </w:rPr>
        <w:instrText xml:space="preserve"> HYPERLINK \l "_Toc39" </w:instrText>
      </w:r>
      <w:r>
        <w:rPr>
          <w:color w:val="auto"/>
          <w:sz w:val="21"/>
          <w:szCs w:val="21"/>
          <w:highlight w:val="none"/>
        </w:rPr>
        <w:fldChar w:fldCharType="separate"/>
      </w:r>
      <w:r>
        <w:rPr>
          <w:rFonts w:ascii="Times New Roman" w:hAnsi="Times New Roman" w:eastAsia="宋体" w:cs="Times New Roman"/>
          <w:snapToGrid w:val="0"/>
          <w:color w:val="auto"/>
          <w:sz w:val="21"/>
          <w:szCs w:val="21"/>
          <w:highlight w:val="none"/>
        </w:rPr>
        <w:t>五、环境保护措施监督检查清单</w:t>
      </w:r>
      <w:r>
        <w:rPr>
          <w:rFonts w:ascii="Times New Roman" w:hAnsi="Times New Roman" w:eastAsia="宋体" w:cs="Times New Roman"/>
          <w:color w:val="auto"/>
          <w:sz w:val="21"/>
          <w:szCs w:val="21"/>
          <w:highlight w:val="none"/>
        </w:rPr>
        <w:tab/>
      </w:r>
      <w:r>
        <w:rPr>
          <w:rFonts w:ascii="Times New Roman" w:hAnsi="Times New Roman" w:eastAsia="宋体" w:cs="Times New Roman"/>
          <w:color w:val="auto"/>
          <w:sz w:val="21"/>
          <w:szCs w:val="21"/>
          <w:highlight w:val="none"/>
        </w:rPr>
        <w:fldChar w:fldCharType="begin"/>
      </w:r>
      <w:r>
        <w:rPr>
          <w:rFonts w:ascii="Times New Roman" w:hAnsi="Times New Roman" w:eastAsia="宋体" w:cs="Times New Roman"/>
          <w:color w:val="auto"/>
          <w:sz w:val="21"/>
          <w:szCs w:val="21"/>
          <w:highlight w:val="none"/>
        </w:rPr>
        <w:instrText xml:space="preserve"> PAGEREF _Toc39 </w:instrText>
      </w:r>
      <w:r>
        <w:rPr>
          <w:rFonts w:ascii="Times New Roman" w:hAnsi="Times New Roman" w:eastAsia="宋体" w:cs="Times New Roman"/>
          <w:color w:val="auto"/>
          <w:sz w:val="21"/>
          <w:szCs w:val="21"/>
          <w:highlight w:val="none"/>
        </w:rPr>
        <w:fldChar w:fldCharType="separate"/>
      </w:r>
      <w:r>
        <w:rPr>
          <w:rFonts w:ascii="Times New Roman" w:hAnsi="Times New Roman" w:eastAsia="宋体" w:cs="Times New Roman"/>
          <w:color w:val="auto"/>
          <w:sz w:val="21"/>
          <w:szCs w:val="21"/>
          <w:highlight w:val="none"/>
        </w:rPr>
        <w:t>59</w:t>
      </w:r>
      <w:r>
        <w:rPr>
          <w:rFonts w:ascii="Times New Roman" w:hAnsi="Times New Roman" w:eastAsia="宋体" w:cs="Times New Roman"/>
          <w:color w:val="auto"/>
          <w:sz w:val="21"/>
          <w:szCs w:val="21"/>
          <w:highlight w:val="none"/>
        </w:rPr>
        <w:fldChar w:fldCharType="end"/>
      </w:r>
      <w:r>
        <w:rPr>
          <w:rFonts w:ascii="Times New Roman" w:hAnsi="Times New Roman" w:eastAsia="宋体" w:cs="Times New Roman"/>
          <w:color w:val="auto"/>
          <w:sz w:val="21"/>
          <w:szCs w:val="21"/>
          <w:highlight w:val="none"/>
        </w:rPr>
        <w:fldChar w:fldCharType="end"/>
      </w:r>
    </w:p>
    <w:p>
      <w:pPr>
        <w:pStyle w:val="18"/>
        <w:tabs>
          <w:tab w:val="right" w:leader="dot" w:pos="8844"/>
          <w:tab w:val="clear" w:pos="9176"/>
        </w:tabs>
        <w:rPr>
          <w:rFonts w:ascii="Times New Roman" w:hAnsi="Times New Roman" w:eastAsia="宋体" w:cs="Times New Roman"/>
          <w:color w:val="auto"/>
          <w:sz w:val="21"/>
          <w:szCs w:val="21"/>
          <w:highlight w:val="none"/>
        </w:rPr>
      </w:pPr>
      <w:r>
        <w:rPr>
          <w:color w:val="auto"/>
          <w:sz w:val="21"/>
          <w:szCs w:val="21"/>
          <w:highlight w:val="none"/>
        </w:rPr>
        <w:fldChar w:fldCharType="begin"/>
      </w:r>
      <w:r>
        <w:rPr>
          <w:color w:val="auto"/>
          <w:sz w:val="21"/>
          <w:szCs w:val="21"/>
          <w:highlight w:val="none"/>
        </w:rPr>
        <w:instrText xml:space="preserve"> HYPERLINK \l "_Toc16772" </w:instrText>
      </w:r>
      <w:r>
        <w:rPr>
          <w:color w:val="auto"/>
          <w:sz w:val="21"/>
          <w:szCs w:val="21"/>
          <w:highlight w:val="none"/>
        </w:rPr>
        <w:fldChar w:fldCharType="separate"/>
      </w:r>
      <w:r>
        <w:rPr>
          <w:rFonts w:ascii="Times New Roman" w:hAnsi="Times New Roman" w:eastAsia="宋体" w:cs="Times New Roman"/>
          <w:snapToGrid w:val="0"/>
          <w:color w:val="auto"/>
          <w:sz w:val="21"/>
          <w:szCs w:val="21"/>
          <w:highlight w:val="none"/>
        </w:rPr>
        <w:t>六、结论</w:t>
      </w:r>
      <w:r>
        <w:rPr>
          <w:rFonts w:ascii="Times New Roman" w:hAnsi="Times New Roman" w:eastAsia="宋体" w:cs="Times New Roman"/>
          <w:color w:val="auto"/>
          <w:sz w:val="21"/>
          <w:szCs w:val="21"/>
          <w:highlight w:val="none"/>
        </w:rPr>
        <w:tab/>
      </w:r>
      <w:r>
        <w:rPr>
          <w:rFonts w:ascii="Times New Roman" w:hAnsi="Times New Roman" w:eastAsia="宋体" w:cs="Times New Roman"/>
          <w:color w:val="auto"/>
          <w:sz w:val="21"/>
          <w:szCs w:val="21"/>
          <w:highlight w:val="none"/>
        </w:rPr>
        <w:fldChar w:fldCharType="begin"/>
      </w:r>
      <w:r>
        <w:rPr>
          <w:rFonts w:ascii="Times New Roman" w:hAnsi="Times New Roman" w:eastAsia="宋体" w:cs="Times New Roman"/>
          <w:color w:val="auto"/>
          <w:sz w:val="21"/>
          <w:szCs w:val="21"/>
          <w:highlight w:val="none"/>
        </w:rPr>
        <w:instrText xml:space="preserve"> PAGEREF _Toc16772 </w:instrText>
      </w:r>
      <w:r>
        <w:rPr>
          <w:rFonts w:ascii="Times New Roman" w:hAnsi="Times New Roman" w:eastAsia="宋体" w:cs="Times New Roman"/>
          <w:color w:val="auto"/>
          <w:sz w:val="21"/>
          <w:szCs w:val="21"/>
          <w:highlight w:val="none"/>
        </w:rPr>
        <w:fldChar w:fldCharType="separate"/>
      </w:r>
      <w:r>
        <w:rPr>
          <w:rFonts w:ascii="Times New Roman" w:hAnsi="Times New Roman" w:eastAsia="宋体" w:cs="Times New Roman"/>
          <w:color w:val="auto"/>
          <w:sz w:val="21"/>
          <w:szCs w:val="21"/>
          <w:highlight w:val="none"/>
        </w:rPr>
        <w:t>60</w:t>
      </w:r>
      <w:r>
        <w:rPr>
          <w:rFonts w:ascii="Times New Roman" w:hAnsi="Times New Roman" w:eastAsia="宋体" w:cs="Times New Roman"/>
          <w:color w:val="auto"/>
          <w:sz w:val="21"/>
          <w:szCs w:val="21"/>
          <w:highlight w:val="none"/>
        </w:rPr>
        <w:fldChar w:fldCharType="end"/>
      </w:r>
      <w:r>
        <w:rPr>
          <w:rFonts w:ascii="Times New Roman" w:hAnsi="Times New Roman" w:eastAsia="宋体" w:cs="Times New Roman"/>
          <w:color w:val="auto"/>
          <w:sz w:val="21"/>
          <w:szCs w:val="21"/>
          <w:highlight w:val="none"/>
        </w:rPr>
        <w:fldChar w:fldCharType="end"/>
      </w:r>
    </w:p>
    <w:p>
      <w:pPr>
        <w:pStyle w:val="18"/>
        <w:tabs>
          <w:tab w:val="right" w:leader="dot" w:pos="8844"/>
          <w:tab w:val="clear" w:pos="9176"/>
        </w:tabs>
        <w:rPr>
          <w:rFonts w:ascii="Times New Roman" w:hAnsi="Times New Roman" w:eastAsia="宋体" w:cs="Times New Roman"/>
          <w:color w:val="auto"/>
          <w:sz w:val="21"/>
          <w:szCs w:val="21"/>
          <w:highlight w:val="none"/>
        </w:rPr>
      </w:pPr>
      <w:r>
        <w:rPr>
          <w:color w:val="auto"/>
          <w:sz w:val="21"/>
          <w:szCs w:val="21"/>
          <w:highlight w:val="none"/>
        </w:rPr>
        <w:fldChar w:fldCharType="begin"/>
      </w:r>
      <w:r>
        <w:rPr>
          <w:color w:val="auto"/>
          <w:sz w:val="21"/>
          <w:szCs w:val="21"/>
          <w:highlight w:val="none"/>
        </w:rPr>
        <w:instrText xml:space="preserve"> HYPERLINK \l "_Toc3010" </w:instrText>
      </w:r>
      <w:r>
        <w:rPr>
          <w:color w:val="auto"/>
          <w:sz w:val="21"/>
          <w:szCs w:val="21"/>
          <w:highlight w:val="none"/>
        </w:rPr>
        <w:fldChar w:fldCharType="separate"/>
      </w:r>
      <w:r>
        <w:rPr>
          <w:rFonts w:ascii="Times New Roman" w:hAnsi="Times New Roman" w:eastAsia="宋体" w:cs="Times New Roman"/>
          <w:snapToGrid w:val="0"/>
          <w:color w:val="auto"/>
          <w:sz w:val="21"/>
          <w:szCs w:val="21"/>
          <w:highlight w:val="none"/>
        </w:rPr>
        <w:t>附表</w:t>
      </w:r>
      <w:r>
        <w:rPr>
          <w:rFonts w:ascii="Times New Roman" w:hAnsi="Times New Roman" w:eastAsia="宋体" w:cs="Times New Roman"/>
          <w:color w:val="auto"/>
          <w:sz w:val="21"/>
          <w:szCs w:val="21"/>
          <w:highlight w:val="none"/>
        </w:rPr>
        <w:tab/>
      </w:r>
      <w:r>
        <w:rPr>
          <w:rFonts w:ascii="Times New Roman" w:hAnsi="Times New Roman" w:eastAsia="宋体" w:cs="Times New Roman"/>
          <w:color w:val="auto"/>
          <w:sz w:val="21"/>
          <w:szCs w:val="21"/>
          <w:highlight w:val="none"/>
        </w:rPr>
        <w:fldChar w:fldCharType="begin"/>
      </w:r>
      <w:r>
        <w:rPr>
          <w:rFonts w:ascii="Times New Roman" w:hAnsi="Times New Roman" w:eastAsia="宋体" w:cs="Times New Roman"/>
          <w:color w:val="auto"/>
          <w:sz w:val="21"/>
          <w:szCs w:val="21"/>
          <w:highlight w:val="none"/>
        </w:rPr>
        <w:instrText xml:space="preserve"> PAGEREF _Toc3010 </w:instrText>
      </w:r>
      <w:r>
        <w:rPr>
          <w:rFonts w:ascii="Times New Roman" w:hAnsi="Times New Roman" w:eastAsia="宋体" w:cs="Times New Roman"/>
          <w:color w:val="auto"/>
          <w:sz w:val="21"/>
          <w:szCs w:val="21"/>
          <w:highlight w:val="none"/>
        </w:rPr>
        <w:fldChar w:fldCharType="separate"/>
      </w:r>
      <w:r>
        <w:rPr>
          <w:rFonts w:ascii="Times New Roman" w:hAnsi="Times New Roman" w:eastAsia="宋体" w:cs="Times New Roman"/>
          <w:color w:val="auto"/>
          <w:sz w:val="21"/>
          <w:szCs w:val="21"/>
          <w:highlight w:val="none"/>
        </w:rPr>
        <w:t>61</w:t>
      </w:r>
      <w:r>
        <w:rPr>
          <w:rFonts w:ascii="Times New Roman" w:hAnsi="Times New Roman" w:eastAsia="宋体" w:cs="Times New Roman"/>
          <w:color w:val="auto"/>
          <w:sz w:val="21"/>
          <w:szCs w:val="21"/>
          <w:highlight w:val="none"/>
        </w:rPr>
        <w:fldChar w:fldCharType="end"/>
      </w:r>
      <w:r>
        <w:rPr>
          <w:rFonts w:ascii="Times New Roman" w:hAnsi="Times New Roman" w:eastAsia="宋体" w:cs="Times New Roman"/>
          <w:color w:val="auto"/>
          <w:sz w:val="21"/>
          <w:szCs w:val="21"/>
          <w:highlight w:val="none"/>
        </w:rPr>
        <w:fldChar w:fldCharType="end"/>
      </w:r>
    </w:p>
    <w:p>
      <w:pPr>
        <w:adjustRightInd w:val="0"/>
        <w:snapToGrid w:val="0"/>
        <w:spacing w:line="288" w:lineRule="auto"/>
        <w:jc w:val="center"/>
        <w:rPr>
          <w:color w:val="auto"/>
          <w:sz w:val="21"/>
          <w:szCs w:val="21"/>
          <w:highlight w:val="none"/>
        </w:rPr>
      </w:pPr>
      <w:r>
        <w:rPr>
          <w:color w:val="auto"/>
          <w:sz w:val="21"/>
          <w:szCs w:val="21"/>
          <w:highlight w:val="none"/>
        </w:rPr>
        <w:fldChar w:fldCharType="end"/>
      </w:r>
    </w:p>
    <w:p>
      <w:pPr>
        <w:pStyle w:val="63"/>
        <w:adjustRightInd w:val="0"/>
        <w:snapToGrid w:val="0"/>
        <w:spacing w:line="360" w:lineRule="auto"/>
        <w:ind w:firstLine="632" w:firstLineChars="300"/>
        <w:rPr>
          <w:rFonts w:eastAsia="宋体"/>
          <w:color w:val="auto"/>
          <w:sz w:val="21"/>
          <w:szCs w:val="21"/>
          <w:highlight w:val="none"/>
        </w:rPr>
      </w:pPr>
      <w:r>
        <w:rPr>
          <w:rFonts w:eastAsia="宋体"/>
          <w:color w:val="auto"/>
          <w:sz w:val="21"/>
          <w:szCs w:val="21"/>
          <w:highlight w:val="none"/>
        </w:rPr>
        <w:t>附件：</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附件1 开发区规划环评审查意见</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附件2 营业执照</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附件3 备案通知书</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附件4 法人身份证</w:t>
      </w:r>
    </w:p>
    <w:p>
      <w:pPr>
        <w:adjustRightInd w:val="0"/>
        <w:snapToGrid w:val="0"/>
        <w:spacing w:line="360" w:lineRule="auto"/>
        <w:ind w:firstLine="630" w:firstLineChars="300"/>
        <w:rPr>
          <w:color w:val="auto"/>
          <w:sz w:val="21"/>
          <w:szCs w:val="21"/>
          <w:highlight w:val="none"/>
        </w:rPr>
      </w:pPr>
      <w:r>
        <w:rPr>
          <w:color w:val="auto"/>
          <w:sz w:val="21"/>
          <w:szCs w:val="21"/>
          <w:highlight w:val="none"/>
        </w:rPr>
        <w:t xml:space="preserve">附件5 </w:t>
      </w:r>
      <w:r>
        <w:rPr>
          <w:rFonts w:hint="eastAsia"/>
          <w:color w:val="auto"/>
          <w:sz w:val="21"/>
          <w:szCs w:val="21"/>
          <w:highlight w:val="none"/>
        </w:rPr>
        <w:t>租赁协议</w:t>
      </w:r>
    </w:p>
    <w:p>
      <w:pPr>
        <w:adjustRightInd w:val="0"/>
        <w:snapToGrid w:val="0"/>
        <w:spacing w:line="360" w:lineRule="auto"/>
        <w:ind w:firstLine="630" w:firstLineChars="300"/>
        <w:rPr>
          <w:color w:val="auto"/>
          <w:sz w:val="21"/>
          <w:szCs w:val="21"/>
          <w:highlight w:val="none"/>
        </w:rPr>
      </w:pPr>
      <w:r>
        <w:rPr>
          <w:color w:val="auto"/>
          <w:sz w:val="21"/>
          <w:szCs w:val="21"/>
          <w:highlight w:val="none"/>
        </w:rPr>
        <w:t xml:space="preserve">附件6 </w:t>
      </w:r>
      <w:r>
        <w:rPr>
          <w:rFonts w:hint="eastAsia"/>
          <w:color w:val="auto"/>
          <w:sz w:val="21"/>
          <w:szCs w:val="21"/>
          <w:highlight w:val="none"/>
        </w:rPr>
        <w:t>产权证</w:t>
      </w:r>
    </w:p>
    <w:p>
      <w:pPr>
        <w:adjustRightInd w:val="0"/>
        <w:snapToGrid w:val="0"/>
        <w:spacing w:line="360" w:lineRule="auto"/>
        <w:ind w:firstLine="630" w:firstLineChars="300"/>
        <w:rPr>
          <w:color w:val="auto"/>
          <w:sz w:val="21"/>
          <w:szCs w:val="21"/>
          <w:highlight w:val="yellow"/>
        </w:rPr>
      </w:pPr>
      <w:r>
        <w:rPr>
          <w:color w:val="auto"/>
          <w:sz w:val="21"/>
          <w:szCs w:val="21"/>
          <w:highlight w:val="yellow"/>
        </w:rPr>
        <w:t>附件</w:t>
      </w:r>
      <w:r>
        <w:rPr>
          <w:rFonts w:hint="eastAsia"/>
          <w:color w:val="auto"/>
          <w:sz w:val="21"/>
          <w:szCs w:val="21"/>
          <w:highlight w:val="yellow"/>
        </w:rPr>
        <w:t>7</w:t>
      </w:r>
      <w:r>
        <w:rPr>
          <w:color w:val="auto"/>
          <w:sz w:val="21"/>
          <w:szCs w:val="21"/>
          <w:highlight w:val="yellow"/>
        </w:rPr>
        <w:t xml:space="preserve"> 环评技术合同</w:t>
      </w:r>
    </w:p>
    <w:p>
      <w:pPr>
        <w:adjustRightInd w:val="0"/>
        <w:snapToGrid w:val="0"/>
        <w:spacing w:line="360" w:lineRule="auto"/>
        <w:ind w:firstLine="630" w:firstLineChars="300"/>
        <w:rPr>
          <w:rFonts w:hint="default" w:eastAsia="宋体"/>
          <w:color w:val="auto"/>
          <w:sz w:val="21"/>
          <w:szCs w:val="21"/>
          <w:highlight w:val="none"/>
          <w:lang w:val="en-US" w:eastAsia="zh-CN"/>
        </w:rPr>
      </w:pPr>
      <w:r>
        <w:rPr>
          <w:color w:val="auto"/>
          <w:sz w:val="21"/>
          <w:szCs w:val="21"/>
          <w:highlight w:val="none"/>
        </w:rPr>
        <w:t>附件</w:t>
      </w:r>
      <w:r>
        <w:rPr>
          <w:rFonts w:hint="eastAsia"/>
          <w:color w:val="auto"/>
          <w:sz w:val="21"/>
          <w:szCs w:val="21"/>
          <w:highlight w:val="none"/>
        </w:rPr>
        <w:t>8</w:t>
      </w:r>
      <w:r>
        <w:rPr>
          <w:color w:val="auto"/>
          <w:sz w:val="21"/>
          <w:szCs w:val="21"/>
          <w:highlight w:val="none"/>
        </w:rPr>
        <w:t xml:space="preserve"> 现状检测报告</w:t>
      </w:r>
      <w:r>
        <w:rPr>
          <w:rFonts w:hint="eastAsia"/>
          <w:color w:val="auto"/>
          <w:sz w:val="21"/>
          <w:szCs w:val="21"/>
          <w:highlight w:val="none"/>
          <w:lang w:val="en-US" w:eastAsia="zh-CN"/>
        </w:rPr>
        <w:t>及引用说明</w:t>
      </w:r>
    </w:p>
    <w:p>
      <w:pPr>
        <w:adjustRightInd w:val="0"/>
        <w:snapToGrid w:val="0"/>
        <w:spacing w:line="360" w:lineRule="auto"/>
        <w:ind w:firstLine="630" w:firstLineChars="300"/>
        <w:rPr>
          <w:color w:val="auto"/>
          <w:sz w:val="21"/>
          <w:szCs w:val="21"/>
          <w:highlight w:val="yellow"/>
        </w:rPr>
      </w:pPr>
      <w:r>
        <w:rPr>
          <w:color w:val="auto"/>
          <w:sz w:val="21"/>
          <w:szCs w:val="21"/>
          <w:highlight w:val="yellow"/>
        </w:rPr>
        <w:t>附件</w:t>
      </w:r>
      <w:r>
        <w:rPr>
          <w:rFonts w:hint="eastAsia"/>
          <w:color w:val="auto"/>
          <w:sz w:val="21"/>
          <w:szCs w:val="21"/>
          <w:highlight w:val="yellow"/>
        </w:rPr>
        <w:t>9</w:t>
      </w:r>
      <w:r>
        <w:rPr>
          <w:color w:val="auto"/>
          <w:sz w:val="21"/>
          <w:szCs w:val="21"/>
          <w:highlight w:val="yellow"/>
        </w:rPr>
        <w:t xml:space="preserve"> 环评报告公示</w:t>
      </w:r>
    </w:p>
    <w:p>
      <w:pPr>
        <w:pStyle w:val="2"/>
        <w:adjustRightInd w:val="0"/>
        <w:snapToGrid w:val="0"/>
        <w:spacing w:line="360" w:lineRule="auto"/>
        <w:ind w:firstLine="630" w:firstLineChars="300"/>
        <w:rPr>
          <w:rFonts w:hint="default" w:ascii="Times New Roman" w:hAnsi="Times New Roman" w:eastAsia="宋体"/>
          <w:color w:val="auto"/>
          <w:sz w:val="21"/>
          <w:szCs w:val="21"/>
          <w:highlight w:val="none"/>
          <w:lang w:val="en-US" w:eastAsia="zh-CN"/>
        </w:rPr>
      </w:pPr>
      <w:r>
        <w:rPr>
          <w:rFonts w:ascii="Times New Roman" w:hAnsi="Times New Roman" w:eastAsia="宋体"/>
          <w:color w:val="auto"/>
          <w:sz w:val="21"/>
          <w:szCs w:val="21"/>
          <w:highlight w:val="none"/>
        </w:rPr>
        <w:t>附件</w:t>
      </w:r>
      <w:r>
        <w:rPr>
          <w:rFonts w:hint="eastAsia" w:ascii="Times New Roman" w:hAnsi="Times New Roman" w:eastAsia="宋体"/>
          <w:color w:val="auto"/>
          <w:sz w:val="21"/>
          <w:szCs w:val="21"/>
          <w:highlight w:val="none"/>
        </w:rPr>
        <w:t>10</w:t>
      </w:r>
      <w:r>
        <w:rPr>
          <w:rFonts w:ascii="Times New Roman" w:hAnsi="Times New Roman" w:eastAsia="宋体"/>
          <w:color w:val="auto"/>
          <w:sz w:val="21"/>
          <w:szCs w:val="21"/>
          <w:highlight w:val="none"/>
        </w:rPr>
        <w:t xml:space="preserve"> </w:t>
      </w:r>
      <w:r>
        <w:rPr>
          <w:rFonts w:hint="eastAsia" w:ascii="Times New Roman" w:hAnsi="Times New Roman" w:eastAsia="宋体"/>
          <w:color w:val="auto"/>
          <w:sz w:val="21"/>
          <w:szCs w:val="21"/>
          <w:highlight w:val="none"/>
          <w:lang w:val="en-US" w:eastAsia="zh-CN"/>
        </w:rPr>
        <w:t>租赁方环评及验收文件</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附件</w:t>
      </w:r>
      <w:r>
        <w:rPr>
          <w:rFonts w:hint="eastAsia"/>
          <w:color w:val="auto"/>
          <w:sz w:val="21"/>
          <w:szCs w:val="21"/>
          <w:highlight w:val="none"/>
        </w:rPr>
        <w:t>11</w:t>
      </w:r>
      <w:r>
        <w:rPr>
          <w:color w:val="auto"/>
          <w:sz w:val="21"/>
          <w:szCs w:val="21"/>
          <w:highlight w:val="none"/>
        </w:rPr>
        <w:t xml:space="preserve"> 委托书</w:t>
      </w:r>
      <w:bookmarkStart w:id="15" w:name="_GoBack"/>
      <w:bookmarkEnd w:id="15"/>
    </w:p>
    <w:p>
      <w:pPr>
        <w:adjustRightInd w:val="0"/>
        <w:snapToGrid w:val="0"/>
        <w:spacing w:line="360" w:lineRule="auto"/>
        <w:ind w:firstLine="630" w:firstLineChars="300"/>
        <w:rPr>
          <w:color w:val="auto"/>
          <w:sz w:val="21"/>
          <w:szCs w:val="21"/>
          <w:highlight w:val="none"/>
        </w:rPr>
      </w:pPr>
      <w:r>
        <w:rPr>
          <w:color w:val="auto"/>
          <w:sz w:val="21"/>
          <w:szCs w:val="21"/>
          <w:highlight w:val="none"/>
        </w:rPr>
        <w:t>附件</w:t>
      </w:r>
      <w:r>
        <w:rPr>
          <w:rFonts w:hint="eastAsia"/>
          <w:color w:val="auto"/>
          <w:sz w:val="21"/>
          <w:szCs w:val="21"/>
          <w:highlight w:val="none"/>
        </w:rPr>
        <w:t>12</w:t>
      </w:r>
      <w:r>
        <w:rPr>
          <w:color w:val="auto"/>
          <w:sz w:val="21"/>
          <w:szCs w:val="21"/>
          <w:highlight w:val="none"/>
        </w:rPr>
        <w:t xml:space="preserve"> 建设单位承诺函</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附件</w:t>
      </w:r>
      <w:r>
        <w:rPr>
          <w:rFonts w:hint="eastAsia"/>
          <w:color w:val="auto"/>
          <w:sz w:val="21"/>
          <w:szCs w:val="21"/>
          <w:highlight w:val="none"/>
        </w:rPr>
        <w:t>13</w:t>
      </w:r>
      <w:r>
        <w:rPr>
          <w:color w:val="auto"/>
          <w:sz w:val="21"/>
          <w:szCs w:val="21"/>
          <w:highlight w:val="none"/>
        </w:rPr>
        <w:t xml:space="preserve"> 建设单位环评单位承诺函</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附件</w:t>
      </w:r>
      <w:r>
        <w:rPr>
          <w:rFonts w:hint="eastAsia"/>
          <w:color w:val="auto"/>
          <w:sz w:val="21"/>
          <w:szCs w:val="21"/>
          <w:highlight w:val="none"/>
        </w:rPr>
        <w:t>14</w:t>
      </w:r>
      <w:r>
        <w:rPr>
          <w:color w:val="auto"/>
          <w:sz w:val="21"/>
          <w:szCs w:val="21"/>
          <w:highlight w:val="none"/>
        </w:rPr>
        <w:t xml:space="preserve"> 声明确认单</w:t>
      </w:r>
    </w:p>
    <w:p>
      <w:pPr>
        <w:adjustRightInd w:val="0"/>
        <w:snapToGrid w:val="0"/>
        <w:spacing w:line="360" w:lineRule="auto"/>
        <w:ind w:firstLine="630" w:firstLineChars="300"/>
        <w:rPr>
          <w:color w:val="auto"/>
          <w:sz w:val="21"/>
          <w:szCs w:val="21"/>
          <w:highlight w:val="none"/>
        </w:rPr>
      </w:pPr>
      <w:r>
        <w:rPr>
          <w:bCs/>
          <w:color w:val="auto"/>
          <w:sz w:val="21"/>
          <w:szCs w:val="21"/>
          <w:highlight w:val="none"/>
        </w:rPr>
        <w:t>附件</w:t>
      </w:r>
      <w:r>
        <w:rPr>
          <w:rFonts w:hint="eastAsia"/>
          <w:bCs/>
          <w:color w:val="auto"/>
          <w:sz w:val="21"/>
          <w:szCs w:val="21"/>
          <w:highlight w:val="none"/>
        </w:rPr>
        <w:t>15</w:t>
      </w:r>
      <w:r>
        <w:rPr>
          <w:bCs/>
          <w:color w:val="auto"/>
          <w:sz w:val="21"/>
          <w:szCs w:val="21"/>
          <w:highlight w:val="none"/>
        </w:rPr>
        <w:t xml:space="preserve"> </w:t>
      </w:r>
      <w:r>
        <w:rPr>
          <w:color w:val="auto"/>
          <w:sz w:val="21"/>
          <w:szCs w:val="21"/>
          <w:highlight w:val="none"/>
        </w:rPr>
        <w:t>危废承诺书</w:t>
      </w:r>
    </w:p>
    <w:p>
      <w:pPr>
        <w:adjustRightInd w:val="0"/>
        <w:snapToGrid w:val="0"/>
        <w:spacing w:line="360" w:lineRule="auto"/>
        <w:ind w:firstLine="630" w:firstLineChars="300"/>
        <w:rPr>
          <w:b/>
          <w:color w:val="auto"/>
          <w:sz w:val="21"/>
          <w:szCs w:val="21"/>
          <w:highlight w:val="none"/>
        </w:rPr>
      </w:pPr>
      <w:r>
        <w:rPr>
          <w:rFonts w:hint="eastAsia"/>
          <w:color w:val="auto"/>
          <w:sz w:val="21"/>
          <w:szCs w:val="21"/>
          <w:highlight w:val="none"/>
          <w:lang w:val="en-US" w:eastAsia="zh-CN"/>
        </w:rPr>
        <w:t>附件16 工程师现场勘查照片</w:t>
      </w:r>
      <w:r>
        <w:rPr>
          <w:color w:val="auto"/>
          <w:sz w:val="21"/>
          <w:szCs w:val="21"/>
          <w:highlight w:val="none"/>
        </w:rPr>
        <w:t xml:space="preserve"> </w:t>
      </w:r>
    </w:p>
    <w:p>
      <w:pPr>
        <w:adjustRightInd w:val="0"/>
        <w:snapToGrid w:val="0"/>
        <w:spacing w:line="360" w:lineRule="auto"/>
        <w:ind w:firstLine="632" w:firstLineChars="300"/>
        <w:rPr>
          <w:b/>
          <w:color w:val="auto"/>
          <w:sz w:val="21"/>
          <w:szCs w:val="21"/>
          <w:highlight w:val="none"/>
        </w:rPr>
      </w:pPr>
      <w:r>
        <w:rPr>
          <w:b/>
          <w:color w:val="auto"/>
          <w:sz w:val="21"/>
          <w:szCs w:val="21"/>
          <w:highlight w:val="none"/>
        </w:rPr>
        <w:t>附图：</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附图1</w:t>
      </w:r>
      <w:r>
        <w:rPr>
          <w:rFonts w:hint="eastAsia"/>
          <w:color w:val="auto"/>
          <w:sz w:val="21"/>
          <w:szCs w:val="21"/>
          <w:highlight w:val="none"/>
          <w:lang w:val="en-US" w:eastAsia="zh-CN"/>
        </w:rPr>
        <w:t xml:space="preserve"> </w:t>
      </w:r>
      <w:r>
        <w:rPr>
          <w:color w:val="auto"/>
          <w:sz w:val="21"/>
          <w:szCs w:val="21"/>
          <w:highlight w:val="none"/>
        </w:rPr>
        <w:t>本项目地理位置示意图</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附图2</w:t>
      </w:r>
      <w:r>
        <w:rPr>
          <w:rFonts w:hint="eastAsia"/>
          <w:color w:val="auto"/>
          <w:sz w:val="21"/>
          <w:szCs w:val="21"/>
          <w:highlight w:val="none"/>
          <w:lang w:val="en-US" w:eastAsia="zh-CN"/>
        </w:rPr>
        <w:t xml:space="preserve"> </w:t>
      </w:r>
      <w:r>
        <w:rPr>
          <w:color w:val="auto"/>
          <w:sz w:val="21"/>
          <w:szCs w:val="21"/>
          <w:highlight w:val="none"/>
        </w:rPr>
        <w:t>本项目周围环境概况示意图</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附图3</w:t>
      </w:r>
      <w:r>
        <w:rPr>
          <w:rFonts w:hint="eastAsia"/>
          <w:color w:val="auto"/>
          <w:sz w:val="21"/>
          <w:szCs w:val="21"/>
          <w:highlight w:val="none"/>
          <w:lang w:val="en-US" w:eastAsia="zh-CN"/>
        </w:rPr>
        <w:t xml:space="preserve"> </w:t>
      </w:r>
      <w:r>
        <w:rPr>
          <w:rFonts w:hint="eastAsia"/>
          <w:color w:val="auto"/>
          <w:sz w:val="21"/>
          <w:szCs w:val="21"/>
          <w:highlight w:val="none"/>
        </w:rPr>
        <w:t>厂房</w:t>
      </w:r>
      <w:r>
        <w:rPr>
          <w:color w:val="auto"/>
          <w:sz w:val="21"/>
          <w:szCs w:val="21"/>
          <w:highlight w:val="none"/>
        </w:rPr>
        <w:t>平面布置图</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附图4</w:t>
      </w:r>
      <w:r>
        <w:rPr>
          <w:rFonts w:hint="eastAsia"/>
          <w:color w:val="auto"/>
          <w:sz w:val="21"/>
          <w:szCs w:val="21"/>
          <w:highlight w:val="none"/>
          <w:lang w:val="en-US" w:eastAsia="zh-CN"/>
        </w:rPr>
        <w:t xml:space="preserve"> </w:t>
      </w:r>
      <w:r>
        <w:rPr>
          <w:color w:val="auto"/>
          <w:sz w:val="21"/>
          <w:szCs w:val="21"/>
          <w:highlight w:val="none"/>
        </w:rPr>
        <w:t>常州市生态空间保护区域分布图</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附图5</w:t>
      </w:r>
      <w:r>
        <w:rPr>
          <w:rFonts w:hint="eastAsia"/>
          <w:color w:val="auto"/>
          <w:sz w:val="21"/>
          <w:szCs w:val="21"/>
          <w:highlight w:val="none"/>
          <w:lang w:val="en-US" w:eastAsia="zh-CN"/>
        </w:rPr>
        <w:t xml:space="preserve"> </w:t>
      </w:r>
      <w:r>
        <w:rPr>
          <w:color w:val="auto"/>
          <w:sz w:val="21"/>
          <w:szCs w:val="21"/>
          <w:highlight w:val="none"/>
        </w:rPr>
        <w:t>金坛经济开发区土地利用规划图</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附图6</w:t>
      </w:r>
      <w:r>
        <w:rPr>
          <w:rFonts w:hint="eastAsia"/>
          <w:color w:val="auto"/>
          <w:sz w:val="21"/>
          <w:szCs w:val="21"/>
          <w:highlight w:val="none"/>
          <w:lang w:val="en-US" w:eastAsia="zh-CN"/>
        </w:rPr>
        <w:t xml:space="preserve"> </w:t>
      </w:r>
      <w:r>
        <w:rPr>
          <w:color w:val="auto"/>
          <w:sz w:val="21"/>
          <w:szCs w:val="21"/>
          <w:highlight w:val="none"/>
        </w:rPr>
        <w:t>金坛区声功能区划图</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附图7</w:t>
      </w:r>
      <w:r>
        <w:rPr>
          <w:rFonts w:hint="eastAsia"/>
          <w:color w:val="auto"/>
          <w:sz w:val="21"/>
          <w:szCs w:val="21"/>
          <w:highlight w:val="none"/>
          <w:lang w:val="en-US" w:eastAsia="zh-CN"/>
        </w:rPr>
        <w:t xml:space="preserve"> </w:t>
      </w:r>
      <w:r>
        <w:rPr>
          <w:color w:val="auto"/>
          <w:sz w:val="21"/>
          <w:szCs w:val="21"/>
          <w:highlight w:val="none"/>
        </w:rPr>
        <w:t>现状检测点位图（图7-1、7-2）</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附图8</w:t>
      </w:r>
      <w:r>
        <w:rPr>
          <w:rFonts w:hint="eastAsia"/>
          <w:color w:val="auto"/>
          <w:sz w:val="21"/>
          <w:szCs w:val="21"/>
          <w:highlight w:val="none"/>
          <w:lang w:val="en-US" w:eastAsia="zh-CN"/>
        </w:rPr>
        <w:t xml:space="preserve"> </w:t>
      </w:r>
      <w:r>
        <w:rPr>
          <w:color w:val="auto"/>
          <w:sz w:val="21"/>
          <w:szCs w:val="21"/>
          <w:highlight w:val="none"/>
        </w:rPr>
        <w:t>金坛经济开发区污水管网图</w:t>
      </w:r>
    </w:p>
    <w:p>
      <w:pPr>
        <w:adjustRightInd w:val="0"/>
        <w:snapToGrid w:val="0"/>
        <w:spacing w:line="360" w:lineRule="auto"/>
        <w:ind w:firstLine="630" w:firstLineChars="300"/>
        <w:rPr>
          <w:color w:val="auto"/>
          <w:sz w:val="21"/>
          <w:szCs w:val="21"/>
          <w:highlight w:val="none"/>
        </w:rPr>
      </w:pPr>
      <w:r>
        <w:rPr>
          <w:color w:val="auto"/>
          <w:sz w:val="21"/>
          <w:szCs w:val="21"/>
          <w:highlight w:val="none"/>
        </w:rPr>
        <w:t>附图9</w:t>
      </w:r>
      <w:r>
        <w:rPr>
          <w:rFonts w:hint="eastAsia"/>
          <w:color w:val="auto"/>
          <w:sz w:val="21"/>
          <w:szCs w:val="21"/>
          <w:highlight w:val="none"/>
          <w:lang w:val="en-US" w:eastAsia="zh-CN"/>
        </w:rPr>
        <w:t xml:space="preserve"> </w:t>
      </w:r>
      <w:r>
        <w:rPr>
          <w:color w:val="auto"/>
          <w:sz w:val="21"/>
          <w:szCs w:val="21"/>
          <w:highlight w:val="none"/>
        </w:rPr>
        <w:t>项目周边水系概化及地表水现状监测示意图</w:t>
      </w:r>
    </w:p>
    <w:p>
      <w:pPr>
        <w:pStyle w:val="2"/>
        <w:snapToGrid w:val="0"/>
        <w:spacing w:line="360" w:lineRule="auto"/>
        <w:ind w:firstLine="630" w:firstLineChars="300"/>
        <w:rPr>
          <w:color w:val="auto"/>
          <w:sz w:val="21"/>
          <w:szCs w:val="21"/>
          <w:highlight w:val="none"/>
        </w:rPr>
      </w:pPr>
      <w:r>
        <w:rPr>
          <w:rFonts w:hint="eastAsia" w:ascii="Times New Roman" w:hAnsi="Times New Roman" w:eastAsia="宋体"/>
          <w:color w:val="auto"/>
          <w:sz w:val="21"/>
          <w:szCs w:val="21"/>
          <w:highlight w:val="none"/>
        </w:rPr>
        <w:t>附图10</w:t>
      </w:r>
      <w:r>
        <w:rPr>
          <w:rFonts w:hint="eastAsia" w:ascii="Times New Roman" w:hAnsi="Times New Roman" w:eastAsia="宋体"/>
          <w:color w:val="auto"/>
          <w:sz w:val="21"/>
          <w:szCs w:val="21"/>
          <w:highlight w:val="none"/>
          <w:lang w:val="en-US" w:eastAsia="zh-CN"/>
        </w:rPr>
        <w:t xml:space="preserve"> </w:t>
      </w:r>
      <w:r>
        <w:rPr>
          <w:rFonts w:hint="eastAsia" w:ascii="Times New Roman" w:hAnsi="Times New Roman" w:eastAsia="宋体"/>
          <w:color w:val="auto"/>
          <w:sz w:val="21"/>
          <w:szCs w:val="21"/>
          <w:highlight w:val="none"/>
        </w:rPr>
        <w:t>项目雨污管网分布图</w:t>
      </w:r>
    </w:p>
    <w:p>
      <w:pPr>
        <w:adjustRightInd w:val="0"/>
        <w:snapToGrid w:val="0"/>
        <w:spacing w:line="360" w:lineRule="auto"/>
        <w:ind w:firstLine="630" w:firstLineChars="300"/>
        <w:rPr>
          <w:color w:val="auto"/>
          <w:highlight w:val="none"/>
        </w:rPr>
      </w:pPr>
    </w:p>
    <w:p>
      <w:pPr>
        <w:pStyle w:val="6"/>
        <w:ind w:firstLine="480"/>
        <w:rPr>
          <w:color w:val="auto"/>
          <w:sz w:val="24"/>
          <w:highlight w:val="none"/>
        </w:rPr>
      </w:pPr>
    </w:p>
    <w:p>
      <w:pPr>
        <w:pStyle w:val="6"/>
        <w:ind w:firstLine="480"/>
        <w:rPr>
          <w:color w:val="auto"/>
          <w:sz w:val="24"/>
          <w:highlight w:val="none"/>
        </w:rPr>
      </w:pPr>
    </w:p>
    <w:p>
      <w:pPr>
        <w:pStyle w:val="6"/>
        <w:ind w:firstLine="480"/>
        <w:rPr>
          <w:color w:val="auto"/>
          <w:sz w:val="24"/>
          <w:highlight w:val="none"/>
        </w:rPr>
      </w:pPr>
    </w:p>
    <w:p>
      <w:pPr>
        <w:pStyle w:val="14"/>
        <w:rPr>
          <w:color w:val="auto"/>
          <w:highlight w:val="none"/>
        </w:rPr>
        <w:sectPr>
          <w:footerReference r:id="rId3" w:type="default"/>
          <w:pgSz w:w="11906" w:h="16838"/>
          <w:pgMar w:top="1701" w:right="1531" w:bottom="1701" w:left="1531" w:header="851" w:footer="1077" w:gutter="0"/>
          <w:pgNumType w:fmt="decimal" w:start="3"/>
          <w:cols w:space="720" w:num="1"/>
          <w:docGrid w:linePitch="312" w:charSpace="0"/>
        </w:sectPr>
      </w:pPr>
    </w:p>
    <w:p>
      <w:pPr>
        <w:pStyle w:val="22"/>
        <w:jc w:val="center"/>
        <w:outlineLvl w:val="0"/>
        <w:rPr>
          <w:rFonts w:ascii="Times New Roman" w:hAnsi="Times New Roman" w:cs="Times New Roman"/>
          <w:b/>
          <w:bCs/>
          <w:snapToGrid w:val="0"/>
          <w:color w:val="auto"/>
          <w:sz w:val="30"/>
          <w:szCs w:val="30"/>
          <w:highlight w:val="none"/>
        </w:rPr>
      </w:pPr>
      <w:bookmarkStart w:id="1" w:name="_Toc2644"/>
      <w:r>
        <w:rPr>
          <w:rFonts w:ascii="Times New Roman" w:hAnsi="Times New Roman" w:cs="Times New Roman"/>
          <w:b/>
          <w:bCs/>
          <w:snapToGrid w:val="0"/>
          <w:color w:val="auto"/>
          <w:sz w:val="30"/>
          <w:szCs w:val="30"/>
          <w:highlight w:val="none"/>
        </w:rPr>
        <w:t>一、建设项目基本情况</w:t>
      </w:r>
      <w:bookmarkEnd w:id="1"/>
    </w:p>
    <w:tbl>
      <w:tblPr>
        <w:tblStyle w:val="2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87"/>
        <w:gridCol w:w="1910"/>
        <w:gridCol w:w="2014"/>
        <w:gridCol w:w="38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87" w:type="dxa"/>
            <w:tcMar>
              <w:top w:w="16" w:type="dxa"/>
              <w:left w:w="16" w:type="dxa"/>
              <w:right w:w="16"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建设项目名称</w:t>
            </w:r>
          </w:p>
        </w:tc>
        <w:tc>
          <w:tcPr>
            <w:tcW w:w="7783" w:type="dxa"/>
            <w:gridSpan w:val="3"/>
            <w:vAlign w:val="center"/>
          </w:tcPr>
          <w:p>
            <w:pPr>
              <w:adjustRightInd w:val="0"/>
              <w:snapToGrid w:val="0"/>
              <w:spacing w:line="240" w:lineRule="auto"/>
              <w:jc w:val="center"/>
              <w:rPr>
                <w:color w:val="auto"/>
                <w:sz w:val="21"/>
                <w:szCs w:val="21"/>
                <w:highlight w:val="none"/>
              </w:rPr>
            </w:pPr>
            <w:r>
              <w:rPr>
                <w:rFonts w:hint="eastAsia"/>
                <w:color w:val="auto"/>
                <w:sz w:val="21"/>
                <w:szCs w:val="21"/>
                <w:highlight w:val="none"/>
              </w:rPr>
              <w:t>新建包装材料生产项目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97" w:hRule="atLeast"/>
          <w:jc w:val="center"/>
        </w:trPr>
        <w:tc>
          <w:tcPr>
            <w:tcW w:w="1087" w:type="dxa"/>
            <w:tcMar>
              <w:top w:w="16" w:type="dxa"/>
              <w:left w:w="16" w:type="dxa"/>
              <w:right w:w="16"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项目代码</w:t>
            </w:r>
          </w:p>
        </w:tc>
        <w:tc>
          <w:tcPr>
            <w:tcW w:w="7783" w:type="dxa"/>
            <w:gridSpan w:val="3"/>
            <w:vAlign w:val="center"/>
          </w:tcPr>
          <w:p>
            <w:pPr>
              <w:adjustRightInd w:val="0"/>
              <w:snapToGrid w:val="0"/>
              <w:spacing w:line="240" w:lineRule="auto"/>
              <w:jc w:val="center"/>
              <w:rPr>
                <w:color w:val="auto"/>
                <w:sz w:val="21"/>
                <w:szCs w:val="21"/>
                <w:highlight w:val="none"/>
              </w:rPr>
            </w:pPr>
            <w:r>
              <w:rPr>
                <w:rFonts w:hint="eastAsia"/>
                <w:color w:val="auto"/>
                <w:sz w:val="21"/>
                <w:szCs w:val="21"/>
                <w:highlight w:val="none"/>
              </w:rPr>
              <w:t>2210-320458-89-01-505043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087" w:type="dxa"/>
            <w:tcMar>
              <w:top w:w="16" w:type="dxa"/>
              <w:left w:w="16" w:type="dxa"/>
              <w:right w:w="16"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建设单位联系人</w:t>
            </w:r>
          </w:p>
        </w:tc>
        <w:tc>
          <w:tcPr>
            <w:tcW w:w="1910" w:type="dxa"/>
            <w:vAlign w:val="center"/>
          </w:tcPr>
          <w:p>
            <w:pPr>
              <w:adjustRightInd w:val="0"/>
              <w:snapToGrid w:val="0"/>
              <w:spacing w:line="240" w:lineRule="auto"/>
              <w:jc w:val="center"/>
              <w:rPr>
                <w:color w:val="auto"/>
                <w:sz w:val="21"/>
                <w:szCs w:val="21"/>
                <w:highlight w:val="none"/>
              </w:rPr>
            </w:pPr>
            <w:r>
              <w:rPr>
                <w:rFonts w:hint="eastAsia"/>
                <w:color w:val="auto"/>
                <w:sz w:val="21"/>
                <w:szCs w:val="21"/>
                <w:highlight w:val="none"/>
              </w:rPr>
              <w:t>张秀红</w:t>
            </w:r>
          </w:p>
        </w:tc>
        <w:tc>
          <w:tcPr>
            <w:tcW w:w="2014" w:type="dxa"/>
            <w:vAlign w:val="center"/>
          </w:tcPr>
          <w:p>
            <w:pPr>
              <w:adjustRightInd w:val="0"/>
              <w:snapToGrid w:val="0"/>
              <w:spacing w:line="240" w:lineRule="auto"/>
              <w:jc w:val="center"/>
              <w:rPr>
                <w:color w:val="auto"/>
                <w:sz w:val="21"/>
                <w:szCs w:val="21"/>
                <w:highlight w:val="none"/>
              </w:rPr>
            </w:pPr>
            <w:r>
              <w:rPr>
                <w:color w:val="auto"/>
                <w:sz w:val="21"/>
                <w:szCs w:val="21"/>
                <w:highlight w:val="none"/>
              </w:rPr>
              <w:t>联系方式</w:t>
            </w:r>
          </w:p>
        </w:tc>
        <w:tc>
          <w:tcPr>
            <w:tcW w:w="3859" w:type="dxa"/>
            <w:vAlign w:val="center"/>
          </w:tcPr>
          <w:p>
            <w:pPr>
              <w:adjustRightInd w:val="0"/>
              <w:snapToGrid w:val="0"/>
              <w:spacing w:line="240" w:lineRule="auto"/>
              <w:jc w:val="center"/>
              <w:rPr>
                <w:color w:val="auto"/>
                <w:sz w:val="21"/>
                <w:szCs w:val="21"/>
                <w:highlight w:val="none"/>
              </w:rPr>
            </w:pPr>
            <w:r>
              <w:rPr>
                <w:rFonts w:hint="eastAsia"/>
                <w:color w:val="auto"/>
                <w:sz w:val="21"/>
                <w:szCs w:val="21"/>
                <w:highlight w:val="none"/>
              </w:rPr>
              <w:t>13921000903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087" w:type="dxa"/>
            <w:tcMar>
              <w:top w:w="16" w:type="dxa"/>
              <w:left w:w="16" w:type="dxa"/>
              <w:right w:w="16"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建设地点</w:t>
            </w:r>
          </w:p>
        </w:tc>
        <w:tc>
          <w:tcPr>
            <w:tcW w:w="7783" w:type="dxa"/>
            <w:gridSpan w:val="3"/>
            <w:vAlign w:val="center"/>
          </w:tcPr>
          <w:p>
            <w:pPr>
              <w:adjustRightInd w:val="0"/>
              <w:snapToGrid w:val="0"/>
              <w:spacing w:line="240" w:lineRule="auto"/>
              <w:jc w:val="center"/>
              <w:rPr>
                <w:color w:val="auto"/>
                <w:sz w:val="21"/>
                <w:szCs w:val="21"/>
                <w:highlight w:val="none"/>
              </w:rPr>
            </w:pPr>
            <w:r>
              <w:rPr>
                <w:rFonts w:hint="eastAsia"/>
                <w:color w:val="auto"/>
                <w:sz w:val="21"/>
                <w:szCs w:val="21"/>
                <w:highlight w:val="none"/>
              </w:rPr>
              <w:t>江苏省金坛经济开发区汇福路3号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75" w:hRule="atLeast"/>
          <w:jc w:val="center"/>
        </w:trPr>
        <w:tc>
          <w:tcPr>
            <w:tcW w:w="1087" w:type="dxa"/>
            <w:tcMar>
              <w:top w:w="16" w:type="dxa"/>
              <w:left w:w="16" w:type="dxa"/>
              <w:right w:w="16"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地理坐标</w:t>
            </w:r>
          </w:p>
        </w:tc>
        <w:tc>
          <w:tcPr>
            <w:tcW w:w="7783" w:type="dxa"/>
            <w:gridSpan w:val="3"/>
            <w:vAlign w:val="center"/>
          </w:tcPr>
          <w:p>
            <w:pPr>
              <w:spacing w:line="240" w:lineRule="auto"/>
              <w:jc w:val="center"/>
              <w:rPr>
                <w:color w:val="auto"/>
                <w:sz w:val="21"/>
                <w:szCs w:val="21"/>
                <w:highlight w:val="none"/>
              </w:rPr>
            </w:pPr>
            <w:r>
              <w:rPr>
                <w:color w:val="auto"/>
                <w:sz w:val="21"/>
                <w:szCs w:val="21"/>
                <w:highlight w:val="none"/>
              </w:rPr>
              <w:t>（</w:t>
            </w:r>
            <w:r>
              <w:rPr>
                <w:rFonts w:hint="eastAsia"/>
                <w:color w:val="auto"/>
                <w:sz w:val="21"/>
                <w:szCs w:val="21"/>
                <w:highlight w:val="none"/>
                <w:lang w:val="en-US" w:eastAsia="zh-CN"/>
              </w:rPr>
              <w:t>经度：</w:t>
            </w:r>
            <w:r>
              <w:rPr>
                <w:color w:val="auto"/>
                <w:sz w:val="21"/>
                <w:szCs w:val="21"/>
                <w:highlight w:val="none"/>
                <w:u w:val="single"/>
              </w:rPr>
              <w:t>119</w:t>
            </w:r>
            <w:r>
              <w:rPr>
                <w:color w:val="auto"/>
                <w:sz w:val="21"/>
                <w:szCs w:val="21"/>
                <w:highlight w:val="none"/>
              </w:rPr>
              <w:t>度</w:t>
            </w:r>
            <w:r>
              <w:rPr>
                <w:color w:val="auto"/>
                <w:sz w:val="21"/>
                <w:szCs w:val="21"/>
                <w:highlight w:val="none"/>
                <w:u w:val="single"/>
              </w:rPr>
              <w:t>3</w:t>
            </w:r>
            <w:r>
              <w:rPr>
                <w:rFonts w:hint="eastAsia"/>
                <w:color w:val="auto"/>
                <w:sz w:val="21"/>
                <w:szCs w:val="21"/>
                <w:highlight w:val="none"/>
                <w:u w:val="single"/>
              </w:rPr>
              <w:t>8</w:t>
            </w:r>
            <w:r>
              <w:rPr>
                <w:color w:val="auto"/>
                <w:sz w:val="21"/>
                <w:szCs w:val="21"/>
                <w:highlight w:val="none"/>
              </w:rPr>
              <w:t>分</w:t>
            </w:r>
            <w:r>
              <w:rPr>
                <w:rFonts w:hint="eastAsia"/>
                <w:color w:val="auto"/>
                <w:sz w:val="21"/>
                <w:szCs w:val="21"/>
                <w:highlight w:val="none"/>
                <w:u w:val="single"/>
              </w:rPr>
              <w:t>41.504</w:t>
            </w:r>
            <w:r>
              <w:rPr>
                <w:color w:val="auto"/>
                <w:sz w:val="21"/>
                <w:szCs w:val="21"/>
                <w:highlight w:val="none"/>
              </w:rPr>
              <w:t>秒，</w:t>
            </w:r>
            <w:r>
              <w:rPr>
                <w:rFonts w:hint="eastAsia"/>
                <w:color w:val="auto"/>
                <w:sz w:val="21"/>
                <w:szCs w:val="21"/>
                <w:highlight w:val="none"/>
                <w:lang w:val="en-US" w:eastAsia="zh-CN"/>
              </w:rPr>
              <w:t>维度：</w:t>
            </w:r>
            <w:r>
              <w:rPr>
                <w:color w:val="auto"/>
                <w:sz w:val="21"/>
                <w:szCs w:val="21"/>
                <w:highlight w:val="none"/>
                <w:u w:val="single"/>
              </w:rPr>
              <w:t>31</w:t>
            </w:r>
            <w:r>
              <w:rPr>
                <w:color w:val="auto"/>
                <w:sz w:val="21"/>
                <w:szCs w:val="21"/>
                <w:highlight w:val="none"/>
              </w:rPr>
              <w:t>度</w:t>
            </w:r>
            <w:r>
              <w:rPr>
                <w:color w:val="auto"/>
                <w:sz w:val="21"/>
                <w:szCs w:val="21"/>
                <w:highlight w:val="none"/>
                <w:u w:val="single"/>
              </w:rPr>
              <w:t>4</w:t>
            </w:r>
            <w:r>
              <w:rPr>
                <w:rFonts w:hint="eastAsia"/>
                <w:color w:val="auto"/>
                <w:sz w:val="21"/>
                <w:szCs w:val="21"/>
                <w:highlight w:val="none"/>
                <w:u w:val="single"/>
              </w:rPr>
              <w:t>5</w:t>
            </w:r>
            <w:r>
              <w:rPr>
                <w:color w:val="auto"/>
                <w:sz w:val="21"/>
                <w:szCs w:val="21"/>
                <w:highlight w:val="none"/>
              </w:rPr>
              <w:t>分</w:t>
            </w:r>
            <w:r>
              <w:rPr>
                <w:rFonts w:hint="eastAsia"/>
                <w:color w:val="auto"/>
                <w:sz w:val="21"/>
                <w:szCs w:val="21"/>
                <w:highlight w:val="none"/>
                <w:u w:val="single"/>
              </w:rPr>
              <w:t>58.906</w:t>
            </w:r>
            <w:r>
              <w:rPr>
                <w:color w:val="auto"/>
                <w:sz w:val="21"/>
                <w:szCs w:val="21"/>
                <w:highlight w:val="none"/>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87" w:type="dxa"/>
            <w:tcMar>
              <w:top w:w="16" w:type="dxa"/>
              <w:left w:w="16" w:type="dxa"/>
              <w:right w:w="16"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国民经济</w:t>
            </w:r>
          </w:p>
          <w:p>
            <w:pPr>
              <w:adjustRightInd w:val="0"/>
              <w:snapToGrid w:val="0"/>
              <w:spacing w:line="240" w:lineRule="auto"/>
              <w:jc w:val="center"/>
              <w:rPr>
                <w:color w:val="auto"/>
                <w:sz w:val="21"/>
                <w:szCs w:val="21"/>
                <w:highlight w:val="none"/>
              </w:rPr>
            </w:pPr>
            <w:r>
              <w:rPr>
                <w:color w:val="auto"/>
                <w:sz w:val="21"/>
                <w:szCs w:val="21"/>
                <w:highlight w:val="none"/>
              </w:rPr>
              <w:t>行业类别</w:t>
            </w:r>
          </w:p>
        </w:tc>
        <w:tc>
          <w:tcPr>
            <w:tcW w:w="1910" w:type="dxa"/>
            <w:vAlign w:val="center"/>
          </w:tcPr>
          <w:p>
            <w:pPr>
              <w:adjustRightInd w:val="0"/>
              <w:snapToGrid w:val="0"/>
              <w:spacing w:line="240" w:lineRule="auto"/>
              <w:jc w:val="left"/>
              <w:rPr>
                <w:color w:val="auto"/>
                <w:sz w:val="21"/>
                <w:szCs w:val="21"/>
                <w:highlight w:val="none"/>
              </w:rPr>
            </w:pPr>
            <w:r>
              <w:rPr>
                <w:rFonts w:eastAsia="方正仿宋_GBK"/>
                <w:color w:val="auto"/>
                <w:sz w:val="21"/>
                <w:szCs w:val="21"/>
                <w:highlight w:val="none"/>
              </w:rPr>
              <w:t>C2929塑料零件及其他塑料制品制造</w:t>
            </w:r>
          </w:p>
        </w:tc>
        <w:tc>
          <w:tcPr>
            <w:tcW w:w="2014" w:type="dxa"/>
            <w:vAlign w:val="center"/>
          </w:tcPr>
          <w:p>
            <w:pPr>
              <w:adjustRightInd w:val="0"/>
              <w:snapToGrid w:val="0"/>
              <w:spacing w:line="240" w:lineRule="auto"/>
              <w:jc w:val="center"/>
              <w:rPr>
                <w:color w:val="auto"/>
                <w:sz w:val="21"/>
                <w:szCs w:val="21"/>
                <w:highlight w:val="none"/>
              </w:rPr>
            </w:pPr>
            <w:r>
              <w:rPr>
                <w:color w:val="auto"/>
                <w:sz w:val="21"/>
                <w:szCs w:val="21"/>
                <w:highlight w:val="none"/>
              </w:rPr>
              <w:t>建设项目</w:t>
            </w:r>
          </w:p>
          <w:p>
            <w:pPr>
              <w:adjustRightInd w:val="0"/>
              <w:snapToGrid w:val="0"/>
              <w:spacing w:line="240" w:lineRule="auto"/>
              <w:jc w:val="center"/>
              <w:rPr>
                <w:color w:val="auto"/>
                <w:sz w:val="21"/>
                <w:szCs w:val="21"/>
                <w:highlight w:val="none"/>
              </w:rPr>
            </w:pPr>
            <w:r>
              <w:rPr>
                <w:color w:val="auto"/>
                <w:sz w:val="21"/>
                <w:szCs w:val="21"/>
                <w:highlight w:val="none"/>
              </w:rPr>
              <w:t>行业类别</w:t>
            </w:r>
          </w:p>
        </w:tc>
        <w:tc>
          <w:tcPr>
            <w:tcW w:w="3859" w:type="dxa"/>
            <w:vAlign w:val="center"/>
          </w:tcPr>
          <w:p>
            <w:pPr>
              <w:pStyle w:val="14"/>
              <w:numPr>
                <w:ilvl w:val="0"/>
                <w:numId w:val="0"/>
              </w:numPr>
              <w:spacing w:line="240" w:lineRule="auto"/>
              <w:rPr>
                <w:color w:val="auto"/>
                <w:sz w:val="21"/>
                <w:szCs w:val="21"/>
                <w:highlight w:val="none"/>
              </w:rPr>
            </w:pPr>
            <w:r>
              <w:rPr>
                <w:color w:val="auto"/>
                <w:sz w:val="21"/>
                <w:szCs w:val="21"/>
                <w:highlight w:val="none"/>
              </w:rPr>
              <w:t>二十六、橡胶和塑料制品业-塑料制品业-292-其他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087" w:type="dxa"/>
            <w:tcMar>
              <w:top w:w="16" w:type="dxa"/>
              <w:left w:w="16" w:type="dxa"/>
              <w:right w:w="16"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建设性质</w:t>
            </w:r>
          </w:p>
        </w:tc>
        <w:tc>
          <w:tcPr>
            <w:tcW w:w="1910" w:type="dxa"/>
            <w:vAlign w:val="center"/>
          </w:tcPr>
          <w:p>
            <w:pPr>
              <w:spacing w:line="240" w:lineRule="auto"/>
              <w:jc w:val="left"/>
              <w:rPr>
                <w:color w:val="auto"/>
                <w:sz w:val="21"/>
                <w:szCs w:val="21"/>
                <w:highlight w:val="none"/>
              </w:rPr>
            </w:pPr>
            <w:r>
              <w:rPr>
                <w:color w:val="auto"/>
                <w:sz w:val="21"/>
                <w:szCs w:val="21"/>
                <w:highlight w:val="none"/>
              </w:rPr>
              <w:sym w:font="Wingdings 2" w:char="0052"/>
            </w:r>
            <w:r>
              <w:rPr>
                <w:color w:val="auto"/>
                <w:sz w:val="21"/>
                <w:szCs w:val="21"/>
                <w:highlight w:val="none"/>
              </w:rPr>
              <w:t>新建（迁建）</w:t>
            </w:r>
          </w:p>
          <w:p>
            <w:pPr>
              <w:spacing w:line="240" w:lineRule="auto"/>
              <w:jc w:val="left"/>
              <w:rPr>
                <w:color w:val="auto"/>
                <w:sz w:val="21"/>
                <w:szCs w:val="21"/>
                <w:highlight w:val="none"/>
              </w:rPr>
            </w:pPr>
            <w:r>
              <w:rPr>
                <w:color w:val="auto"/>
                <w:sz w:val="21"/>
                <w:szCs w:val="21"/>
                <w:highlight w:val="none"/>
              </w:rPr>
              <w:sym w:font="Wingdings 2" w:char="00A3"/>
            </w:r>
            <w:r>
              <w:rPr>
                <w:color w:val="auto"/>
                <w:sz w:val="21"/>
                <w:szCs w:val="21"/>
                <w:highlight w:val="none"/>
              </w:rPr>
              <w:t>改建</w:t>
            </w:r>
          </w:p>
          <w:p>
            <w:pPr>
              <w:spacing w:line="240" w:lineRule="auto"/>
              <w:jc w:val="left"/>
              <w:rPr>
                <w:color w:val="auto"/>
                <w:sz w:val="21"/>
                <w:szCs w:val="21"/>
                <w:highlight w:val="none"/>
              </w:rPr>
            </w:pPr>
            <w:r>
              <w:rPr>
                <w:color w:val="auto"/>
                <w:sz w:val="21"/>
                <w:szCs w:val="21"/>
                <w:highlight w:val="none"/>
              </w:rPr>
              <w:sym w:font="Wingdings 2" w:char="00A3"/>
            </w:r>
            <w:r>
              <w:rPr>
                <w:color w:val="auto"/>
                <w:sz w:val="21"/>
                <w:szCs w:val="21"/>
                <w:highlight w:val="none"/>
              </w:rPr>
              <w:t>扩建</w:t>
            </w:r>
          </w:p>
          <w:p>
            <w:pPr>
              <w:spacing w:line="240" w:lineRule="auto"/>
              <w:jc w:val="left"/>
              <w:rPr>
                <w:color w:val="auto"/>
                <w:sz w:val="21"/>
                <w:szCs w:val="21"/>
                <w:highlight w:val="none"/>
              </w:rPr>
            </w:pPr>
            <w:r>
              <w:rPr>
                <w:color w:val="auto"/>
                <w:sz w:val="21"/>
                <w:szCs w:val="21"/>
                <w:highlight w:val="none"/>
              </w:rPr>
              <w:sym w:font="Wingdings 2" w:char="00A3"/>
            </w:r>
            <w:r>
              <w:rPr>
                <w:color w:val="auto"/>
                <w:sz w:val="21"/>
                <w:szCs w:val="21"/>
                <w:highlight w:val="none"/>
              </w:rPr>
              <w:t>技术改造</w:t>
            </w:r>
          </w:p>
        </w:tc>
        <w:tc>
          <w:tcPr>
            <w:tcW w:w="2014" w:type="dxa"/>
            <w:vAlign w:val="center"/>
          </w:tcPr>
          <w:p>
            <w:pPr>
              <w:adjustRightInd w:val="0"/>
              <w:snapToGrid w:val="0"/>
              <w:spacing w:line="240" w:lineRule="auto"/>
              <w:jc w:val="center"/>
              <w:rPr>
                <w:color w:val="auto"/>
                <w:sz w:val="21"/>
                <w:szCs w:val="21"/>
                <w:highlight w:val="none"/>
              </w:rPr>
            </w:pPr>
            <w:r>
              <w:rPr>
                <w:color w:val="auto"/>
                <w:sz w:val="21"/>
                <w:szCs w:val="21"/>
                <w:highlight w:val="none"/>
              </w:rPr>
              <w:t>建设项目</w:t>
            </w:r>
          </w:p>
          <w:p>
            <w:pPr>
              <w:adjustRightInd w:val="0"/>
              <w:snapToGrid w:val="0"/>
              <w:spacing w:line="240" w:lineRule="auto"/>
              <w:jc w:val="center"/>
              <w:rPr>
                <w:color w:val="auto"/>
                <w:sz w:val="21"/>
                <w:szCs w:val="21"/>
                <w:highlight w:val="none"/>
              </w:rPr>
            </w:pPr>
            <w:r>
              <w:rPr>
                <w:color w:val="auto"/>
                <w:sz w:val="21"/>
                <w:szCs w:val="21"/>
                <w:highlight w:val="none"/>
              </w:rPr>
              <w:t>申报情形</w:t>
            </w:r>
          </w:p>
        </w:tc>
        <w:tc>
          <w:tcPr>
            <w:tcW w:w="3859" w:type="dxa"/>
            <w:vAlign w:val="center"/>
          </w:tcPr>
          <w:p>
            <w:pPr>
              <w:spacing w:line="240" w:lineRule="auto"/>
              <w:jc w:val="left"/>
              <w:rPr>
                <w:color w:val="auto"/>
                <w:sz w:val="21"/>
                <w:szCs w:val="21"/>
                <w:highlight w:val="none"/>
              </w:rPr>
            </w:pPr>
            <w:r>
              <w:rPr>
                <w:color w:val="auto"/>
                <w:sz w:val="21"/>
                <w:szCs w:val="21"/>
                <w:highlight w:val="none"/>
              </w:rPr>
              <w:sym w:font="Wingdings 2" w:char="0052"/>
            </w:r>
            <w:r>
              <w:rPr>
                <w:color w:val="auto"/>
                <w:sz w:val="21"/>
                <w:szCs w:val="21"/>
                <w:highlight w:val="none"/>
              </w:rPr>
              <w:t>首次申报项目</w:t>
            </w:r>
          </w:p>
          <w:p>
            <w:pPr>
              <w:spacing w:line="240" w:lineRule="auto"/>
              <w:jc w:val="left"/>
              <w:rPr>
                <w:color w:val="auto"/>
                <w:sz w:val="21"/>
                <w:szCs w:val="21"/>
                <w:highlight w:val="none"/>
              </w:rPr>
            </w:pPr>
            <w:r>
              <w:rPr>
                <w:color w:val="auto"/>
                <w:sz w:val="21"/>
                <w:szCs w:val="21"/>
                <w:highlight w:val="none"/>
              </w:rPr>
              <w:sym w:font="Wingdings 2" w:char="00A3"/>
            </w:r>
            <w:r>
              <w:rPr>
                <w:color w:val="auto"/>
                <w:sz w:val="21"/>
                <w:szCs w:val="21"/>
                <w:highlight w:val="none"/>
              </w:rPr>
              <w:t>不予批准后再次申报项目</w:t>
            </w:r>
          </w:p>
          <w:p>
            <w:pPr>
              <w:spacing w:line="240" w:lineRule="auto"/>
              <w:jc w:val="left"/>
              <w:rPr>
                <w:color w:val="auto"/>
                <w:sz w:val="21"/>
                <w:szCs w:val="21"/>
                <w:highlight w:val="none"/>
              </w:rPr>
            </w:pPr>
            <w:r>
              <w:rPr>
                <w:color w:val="auto"/>
                <w:sz w:val="21"/>
                <w:szCs w:val="21"/>
                <w:highlight w:val="none"/>
              </w:rPr>
              <w:sym w:font="Wingdings 2" w:char="00A3"/>
            </w:r>
            <w:r>
              <w:rPr>
                <w:color w:val="auto"/>
                <w:sz w:val="21"/>
                <w:szCs w:val="21"/>
                <w:highlight w:val="none"/>
              </w:rPr>
              <w:t>超五年重新审核项目</w:t>
            </w:r>
          </w:p>
          <w:p>
            <w:pPr>
              <w:spacing w:line="240" w:lineRule="auto"/>
              <w:jc w:val="left"/>
              <w:rPr>
                <w:color w:val="auto"/>
                <w:sz w:val="21"/>
                <w:szCs w:val="21"/>
                <w:highlight w:val="none"/>
              </w:rPr>
            </w:pPr>
            <w:r>
              <w:rPr>
                <w:color w:val="auto"/>
                <w:sz w:val="21"/>
                <w:szCs w:val="21"/>
                <w:highlight w:val="none"/>
              </w:rPr>
              <w:sym w:font="Wingdings 2" w:char="00A3"/>
            </w:r>
            <w:r>
              <w:rPr>
                <w:color w:val="auto"/>
                <w:sz w:val="21"/>
                <w:szCs w:val="21"/>
                <w:highlight w:val="none"/>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087" w:type="dxa"/>
            <w:tcMar>
              <w:top w:w="16" w:type="dxa"/>
              <w:left w:w="16" w:type="dxa"/>
              <w:right w:w="16"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项目审批备案部门</w:t>
            </w:r>
          </w:p>
        </w:tc>
        <w:tc>
          <w:tcPr>
            <w:tcW w:w="1910" w:type="dxa"/>
            <w:vAlign w:val="center"/>
          </w:tcPr>
          <w:p>
            <w:pPr>
              <w:adjustRightInd w:val="0"/>
              <w:snapToGrid w:val="0"/>
              <w:spacing w:line="240" w:lineRule="auto"/>
              <w:jc w:val="center"/>
              <w:rPr>
                <w:color w:val="auto"/>
                <w:sz w:val="21"/>
                <w:szCs w:val="21"/>
                <w:highlight w:val="none"/>
              </w:rPr>
            </w:pPr>
            <w:r>
              <w:rPr>
                <w:color w:val="auto"/>
                <w:sz w:val="21"/>
                <w:szCs w:val="21"/>
                <w:highlight w:val="none"/>
              </w:rPr>
              <w:t>江苏金坛经济开发区</w:t>
            </w:r>
            <w:r>
              <w:rPr>
                <w:rFonts w:hint="eastAsia"/>
                <w:color w:val="auto"/>
                <w:sz w:val="21"/>
                <w:szCs w:val="21"/>
                <w:highlight w:val="none"/>
              </w:rPr>
              <w:t>经济发展局</w:t>
            </w:r>
          </w:p>
        </w:tc>
        <w:tc>
          <w:tcPr>
            <w:tcW w:w="2014" w:type="dxa"/>
            <w:vAlign w:val="center"/>
          </w:tcPr>
          <w:p>
            <w:pPr>
              <w:adjustRightInd w:val="0"/>
              <w:snapToGrid w:val="0"/>
              <w:spacing w:line="240" w:lineRule="auto"/>
              <w:jc w:val="center"/>
              <w:rPr>
                <w:color w:val="auto"/>
                <w:sz w:val="21"/>
                <w:szCs w:val="21"/>
                <w:highlight w:val="none"/>
              </w:rPr>
            </w:pPr>
            <w:r>
              <w:rPr>
                <w:color w:val="auto"/>
                <w:sz w:val="21"/>
                <w:szCs w:val="21"/>
                <w:highlight w:val="none"/>
              </w:rPr>
              <w:t>项目审批</w:t>
            </w:r>
          </w:p>
          <w:p>
            <w:pPr>
              <w:adjustRightInd w:val="0"/>
              <w:snapToGrid w:val="0"/>
              <w:spacing w:line="240" w:lineRule="auto"/>
              <w:jc w:val="center"/>
              <w:rPr>
                <w:color w:val="auto"/>
                <w:sz w:val="21"/>
                <w:szCs w:val="21"/>
                <w:highlight w:val="none"/>
              </w:rPr>
            </w:pPr>
            <w:r>
              <w:rPr>
                <w:color w:val="auto"/>
                <w:sz w:val="21"/>
                <w:szCs w:val="21"/>
                <w:highlight w:val="none"/>
              </w:rPr>
              <w:t>备案文号</w:t>
            </w:r>
          </w:p>
        </w:tc>
        <w:tc>
          <w:tcPr>
            <w:tcW w:w="3859" w:type="dxa"/>
            <w:vAlign w:val="center"/>
          </w:tcPr>
          <w:p>
            <w:pPr>
              <w:adjustRightInd w:val="0"/>
              <w:snapToGrid w:val="0"/>
              <w:spacing w:line="240" w:lineRule="auto"/>
              <w:jc w:val="center"/>
              <w:rPr>
                <w:color w:val="auto"/>
                <w:sz w:val="21"/>
                <w:szCs w:val="21"/>
                <w:highlight w:val="none"/>
              </w:rPr>
            </w:pPr>
            <w:r>
              <w:rPr>
                <w:color w:val="auto"/>
                <w:sz w:val="21"/>
                <w:szCs w:val="21"/>
                <w:highlight w:val="none"/>
              </w:rPr>
              <w:t>坛开</w:t>
            </w:r>
            <w:r>
              <w:rPr>
                <w:rFonts w:hint="eastAsia"/>
                <w:color w:val="auto"/>
                <w:sz w:val="21"/>
                <w:szCs w:val="21"/>
                <w:highlight w:val="none"/>
              </w:rPr>
              <w:t>经发</w:t>
            </w:r>
            <w:r>
              <w:rPr>
                <w:color w:val="auto"/>
                <w:sz w:val="21"/>
                <w:szCs w:val="21"/>
                <w:highlight w:val="none"/>
              </w:rPr>
              <w:t>备字[202</w:t>
            </w:r>
            <w:r>
              <w:rPr>
                <w:rFonts w:hint="eastAsia"/>
                <w:color w:val="auto"/>
                <w:sz w:val="21"/>
                <w:szCs w:val="21"/>
                <w:highlight w:val="none"/>
              </w:rPr>
              <w:t>2</w:t>
            </w:r>
            <w:r>
              <w:rPr>
                <w:color w:val="auto"/>
                <w:sz w:val="21"/>
                <w:szCs w:val="21"/>
                <w:highlight w:val="none"/>
              </w:rPr>
              <w:t>]</w:t>
            </w:r>
            <w:r>
              <w:rPr>
                <w:rFonts w:hint="eastAsia"/>
                <w:color w:val="auto"/>
                <w:sz w:val="21"/>
                <w:szCs w:val="21"/>
                <w:highlight w:val="none"/>
              </w:rPr>
              <w:t>193</w:t>
            </w:r>
            <w:r>
              <w:rPr>
                <w:color w:val="auto"/>
                <w:sz w:val="21"/>
                <w:szCs w:val="21"/>
                <w:highlight w:val="none"/>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087" w:type="dxa"/>
            <w:tcMar>
              <w:top w:w="16" w:type="dxa"/>
              <w:left w:w="16" w:type="dxa"/>
              <w:right w:w="16"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总投资（万元）</w:t>
            </w:r>
          </w:p>
        </w:tc>
        <w:tc>
          <w:tcPr>
            <w:tcW w:w="1910" w:type="dxa"/>
            <w:vAlign w:val="center"/>
          </w:tcPr>
          <w:p>
            <w:pPr>
              <w:adjustRightInd w:val="0"/>
              <w:snapToGrid w:val="0"/>
              <w:spacing w:line="240" w:lineRule="auto"/>
              <w:jc w:val="center"/>
              <w:rPr>
                <w:color w:val="auto"/>
                <w:sz w:val="21"/>
                <w:szCs w:val="21"/>
                <w:highlight w:val="none"/>
              </w:rPr>
            </w:pPr>
            <w:r>
              <w:rPr>
                <w:rFonts w:hint="eastAsia"/>
                <w:color w:val="auto"/>
                <w:sz w:val="21"/>
                <w:szCs w:val="21"/>
                <w:highlight w:val="none"/>
              </w:rPr>
              <w:t>1000</w:t>
            </w:r>
          </w:p>
        </w:tc>
        <w:tc>
          <w:tcPr>
            <w:tcW w:w="2014" w:type="dxa"/>
            <w:tcMar>
              <w:top w:w="16" w:type="dxa"/>
              <w:left w:w="16" w:type="dxa"/>
              <w:right w:w="16"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环保投资（万元）</w:t>
            </w:r>
          </w:p>
        </w:tc>
        <w:tc>
          <w:tcPr>
            <w:tcW w:w="3859" w:type="dxa"/>
            <w:vAlign w:val="center"/>
          </w:tcPr>
          <w:p>
            <w:pPr>
              <w:adjustRightInd w:val="0"/>
              <w:snapToGrid w:val="0"/>
              <w:spacing w:line="240" w:lineRule="auto"/>
              <w:jc w:val="center"/>
              <w:rPr>
                <w:color w:val="auto"/>
                <w:sz w:val="21"/>
                <w:szCs w:val="21"/>
                <w:highlight w:val="none"/>
              </w:rPr>
            </w:pPr>
            <w:r>
              <w:rPr>
                <w:rFonts w:hint="eastAsia"/>
                <w:color w:val="auto"/>
                <w:sz w:val="21"/>
                <w:szCs w:val="21"/>
                <w:highlight w:val="none"/>
              </w:rPr>
              <w:t>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087" w:type="dxa"/>
            <w:tcMar>
              <w:top w:w="16" w:type="dxa"/>
              <w:left w:w="16" w:type="dxa"/>
              <w:right w:w="16"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环保投资占比（%）</w:t>
            </w:r>
          </w:p>
        </w:tc>
        <w:tc>
          <w:tcPr>
            <w:tcW w:w="1910" w:type="dxa"/>
            <w:vAlign w:val="center"/>
          </w:tcPr>
          <w:p>
            <w:pPr>
              <w:adjustRightInd w:val="0"/>
              <w:snapToGrid w:val="0"/>
              <w:spacing w:line="240" w:lineRule="auto"/>
              <w:jc w:val="center"/>
              <w:rPr>
                <w:color w:val="auto"/>
                <w:sz w:val="21"/>
                <w:szCs w:val="21"/>
                <w:highlight w:val="none"/>
              </w:rPr>
            </w:pPr>
            <w:r>
              <w:rPr>
                <w:rFonts w:hint="eastAsia"/>
                <w:color w:val="auto"/>
                <w:sz w:val="21"/>
                <w:szCs w:val="21"/>
                <w:highlight w:val="none"/>
              </w:rPr>
              <w:t>3</w:t>
            </w:r>
          </w:p>
        </w:tc>
        <w:tc>
          <w:tcPr>
            <w:tcW w:w="2014" w:type="dxa"/>
            <w:tcMar>
              <w:top w:w="16" w:type="dxa"/>
              <w:left w:w="16" w:type="dxa"/>
              <w:right w:w="16"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施工工期</w:t>
            </w:r>
          </w:p>
        </w:tc>
        <w:tc>
          <w:tcPr>
            <w:tcW w:w="3859" w:type="dxa"/>
            <w:vAlign w:val="center"/>
          </w:tcPr>
          <w:p>
            <w:pPr>
              <w:adjustRightInd w:val="0"/>
              <w:snapToGrid w:val="0"/>
              <w:spacing w:line="240" w:lineRule="auto"/>
              <w:jc w:val="center"/>
              <w:rPr>
                <w:color w:val="auto"/>
                <w:sz w:val="21"/>
                <w:szCs w:val="21"/>
                <w:highlight w:val="none"/>
              </w:rPr>
            </w:pPr>
            <w:r>
              <w:rPr>
                <w:color w:val="auto"/>
                <w:sz w:val="21"/>
                <w:szCs w:val="21"/>
                <w:highlight w:val="none"/>
              </w:rPr>
              <w:t>1个月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087" w:type="dxa"/>
            <w:tcMar>
              <w:top w:w="16" w:type="dxa"/>
              <w:left w:w="16" w:type="dxa"/>
              <w:right w:w="16" w:type="dxa"/>
            </w:tcMar>
            <w:vAlign w:val="center"/>
          </w:tcPr>
          <w:p>
            <w:pPr>
              <w:adjustRightInd w:val="0"/>
              <w:snapToGrid w:val="0"/>
              <w:spacing w:line="240" w:lineRule="auto"/>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是否开工</w:t>
            </w:r>
          </w:p>
        </w:tc>
        <w:tc>
          <w:tcPr>
            <w:tcW w:w="1910" w:type="dxa"/>
            <w:vAlign w:val="center"/>
          </w:tcPr>
          <w:p>
            <w:pPr>
              <w:adjustRightInd w:val="0"/>
              <w:snapToGrid w:val="0"/>
              <w:spacing w:line="240" w:lineRule="auto"/>
              <w:jc w:val="center"/>
              <w:rPr>
                <w:color w:val="auto"/>
                <w:sz w:val="21"/>
                <w:szCs w:val="21"/>
                <w:highlight w:val="none"/>
              </w:rPr>
            </w:pPr>
            <w:r>
              <w:rPr>
                <w:color w:val="auto"/>
                <w:sz w:val="21"/>
                <w:szCs w:val="21"/>
                <w:highlight w:val="none"/>
              </w:rPr>
              <w:t>是</w:t>
            </w:r>
            <w:r>
              <w:rPr>
                <w:color w:val="auto"/>
                <w:sz w:val="21"/>
                <w:szCs w:val="21"/>
                <w:highlight w:val="none"/>
              </w:rPr>
              <w:sym w:font="Wingdings 2" w:char="00A3"/>
            </w:r>
          </w:p>
          <w:p>
            <w:pPr>
              <w:adjustRightInd w:val="0"/>
              <w:snapToGrid w:val="0"/>
              <w:spacing w:line="240" w:lineRule="auto"/>
              <w:jc w:val="center"/>
              <w:rPr>
                <w:color w:val="auto"/>
                <w:sz w:val="21"/>
                <w:szCs w:val="21"/>
                <w:highlight w:val="none"/>
              </w:rPr>
            </w:pPr>
            <w:r>
              <w:rPr>
                <w:color w:val="auto"/>
                <w:sz w:val="21"/>
                <w:szCs w:val="21"/>
                <w:highlight w:val="none"/>
              </w:rPr>
              <w:t>否</w:t>
            </w:r>
            <w:r>
              <w:rPr>
                <w:color w:val="auto"/>
                <w:sz w:val="21"/>
                <w:szCs w:val="21"/>
                <w:highlight w:val="none"/>
              </w:rPr>
              <w:sym w:font="Wingdings 2" w:char="0052"/>
            </w:r>
          </w:p>
        </w:tc>
        <w:tc>
          <w:tcPr>
            <w:tcW w:w="2014" w:type="dxa"/>
            <w:tcMar>
              <w:top w:w="16" w:type="dxa"/>
              <w:left w:w="16" w:type="dxa"/>
              <w:right w:w="16" w:type="dxa"/>
            </w:tcMar>
            <w:vAlign w:val="center"/>
          </w:tcPr>
          <w:p>
            <w:pPr>
              <w:adjustRightInd w:val="0"/>
              <w:snapToGrid w:val="0"/>
              <w:spacing w:line="240" w:lineRule="auto"/>
              <w:jc w:val="center"/>
              <w:rPr>
                <w:color w:val="auto"/>
                <w:spacing w:val="-6"/>
                <w:sz w:val="21"/>
                <w:szCs w:val="21"/>
                <w:highlight w:val="none"/>
              </w:rPr>
            </w:pPr>
            <w:r>
              <w:rPr>
                <w:color w:val="auto"/>
                <w:spacing w:val="-6"/>
                <w:sz w:val="21"/>
                <w:szCs w:val="21"/>
                <w:highlight w:val="none"/>
              </w:rPr>
              <w:t>用地面积（m</w:t>
            </w:r>
            <w:r>
              <w:rPr>
                <w:color w:val="auto"/>
                <w:spacing w:val="-6"/>
                <w:sz w:val="21"/>
                <w:szCs w:val="21"/>
                <w:highlight w:val="none"/>
                <w:vertAlign w:val="superscript"/>
              </w:rPr>
              <w:t>2</w:t>
            </w:r>
            <w:r>
              <w:rPr>
                <w:color w:val="auto"/>
                <w:spacing w:val="-6"/>
                <w:sz w:val="21"/>
                <w:szCs w:val="21"/>
                <w:highlight w:val="none"/>
              </w:rPr>
              <w:t>）</w:t>
            </w:r>
          </w:p>
        </w:tc>
        <w:tc>
          <w:tcPr>
            <w:tcW w:w="3859" w:type="dxa"/>
            <w:vAlign w:val="center"/>
          </w:tcPr>
          <w:p>
            <w:pPr>
              <w:adjustRightInd w:val="0"/>
              <w:snapToGrid w:val="0"/>
              <w:spacing w:line="240" w:lineRule="auto"/>
              <w:jc w:val="center"/>
              <w:rPr>
                <w:color w:val="auto"/>
                <w:sz w:val="21"/>
                <w:szCs w:val="21"/>
                <w:highlight w:val="none"/>
              </w:rPr>
            </w:pPr>
            <w:r>
              <w:rPr>
                <w:rFonts w:hint="eastAsia"/>
                <w:color w:val="auto"/>
                <w:sz w:val="21"/>
                <w:szCs w:val="21"/>
                <w:highlight w:val="none"/>
              </w:rPr>
              <w:t>1000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087" w:type="dxa"/>
            <w:vAlign w:val="center"/>
          </w:tcPr>
          <w:p>
            <w:pPr>
              <w:autoSpaceDE w:val="0"/>
              <w:autoSpaceDN w:val="0"/>
              <w:adjustRightInd w:val="0"/>
              <w:snapToGrid w:val="0"/>
              <w:spacing w:line="240" w:lineRule="auto"/>
              <w:jc w:val="center"/>
              <w:rPr>
                <w:color w:val="auto"/>
                <w:kern w:val="0"/>
                <w:sz w:val="21"/>
                <w:szCs w:val="21"/>
                <w:highlight w:val="none"/>
              </w:rPr>
            </w:pPr>
            <w:r>
              <w:rPr>
                <w:color w:val="auto"/>
                <w:kern w:val="0"/>
                <w:sz w:val="21"/>
                <w:szCs w:val="21"/>
                <w:highlight w:val="none"/>
              </w:rPr>
              <w:t>专项评价设置情况</w:t>
            </w:r>
          </w:p>
        </w:tc>
        <w:tc>
          <w:tcPr>
            <w:tcW w:w="7783" w:type="dxa"/>
            <w:gridSpan w:val="3"/>
            <w:vAlign w:val="center"/>
          </w:tcPr>
          <w:p>
            <w:pPr>
              <w:autoSpaceDE w:val="0"/>
              <w:autoSpaceDN w:val="0"/>
              <w:adjustRightInd w:val="0"/>
              <w:snapToGrid w:val="0"/>
              <w:spacing w:line="240" w:lineRule="auto"/>
              <w:jc w:val="center"/>
              <w:rPr>
                <w:color w:val="auto"/>
                <w:kern w:val="0"/>
                <w:sz w:val="21"/>
                <w:szCs w:val="21"/>
                <w:highlight w:val="none"/>
              </w:rPr>
            </w:pPr>
            <w:r>
              <w:rPr>
                <w:color w:val="auto"/>
                <w:kern w:val="0"/>
                <w:sz w:val="21"/>
                <w:szCs w:val="21"/>
                <w:highlight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7" w:type="dxa"/>
            <w:vAlign w:val="center"/>
          </w:tcPr>
          <w:p>
            <w:pPr>
              <w:autoSpaceDE w:val="0"/>
              <w:autoSpaceDN w:val="0"/>
              <w:adjustRightInd w:val="0"/>
              <w:snapToGrid w:val="0"/>
              <w:jc w:val="center"/>
              <w:rPr>
                <w:color w:val="auto"/>
                <w:kern w:val="0"/>
                <w:sz w:val="21"/>
                <w:szCs w:val="21"/>
                <w:highlight w:val="none"/>
              </w:rPr>
            </w:pPr>
            <w:r>
              <w:rPr>
                <w:color w:val="auto"/>
                <w:sz w:val="21"/>
                <w:szCs w:val="21"/>
                <w:highlight w:val="none"/>
              </w:rPr>
              <w:t>规划情况</w:t>
            </w:r>
          </w:p>
        </w:tc>
        <w:tc>
          <w:tcPr>
            <w:tcW w:w="7783" w:type="dxa"/>
            <w:gridSpan w:val="3"/>
            <w:vAlign w:val="center"/>
          </w:tcPr>
          <w:p>
            <w:pPr>
              <w:autoSpaceDE w:val="0"/>
              <w:autoSpaceDN w:val="0"/>
              <w:adjustRightInd w:val="0"/>
              <w:snapToGrid w:val="0"/>
              <w:spacing w:line="360" w:lineRule="auto"/>
              <w:rPr>
                <w:color w:val="auto"/>
                <w:kern w:val="0"/>
                <w:sz w:val="21"/>
                <w:szCs w:val="21"/>
                <w:highlight w:val="none"/>
              </w:rPr>
            </w:pPr>
            <w:r>
              <w:rPr>
                <w:rFonts w:hint="eastAsia"/>
                <w:color w:val="auto"/>
                <w:kern w:val="0"/>
                <w:sz w:val="21"/>
                <w:szCs w:val="21"/>
                <w:highlight w:val="none"/>
              </w:rPr>
              <w:t>规划名称：《金坛经济开发区发展规划》</w:t>
            </w:r>
          </w:p>
          <w:p>
            <w:pPr>
              <w:autoSpaceDE w:val="0"/>
              <w:autoSpaceDN w:val="0"/>
              <w:adjustRightInd w:val="0"/>
              <w:snapToGrid w:val="0"/>
              <w:spacing w:line="360" w:lineRule="auto"/>
              <w:rPr>
                <w:color w:val="auto"/>
                <w:kern w:val="0"/>
                <w:sz w:val="21"/>
                <w:szCs w:val="21"/>
                <w:highlight w:val="none"/>
              </w:rPr>
            </w:pPr>
            <w:r>
              <w:rPr>
                <w:rFonts w:hint="eastAsia"/>
                <w:color w:val="auto"/>
                <w:kern w:val="0"/>
                <w:sz w:val="21"/>
                <w:szCs w:val="21"/>
                <w:highlight w:val="none"/>
              </w:rPr>
              <w:t>审查机关：江苏省人民政府</w:t>
            </w:r>
          </w:p>
          <w:p>
            <w:pPr>
              <w:autoSpaceDE w:val="0"/>
              <w:autoSpaceDN w:val="0"/>
              <w:adjustRightInd w:val="0"/>
              <w:snapToGrid w:val="0"/>
              <w:spacing w:line="360" w:lineRule="auto"/>
              <w:jc w:val="left"/>
              <w:rPr>
                <w:color w:val="auto"/>
                <w:kern w:val="0"/>
                <w:sz w:val="21"/>
                <w:szCs w:val="21"/>
                <w:highlight w:val="none"/>
              </w:rPr>
            </w:pPr>
            <w:r>
              <w:rPr>
                <w:rFonts w:hint="eastAsia"/>
                <w:color w:val="auto"/>
                <w:kern w:val="0"/>
                <w:sz w:val="21"/>
                <w:szCs w:val="21"/>
                <w:highlight w:val="none"/>
              </w:rPr>
              <w:t>审查文件名称及文号：《省政府关于同意设立海门经济开发区等13家省级开发区的批复》（苏政复[1993]60号）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087" w:type="dxa"/>
            <w:vAlign w:val="center"/>
          </w:tcPr>
          <w:p>
            <w:pPr>
              <w:adjustRightInd w:val="0"/>
              <w:snapToGrid w:val="0"/>
              <w:spacing w:line="240" w:lineRule="auto"/>
              <w:jc w:val="center"/>
              <w:rPr>
                <w:color w:val="auto"/>
                <w:kern w:val="0"/>
                <w:sz w:val="21"/>
                <w:szCs w:val="21"/>
                <w:highlight w:val="none"/>
              </w:rPr>
            </w:pPr>
            <w:r>
              <w:rPr>
                <w:color w:val="auto"/>
                <w:sz w:val="21"/>
                <w:szCs w:val="21"/>
                <w:highlight w:val="none"/>
              </w:rPr>
              <w:t>规划环境影响评价情况</w:t>
            </w:r>
          </w:p>
        </w:tc>
        <w:tc>
          <w:tcPr>
            <w:tcW w:w="7783" w:type="dxa"/>
            <w:gridSpan w:val="3"/>
            <w:vAlign w:val="center"/>
          </w:tcPr>
          <w:p>
            <w:pPr>
              <w:autoSpaceDE w:val="0"/>
              <w:autoSpaceDN w:val="0"/>
              <w:adjustRightInd w:val="0"/>
              <w:snapToGrid w:val="0"/>
              <w:spacing w:line="360" w:lineRule="auto"/>
              <w:rPr>
                <w:color w:val="auto"/>
                <w:sz w:val="21"/>
                <w:szCs w:val="21"/>
                <w:highlight w:val="none"/>
              </w:rPr>
            </w:pPr>
            <w:r>
              <w:rPr>
                <w:color w:val="auto"/>
                <w:sz w:val="21"/>
                <w:szCs w:val="21"/>
                <w:highlight w:val="none"/>
              </w:rPr>
              <w:t>规划环境影响评价文件名称：《金坛经济开发区发展规划环境影响报告书》</w:t>
            </w:r>
          </w:p>
          <w:p>
            <w:pPr>
              <w:autoSpaceDE w:val="0"/>
              <w:autoSpaceDN w:val="0"/>
              <w:adjustRightInd w:val="0"/>
              <w:snapToGrid w:val="0"/>
              <w:spacing w:line="360" w:lineRule="auto"/>
              <w:rPr>
                <w:color w:val="auto"/>
                <w:sz w:val="21"/>
                <w:szCs w:val="21"/>
                <w:highlight w:val="none"/>
              </w:rPr>
            </w:pPr>
            <w:r>
              <w:rPr>
                <w:color w:val="auto"/>
                <w:sz w:val="21"/>
                <w:szCs w:val="21"/>
                <w:highlight w:val="none"/>
              </w:rPr>
              <w:t>召集审查机关：原江苏省环境保护厅</w:t>
            </w:r>
          </w:p>
          <w:p>
            <w:pPr>
              <w:autoSpaceDE w:val="0"/>
              <w:autoSpaceDN w:val="0"/>
              <w:adjustRightInd w:val="0"/>
              <w:snapToGrid w:val="0"/>
              <w:spacing w:line="360" w:lineRule="auto"/>
              <w:rPr>
                <w:color w:val="auto"/>
                <w:sz w:val="21"/>
                <w:szCs w:val="21"/>
                <w:highlight w:val="none"/>
              </w:rPr>
            </w:pPr>
            <w:r>
              <w:rPr>
                <w:color w:val="auto"/>
                <w:sz w:val="21"/>
                <w:szCs w:val="21"/>
                <w:highlight w:val="none"/>
              </w:rPr>
              <w:t>审查文件：《关于金坛经济开发区发展规划环境影响评价审查意见》</w:t>
            </w:r>
          </w:p>
          <w:p>
            <w:pPr>
              <w:autoSpaceDE w:val="0"/>
              <w:autoSpaceDN w:val="0"/>
              <w:adjustRightInd w:val="0"/>
              <w:snapToGrid w:val="0"/>
              <w:spacing w:line="360" w:lineRule="auto"/>
              <w:rPr>
                <w:color w:val="auto"/>
                <w:kern w:val="0"/>
                <w:sz w:val="21"/>
                <w:szCs w:val="21"/>
                <w:highlight w:val="none"/>
              </w:rPr>
            </w:pPr>
            <w:r>
              <w:rPr>
                <w:color w:val="auto"/>
                <w:sz w:val="21"/>
                <w:szCs w:val="21"/>
                <w:highlight w:val="none"/>
              </w:rPr>
              <w:t>审查文号：苏环审[2015]52号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7" w:type="dxa"/>
            <w:vAlign w:val="center"/>
          </w:tcPr>
          <w:p>
            <w:pPr>
              <w:autoSpaceDE w:val="0"/>
              <w:autoSpaceDN w:val="0"/>
              <w:adjustRightInd w:val="0"/>
              <w:snapToGrid w:val="0"/>
              <w:jc w:val="center"/>
              <w:rPr>
                <w:color w:val="auto"/>
                <w:kern w:val="0"/>
                <w:sz w:val="21"/>
                <w:szCs w:val="21"/>
                <w:highlight w:val="none"/>
              </w:rPr>
            </w:pPr>
            <w:r>
              <w:rPr>
                <w:color w:val="auto"/>
                <w:kern w:val="0"/>
                <w:sz w:val="21"/>
                <w:szCs w:val="21"/>
                <w:highlight w:val="none"/>
              </w:rPr>
              <w:t>规划及规划环境</w:t>
            </w:r>
          </w:p>
          <w:p>
            <w:pPr>
              <w:autoSpaceDE w:val="0"/>
              <w:autoSpaceDN w:val="0"/>
              <w:adjustRightInd w:val="0"/>
              <w:snapToGrid w:val="0"/>
              <w:jc w:val="center"/>
              <w:rPr>
                <w:color w:val="auto"/>
                <w:kern w:val="0"/>
                <w:sz w:val="21"/>
                <w:szCs w:val="21"/>
                <w:highlight w:val="none"/>
              </w:rPr>
            </w:pPr>
            <w:r>
              <w:rPr>
                <w:color w:val="auto"/>
                <w:kern w:val="0"/>
                <w:sz w:val="21"/>
                <w:szCs w:val="21"/>
                <w:highlight w:val="none"/>
              </w:rPr>
              <w:t>影响评价符合性分析</w:t>
            </w:r>
          </w:p>
        </w:tc>
        <w:tc>
          <w:tcPr>
            <w:tcW w:w="7783" w:type="dxa"/>
            <w:gridSpan w:val="3"/>
            <w:vAlign w:val="center"/>
          </w:tcPr>
          <w:p>
            <w:pPr>
              <w:spacing w:line="360" w:lineRule="auto"/>
              <w:ind w:firstLine="422" w:firstLineChars="200"/>
              <w:rPr>
                <w:b/>
                <w:color w:val="auto"/>
                <w:kern w:val="0"/>
                <w:sz w:val="21"/>
                <w:szCs w:val="21"/>
                <w:highlight w:val="none"/>
              </w:rPr>
            </w:pPr>
            <w:r>
              <w:rPr>
                <w:rFonts w:hint="eastAsia"/>
                <w:b/>
                <w:color w:val="auto"/>
                <w:kern w:val="0"/>
                <w:sz w:val="21"/>
                <w:szCs w:val="21"/>
                <w:highlight w:val="none"/>
              </w:rPr>
              <w:t>1、</w:t>
            </w:r>
            <w:r>
              <w:rPr>
                <w:b/>
                <w:color w:val="auto"/>
                <w:kern w:val="0"/>
                <w:sz w:val="21"/>
                <w:szCs w:val="21"/>
                <w:highlight w:val="none"/>
              </w:rPr>
              <w:t>规划相符性分析</w:t>
            </w:r>
          </w:p>
          <w:p>
            <w:pPr>
              <w:adjustRightInd w:val="0"/>
              <w:snapToGrid w:val="0"/>
              <w:spacing w:line="360" w:lineRule="auto"/>
              <w:ind w:firstLine="420" w:firstLineChars="200"/>
              <w:rPr>
                <w:color w:val="auto"/>
                <w:sz w:val="21"/>
                <w:szCs w:val="21"/>
                <w:highlight w:val="none"/>
              </w:rPr>
            </w:pPr>
            <w:r>
              <w:rPr>
                <w:rFonts w:hint="eastAsia"/>
                <w:color w:val="auto"/>
                <w:sz w:val="21"/>
                <w:szCs w:val="21"/>
                <w:highlight w:val="none"/>
              </w:rPr>
              <w:t>本项目与《金坛经济开发区发展规划》相</w:t>
            </w:r>
            <w:r>
              <w:rPr>
                <w:color w:val="auto"/>
                <w:sz w:val="21"/>
                <w:szCs w:val="21"/>
                <w:highlight w:val="none"/>
              </w:rPr>
              <w:t>符性分析见表1-1。</w:t>
            </w:r>
          </w:p>
          <w:p>
            <w:pPr>
              <w:autoSpaceDE w:val="0"/>
              <w:autoSpaceDN w:val="0"/>
              <w:adjustRightInd w:val="0"/>
              <w:snapToGrid w:val="0"/>
              <w:jc w:val="center"/>
              <w:rPr>
                <w:rFonts w:hint="eastAsia"/>
                <w:b/>
                <w:color w:val="auto"/>
                <w:kern w:val="0"/>
                <w:sz w:val="21"/>
                <w:szCs w:val="21"/>
                <w:highlight w:val="none"/>
              </w:rPr>
            </w:pPr>
          </w:p>
          <w:p>
            <w:pPr>
              <w:autoSpaceDE w:val="0"/>
              <w:autoSpaceDN w:val="0"/>
              <w:adjustRightInd w:val="0"/>
              <w:snapToGrid w:val="0"/>
              <w:jc w:val="center"/>
              <w:rPr>
                <w:b/>
                <w:color w:val="auto"/>
                <w:kern w:val="0"/>
                <w:sz w:val="21"/>
                <w:szCs w:val="21"/>
                <w:highlight w:val="none"/>
              </w:rPr>
            </w:pPr>
            <w:r>
              <w:rPr>
                <w:rFonts w:hint="eastAsia"/>
                <w:b/>
                <w:color w:val="auto"/>
                <w:kern w:val="0"/>
                <w:sz w:val="21"/>
                <w:szCs w:val="21"/>
                <w:highlight w:val="none"/>
              </w:rPr>
              <w:t>表1-1 项目与金坛经济开发区发展规划相符性分析一览表</w:t>
            </w:r>
          </w:p>
          <w:tbl>
            <w:tblPr>
              <w:tblStyle w:val="25"/>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742"/>
              <w:gridCol w:w="3454"/>
              <w:gridCol w:w="2458"/>
              <w:gridCol w:w="91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1" w:type="pct"/>
                  <w:vAlign w:val="center"/>
                </w:tcPr>
                <w:p>
                  <w:pPr>
                    <w:autoSpaceDE w:val="0"/>
                    <w:autoSpaceDN w:val="0"/>
                    <w:adjustRightInd w:val="0"/>
                    <w:snapToGrid w:val="0"/>
                    <w:jc w:val="center"/>
                    <w:rPr>
                      <w:b/>
                      <w:bCs/>
                      <w:color w:val="auto"/>
                      <w:kern w:val="0"/>
                      <w:sz w:val="21"/>
                      <w:szCs w:val="21"/>
                      <w:highlight w:val="none"/>
                    </w:rPr>
                  </w:pPr>
                  <w:r>
                    <w:rPr>
                      <w:rFonts w:hint="eastAsia"/>
                      <w:b/>
                      <w:bCs/>
                      <w:color w:val="auto"/>
                      <w:kern w:val="0"/>
                      <w:sz w:val="21"/>
                      <w:szCs w:val="21"/>
                      <w:highlight w:val="none"/>
                    </w:rPr>
                    <w:t>序号</w:t>
                  </w:r>
                </w:p>
              </w:tc>
              <w:tc>
                <w:tcPr>
                  <w:tcW w:w="2282" w:type="pct"/>
                  <w:vAlign w:val="center"/>
                </w:tcPr>
                <w:p>
                  <w:pPr>
                    <w:autoSpaceDE w:val="0"/>
                    <w:autoSpaceDN w:val="0"/>
                    <w:adjustRightInd w:val="0"/>
                    <w:snapToGrid w:val="0"/>
                    <w:jc w:val="center"/>
                    <w:rPr>
                      <w:b/>
                      <w:bCs/>
                      <w:color w:val="auto"/>
                      <w:kern w:val="0"/>
                      <w:sz w:val="21"/>
                      <w:szCs w:val="21"/>
                      <w:highlight w:val="none"/>
                    </w:rPr>
                  </w:pPr>
                  <w:r>
                    <w:rPr>
                      <w:rFonts w:hint="eastAsia"/>
                      <w:b/>
                      <w:bCs/>
                      <w:color w:val="auto"/>
                      <w:kern w:val="0"/>
                      <w:sz w:val="21"/>
                      <w:szCs w:val="21"/>
                      <w:highlight w:val="none"/>
                    </w:rPr>
                    <w:t>规划情况</w:t>
                  </w:r>
                </w:p>
              </w:tc>
              <w:tc>
                <w:tcPr>
                  <w:tcW w:w="1624" w:type="pct"/>
                  <w:vAlign w:val="center"/>
                </w:tcPr>
                <w:p>
                  <w:pPr>
                    <w:autoSpaceDE w:val="0"/>
                    <w:autoSpaceDN w:val="0"/>
                    <w:adjustRightInd w:val="0"/>
                    <w:snapToGrid w:val="0"/>
                    <w:jc w:val="center"/>
                    <w:rPr>
                      <w:b/>
                      <w:bCs/>
                      <w:color w:val="auto"/>
                      <w:kern w:val="0"/>
                      <w:sz w:val="21"/>
                      <w:szCs w:val="21"/>
                      <w:highlight w:val="none"/>
                    </w:rPr>
                  </w:pPr>
                  <w:r>
                    <w:rPr>
                      <w:rFonts w:hint="eastAsia"/>
                      <w:b/>
                      <w:bCs/>
                      <w:color w:val="auto"/>
                      <w:kern w:val="0"/>
                      <w:sz w:val="21"/>
                      <w:szCs w:val="21"/>
                      <w:highlight w:val="none"/>
                    </w:rPr>
                    <w:t>本项目情况</w:t>
                  </w:r>
                </w:p>
              </w:tc>
              <w:tc>
                <w:tcPr>
                  <w:tcW w:w="601" w:type="pct"/>
                  <w:vAlign w:val="center"/>
                </w:tcPr>
                <w:p>
                  <w:pPr>
                    <w:autoSpaceDE w:val="0"/>
                    <w:autoSpaceDN w:val="0"/>
                    <w:adjustRightInd w:val="0"/>
                    <w:snapToGrid w:val="0"/>
                    <w:jc w:val="center"/>
                    <w:rPr>
                      <w:b/>
                      <w:bCs/>
                      <w:color w:val="auto"/>
                      <w:kern w:val="0"/>
                      <w:sz w:val="21"/>
                      <w:szCs w:val="21"/>
                      <w:highlight w:val="none"/>
                    </w:rPr>
                  </w:pPr>
                  <w:r>
                    <w:rPr>
                      <w:rFonts w:hint="eastAsia"/>
                      <w:b/>
                      <w:bCs/>
                      <w:color w:val="auto"/>
                      <w:kern w:val="0"/>
                      <w:sz w:val="21"/>
                      <w:szCs w:val="21"/>
                      <w:highlight w:val="none"/>
                    </w:rPr>
                    <w:t>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1" w:type="pct"/>
                  <w:vAlign w:val="center"/>
                </w:tcPr>
                <w:p>
                  <w:pPr>
                    <w:autoSpaceDE w:val="0"/>
                    <w:autoSpaceDN w:val="0"/>
                    <w:adjustRightInd w:val="0"/>
                    <w:snapToGrid w:val="0"/>
                    <w:jc w:val="center"/>
                    <w:rPr>
                      <w:color w:val="auto"/>
                      <w:kern w:val="0"/>
                      <w:sz w:val="21"/>
                      <w:szCs w:val="21"/>
                      <w:highlight w:val="none"/>
                    </w:rPr>
                  </w:pPr>
                  <w:r>
                    <w:rPr>
                      <w:rFonts w:hint="eastAsia"/>
                      <w:color w:val="auto"/>
                      <w:kern w:val="0"/>
                      <w:sz w:val="21"/>
                      <w:szCs w:val="21"/>
                      <w:highlight w:val="none"/>
                    </w:rPr>
                    <w:t>1</w:t>
                  </w:r>
                </w:p>
              </w:tc>
              <w:tc>
                <w:tcPr>
                  <w:tcW w:w="2282" w:type="pct"/>
                  <w:vAlign w:val="center"/>
                </w:tcPr>
                <w:p>
                  <w:pPr>
                    <w:autoSpaceDE w:val="0"/>
                    <w:autoSpaceDN w:val="0"/>
                    <w:adjustRightInd w:val="0"/>
                    <w:snapToGrid w:val="0"/>
                    <w:jc w:val="both"/>
                    <w:rPr>
                      <w:color w:val="auto"/>
                      <w:kern w:val="0"/>
                      <w:sz w:val="21"/>
                      <w:szCs w:val="21"/>
                      <w:highlight w:val="none"/>
                    </w:rPr>
                  </w:pPr>
                  <w:r>
                    <w:rPr>
                      <w:rFonts w:hint="eastAsia"/>
                      <w:color w:val="auto"/>
                      <w:kern w:val="0"/>
                      <w:sz w:val="21"/>
                      <w:szCs w:val="21"/>
                      <w:highlight w:val="none"/>
                    </w:rPr>
                    <w:t>规划范围：东至在建省道203（东环路），南至规划沿江城际铁路，西至金湖路（金宜路）-S340-丹金溧漕河，北近开发区行政界线，距金坛和丹阳市界500m处，总面积71.3km</w:t>
                  </w:r>
                  <w:r>
                    <w:rPr>
                      <w:rFonts w:hint="eastAsia"/>
                      <w:color w:val="auto"/>
                      <w:kern w:val="0"/>
                      <w:sz w:val="21"/>
                      <w:szCs w:val="21"/>
                      <w:highlight w:val="none"/>
                      <w:vertAlign w:val="superscript"/>
                    </w:rPr>
                    <w:t>2</w:t>
                  </w:r>
                  <w:r>
                    <w:rPr>
                      <w:rFonts w:hint="eastAsia"/>
                      <w:color w:val="auto"/>
                      <w:kern w:val="0"/>
                      <w:sz w:val="21"/>
                      <w:szCs w:val="21"/>
                      <w:highlight w:val="none"/>
                    </w:rPr>
                    <w:t>。金坛经济开发区按照产业划分形成传统产业园区（产业北区）和创新型产业园区（产业南区）。</w:t>
                  </w:r>
                </w:p>
                <w:p>
                  <w:pPr>
                    <w:autoSpaceDE w:val="0"/>
                    <w:autoSpaceDN w:val="0"/>
                    <w:adjustRightInd w:val="0"/>
                    <w:snapToGrid w:val="0"/>
                    <w:jc w:val="both"/>
                    <w:rPr>
                      <w:color w:val="auto"/>
                      <w:kern w:val="0"/>
                      <w:sz w:val="21"/>
                      <w:szCs w:val="21"/>
                      <w:highlight w:val="none"/>
                    </w:rPr>
                  </w:pPr>
                  <w:r>
                    <w:rPr>
                      <w:rFonts w:hint="eastAsia"/>
                      <w:color w:val="auto"/>
                      <w:kern w:val="0"/>
                      <w:sz w:val="21"/>
                      <w:szCs w:val="21"/>
                      <w:highlight w:val="none"/>
                    </w:rPr>
                    <w:t>传统产业园区：位于金武公路以北，主要发展以服装、电子、机械、新材料和新能源等为主导的产业，规划整合为盐化工产业园、综合制造产业园、高端制造产业园、中小企业园、新能源新材料产业园。</w:t>
                  </w:r>
                </w:p>
                <w:p>
                  <w:pPr>
                    <w:autoSpaceDE w:val="0"/>
                    <w:autoSpaceDN w:val="0"/>
                    <w:adjustRightInd w:val="0"/>
                    <w:snapToGrid w:val="0"/>
                    <w:jc w:val="both"/>
                    <w:rPr>
                      <w:color w:val="auto"/>
                      <w:kern w:val="0"/>
                      <w:sz w:val="21"/>
                      <w:szCs w:val="21"/>
                      <w:highlight w:val="none"/>
                    </w:rPr>
                  </w:pPr>
                  <w:r>
                    <w:rPr>
                      <w:rFonts w:hint="eastAsia"/>
                      <w:color w:val="auto"/>
                      <w:kern w:val="0"/>
                      <w:sz w:val="21"/>
                      <w:szCs w:val="21"/>
                      <w:highlight w:val="none"/>
                    </w:rPr>
                    <w:t>创新产业园：位于延政西路以南，从事高新技术产品的研制、开发或提供技术外包服务和业务流程外包服务的企业用地，主要发展以新医药、环保、新传感网等新兴产业的研发、设计与营销为主。</w:t>
                  </w:r>
                </w:p>
              </w:tc>
              <w:tc>
                <w:tcPr>
                  <w:tcW w:w="1624" w:type="pct"/>
                  <w:vAlign w:val="center"/>
                </w:tcPr>
                <w:p>
                  <w:pPr>
                    <w:widowControl/>
                    <w:jc w:val="both"/>
                    <w:rPr>
                      <w:rFonts w:hint="eastAsia" w:eastAsia="宋体"/>
                      <w:color w:val="auto"/>
                      <w:kern w:val="0"/>
                      <w:sz w:val="21"/>
                      <w:szCs w:val="21"/>
                      <w:highlight w:val="none"/>
                      <w:lang w:eastAsia="zh-CN"/>
                    </w:rPr>
                  </w:pPr>
                  <w:r>
                    <w:rPr>
                      <w:rFonts w:hint="eastAsia"/>
                      <w:color w:val="auto"/>
                      <w:kern w:val="0"/>
                      <w:sz w:val="21"/>
                      <w:szCs w:val="21"/>
                      <w:highlight w:val="none"/>
                    </w:rPr>
                    <w:t>项目建设地位于</w:t>
                  </w:r>
                  <w:r>
                    <w:rPr>
                      <w:rFonts w:hint="eastAsia"/>
                      <w:color w:val="auto"/>
                      <w:sz w:val="21"/>
                      <w:szCs w:val="21"/>
                      <w:highlight w:val="none"/>
                    </w:rPr>
                    <w:t>江苏省金坛经济开发区汇福路3号</w:t>
                  </w:r>
                  <w:r>
                    <w:rPr>
                      <w:rFonts w:hint="eastAsia"/>
                      <w:color w:val="auto"/>
                      <w:kern w:val="0"/>
                      <w:sz w:val="21"/>
                      <w:szCs w:val="21"/>
                      <w:highlight w:val="none"/>
                    </w:rPr>
                    <w:t>，位于传统产业园区内的综合制造产业；行业类别为</w:t>
                  </w:r>
                  <w:r>
                    <w:rPr>
                      <w:rFonts w:eastAsia="方正仿宋_GBK"/>
                      <w:color w:val="auto"/>
                      <w:sz w:val="21"/>
                      <w:szCs w:val="21"/>
                      <w:highlight w:val="none"/>
                    </w:rPr>
                    <w:t>C2929 塑料零件及其他塑料制品制造</w:t>
                  </w:r>
                  <w:r>
                    <w:rPr>
                      <w:rFonts w:hint="eastAsia"/>
                      <w:color w:val="auto"/>
                      <w:kern w:val="0"/>
                      <w:sz w:val="21"/>
                      <w:szCs w:val="21"/>
                      <w:highlight w:val="none"/>
                    </w:rPr>
                    <w:t>，符合传统产业园区产业定位</w:t>
                  </w:r>
                  <w:r>
                    <w:rPr>
                      <w:rFonts w:hint="eastAsia"/>
                      <w:color w:val="auto"/>
                      <w:kern w:val="0"/>
                      <w:sz w:val="21"/>
                      <w:szCs w:val="21"/>
                      <w:highlight w:val="none"/>
                      <w:lang w:eastAsia="zh-CN"/>
                    </w:rPr>
                    <w:t>。</w:t>
                  </w:r>
                </w:p>
              </w:tc>
              <w:tc>
                <w:tcPr>
                  <w:tcW w:w="601" w:type="pct"/>
                  <w:vAlign w:val="center"/>
                </w:tcPr>
                <w:p>
                  <w:pPr>
                    <w:autoSpaceDE w:val="0"/>
                    <w:autoSpaceDN w:val="0"/>
                    <w:adjustRightInd w:val="0"/>
                    <w:snapToGrid w:val="0"/>
                    <w:jc w:val="center"/>
                    <w:rPr>
                      <w:color w:val="auto"/>
                      <w:kern w:val="0"/>
                      <w:sz w:val="21"/>
                      <w:szCs w:val="21"/>
                      <w:highlight w:val="none"/>
                    </w:rPr>
                  </w:pPr>
                  <w:r>
                    <w:rPr>
                      <w:rFonts w:hint="eastAsia"/>
                      <w:color w:val="auto"/>
                      <w:kern w:val="0"/>
                      <w:sz w:val="21"/>
                      <w:szCs w:val="21"/>
                      <w:highlight w:val="none"/>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1" w:type="pct"/>
                  <w:vAlign w:val="center"/>
                </w:tcPr>
                <w:p>
                  <w:pPr>
                    <w:autoSpaceDE w:val="0"/>
                    <w:autoSpaceDN w:val="0"/>
                    <w:adjustRightInd w:val="0"/>
                    <w:snapToGrid w:val="0"/>
                    <w:jc w:val="center"/>
                    <w:rPr>
                      <w:color w:val="auto"/>
                      <w:kern w:val="0"/>
                      <w:sz w:val="21"/>
                      <w:szCs w:val="21"/>
                      <w:highlight w:val="none"/>
                    </w:rPr>
                  </w:pPr>
                  <w:r>
                    <w:rPr>
                      <w:rFonts w:hint="eastAsia"/>
                      <w:color w:val="auto"/>
                      <w:kern w:val="0"/>
                      <w:sz w:val="21"/>
                      <w:szCs w:val="21"/>
                      <w:highlight w:val="none"/>
                    </w:rPr>
                    <w:t>2</w:t>
                  </w:r>
                </w:p>
              </w:tc>
              <w:tc>
                <w:tcPr>
                  <w:tcW w:w="2282" w:type="pct"/>
                  <w:vAlign w:val="center"/>
                </w:tcPr>
                <w:p>
                  <w:pPr>
                    <w:jc w:val="both"/>
                    <w:rPr>
                      <w:color w:val="auto"/>
                      <w:kern w:val="0"/>
                      <w:sz w:val="21"/>
                      <w:szCs w:val="21"/>
                      <w:highlight w:val="none"/>
                    </w:rPr>
                  </w:pPr>
                  <w:r>
                    <w:rPr>
                      <w:rFonts w:hint="eastAsia"/>
                      <w:color w:val="auto"/>
                      <w:kern w:val="0"/>
                      <w:sz w:val="21"/>
                      <w:szCs w:val="21"/>
                      <w:highlight w:val="none"/>
                    </w:rPr>
                    <w:t>用地布局：总用地为7130hm</w:t>
                  </w:r>
                  <w:r>
                    <w:rPr>
                      <w:rFonts w:hint="eastAsia"/>
                      <w:color w:val="auto"/>
                      <w:kern w:val="0"/>
                      <w:sz w:val="21"/>
                      <w:szCs w:val="21"/>
                      <w:highlight w:val="none"/>
                      <w:vertAlign w:val="superscript"/>
                    </w:rPr>
                    <w:t>2</w:t>
                  </w:r>
                  <w:r>
                    <w:rPr>
                      <w:rFonts w:hint="eastAsia"/>
                      <w:color w:val="auto"/>
                      <w:kern w:val="0"/>
                      <w:sz w:val="21"/>
                      <w:szCs w:val="21"/>
                      <w:highlight w:val="none"/>
                    </w:rPr>
                    <w:t>。其中城市建设用地为6411.2</w:t>
                  </w:r>
                  <w:r>
                    <w:rPr>
                      <w:color w:val="auto"/>
                      <w:kern w:val="0"/>
                      <w:sz w:val="21"/>
                      <w:szCs w:val="21"/>
                      <w:highlight w:val="none"/>
                      <w:lang w:bidi="ar"/>
                    </w:rPr>
                    <w:t>hm</w:t>
                  </w:r>
                  <w:r>
                    <w:rPr>
                      <w:color w:val="auto"/>
                      <w:kern w:val="0"/>
                      <w:sz w:val="21"/>
                      <w:szCs w:val="21"/>
                      <w:highlight w:val="none"/>
                      <w:vertAlign w:val="superscript"/>
                      <w:lang w:bidi="ar"/>
                    </w:rPr>
                    <w:t>2</w:t>
                  </w:r>
                  <w:r>
                    <w:rPr>
                      <w:rFonts w:hint="eastAsia"/>
                      <w:color w:val="auto"/>
                      <w:kern w:val="0"/>
                      <w:sz w:val="21"/>
                      <w:szCs w:val="21"/>
                      <w:highlight w:val="none"/>
                      <w:lang w:bidi="ar"/>
                    </w:rPr>
                    <w:t>（工业用地2278.55</w:t>
                  </w:r>
                  <w:r>
                    <w:rPr>
                      <w:color w:val="auto"/>
                      <w:kern w:val="0"/>
                      <w:sz w:val="21"/>
                      <w:szCs w:val="21"/>
                      <w:highlight w:val="none"/>
                      <w:lang w:bidi="ar"/>
                    </w:rPr>
                    <w:t>m</w:t>
                  </w:r>
                  <w:r>
                    <w:rPr>
                      <w:color w:val="auto"/>
                      <w:kern w:val="0"/>
                      <w:sz w:val="21"/>
                      <w:szCs w:val="21"/>
                      <w:highlight w:val="none"/>
                      <w:vertAlign w:val="superscript"/>
                      <w:lang w:bidi="ar"/>
                    </w:rPr>
                    <w:t>2</w:t>
                  </w:r>
                  <w:r>
                    <w:rPr>
                      <w:rFonts w:hint="eastAsia"/>
                      <w:color w:val="auto"/>
                      <w:kern w:val="0"/>
                      <w:sz w:val="21"/>
                      <w:szCs w:val="21"/>
                      <w:highlight w:val="none"/>
                      <w:lang w:bidi="ar"/>
                    </w:rPr>
                    <w:t>），非建设用地为334.4hm</w:t>
                  </w:r>
                  <w:r>
                    <w:rPr>
                      <w:rFonts w:hint="eastAsia"/>
                      <w:color w:val="auto"/>
                      <w:kern w:val="0"/>
                      <w:sz w:val="21"/>
                      <w:szCs w:val="21"/>
                      <w:highlight w:val="none"/>
                      <w:vertAlign w:val="superscript"/>
                      <w:lang w:bidi="ar"/>
                    </w:rPr>
                    <w:t>2</w:t>
                  </w:r>
                  <w:r>
                    <w:rPr>
                      <w:rFonts w:hint="eastAsia"/>
                      <w:color w:val="auto"/>
                      <w:kern w:val="0"/>
                      <w:sz w:val="21"/>
                      <w:szCs w:val="21"/>
                      <w:highlight w:val="none"/>
                      <w:lang w:bidi="ar"/>
                    </w:rPr>
                    <w:t>（水域面积258.3hm</w:t>
                  </w:r>
                  <w:r>
                    <w:rPr>
                      <w:rFonts w:hint="eastAsia"/>
                      <w:color w:val="auto"/>
                      <w:kern w:val="0"/>
                      <w:sz w:val="21"/>
                      <w:szCs w:val="21"/>
                      <w:highlight w:val="none"/>
                      <w:vertAlign w:val="superscript"/>
                      <w:lang w:bidi="ar"/>
                    </w:rPr>
                    <w:t>2</w:t>
                  </w:r>
                  <w:r>
                    <w:rPr>
                      <w:rFonts w:hint="eastAsia"/>
                      <w:color w:val="auto"/>
                      <w:kern w:val="0"/>
                      <w:sz w:val="21"/>
                      <w:szCs w:val="21"/>
                      <w:highlight w:val="none"/>
                      <w:lang w:bidi="ar"/>
                    </w:rPr>
                    <w:t>），发展备用地384.4hm</w:t>
                  </w:r>
                  <w:r>
                    <w:rPr>
                      <w:rFonts w:hint="eastAsia"/>
                      <w:color w:val="auto"/>
                      <w:kern w:val="0"/>
                      <w:sz w:val="21"/>
                      <w:szCs w:val="21"/>
                      <w:highlight w:val="none"/>
                      <w:vertAlign w:val="superscript"/>
                      <w:lang w:bidi="ar"/>
                    </w:rPr>
                    <w:t>2</w:t>
                  </w:r>
                  <w:r>
                    <w:rPr>
                      <w:rFonts w:hint="eastAsia"/>
                      <w:color w:val="auto"/>
                      <w:kern w:val="0"/>
                      <w:sz w:val="21"/>
                      <w:szCs w:val="21"/>
                      <w:highlight w:val="none"/>
                      <w:lang w:bidi="ar"/>
                    </w:rPr>
                    <w:t>。</w:t>
                  </w:r>
                </w:p>
              </w:tc>
              <w:tc>
                <w:tcPr>
                  <w:tcW w:w="1624" w:type="pct"/>
                  <w:vAlign w:val="center"/>
                </w:tcPr>
                <w:p>
                  <w:pPr>
                    <w:autoSpaceDE w:val="0"/>
                    <w:autoSpaceDN w:val="0"/>
                    <w:adjustRightInd w:val="0"/>
                    <w:snapToGrid w:val="0"/>
                    <w:jc w:val="both"/>
                    <w:rPr>
                      <w:color w:val="auto"/>
                      <w:kern w:val="0"/>
                      <w:sz w:val="21"/>
                      <w:szCs w:val="21"/>
                      <w:highlight w:val="none"/>
                    </w:rPr>
                  </w:pPr>
                  <w:r>
                    <w:rPr>
                      <w:rFonts w:hint="eastAsia"/>
                      <w:color w:val="auto"/>
                      <w:kern w:val="0"/>
                      <w:sz w:val="21"/>
                      <w:szCs w:val="21"/>
                      <w:highlight w:val="none"/>
                    </w:rPr>
                    <w:t>项目建设地属于二类工业用地。</w:t>
                  </w:r>
                </w:p>
              </w:tc>
              <w:tc>
                <w:tcPr>
                  <w:tcW w:w="601" w:type="pct"/>
                  <w:vAlign w:val="center"/>
                </w:tcPr>
                <w:p>
                  <w:pPr>
                    <w:autoSpaceDE w:val="0"/>
                    <w:autoSpaceDN w:val="0"/>
                    <w:adjustRightInd w:val="0"/>
                    <w:snapToGrid w:val="0"/>
                    <w:jc w:val="center"/>
                    <w:rPr>
                      <w:color w:val="auto"/>
                      <w:kern w:val="0"/>
                      <w:sz w:val="21"/>
                      <w:szCs w:val="21"/>
                      <w:highlight w:val="none"/>
                    </w:rPr>
                  </w:pPr>
                  <w:r>
                    <w:rPr>
                      <w:rFonts w:hint="eastAsia"/>
                      <w:color w:val="auto"/>
                      <w:kern w:val="0"/>
                      <w:sz w:val="21"/>
                      <w:szCs w:val="21"/>
                      <w:highlight w:val="none"/>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1" w:type="pct"/>
                  <w:vAlign w:val="center"/>
                </w:tcPr>
                <w:p>
                  <w:pPr>
                    <w:autoSpaceDE w:val="0"/>
                    <w:autoSpaceDN w:val="0"/>
                    <w:adjustRightInd w:val="0"/>
                    <w:snapToGrid w:val="0"/>
                    <w:jc w:val="center"/>
                    <w:rPr>
                      <w:color w:val="auto"/>
                      <w:kern w:val="0"/>
                      <w:sz w:val="21"/>
                      <w:szCs w:val="21"/>
                      <w:highlight w:val="none"/>
                    </w:rPr>
                  </w:pPr>
                  <w:r>
                    <w:rPr>
                      <w:rFonts w:hint="eastAsia"/>
                      <w:color w:val="auto"/>
                      <w:kern w:val="0"/>
                      <w:sz w:val="21"/>
                      <w:szCs w:val="21"/>
                      <w:highlight w:val="none"/>
                    </w:rPr>
                    <w:t>3</w:t>
                  </w:r>
                </w:p>
              </w:tc>
              <w:tc>
                <w:tcPr>
                  <w:tcW w:w="2282" w:type="pct"/>
                  <w:vAlign w:val="center"/>
                </w:tcPr>
                <w:p>
                  <w:pPr>
                    <w:autoSpaceDE w:val="0"/>
                    <w:autoSpaceDN w:val="0"/>
                    <w:adjustRightInd w:val="0"/>
                    <w:snapToGrid w:val="0"/>
                    <w:jc w:val="both"/>
                    <w:rPr>
                      <w:color w:val="auto"/>
                      <w:kern w:val="0"/>
                      <w:sz w:val="21"/>
                      <w:szCs w:val="21"/>
                      <w:highlight w:val="none"/>
                    </w:rPr>
                  </w:pPr>
                  <w:r>
                    <w:rPr>
                      <w:rFonts w:hint="eastAsia"/>
                      <w:color w:val="auto"/>
                      <w:kern w:val="0"/>
                      <w:sz w:val="21"/>
                      <w:szCs w:val="21"/>
                      <w:highlight w:val="none"/>
                    </w:rPr>
                    <w:t>环保基础设施规划：采用雨污分流排水体制，污水经收集后排入</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rFonts w:hint="eastAsia"/>
                      <w:color w:val="auto"/>
                      <w:kern w:val="0"/>
                      <w:sz w:val="21"/>
                      <w:szCs w:val="21"/>
                      <w:highlight w:val="none"/>
                    </w:rPr>
                    <w:t>集中处理。</w:t>
                  </w:r>
                </w:p>
              </w:tc>
              <w:tc>
                <w:tcPr>
                  <w:tcW w:w="1624" w:type="pct"/>
                  <w:vAlign w:val="center"/>
                </w:tcPr>
                <w:p>
                  <w:pPr>
                    <w:autoSpaceDE w:val="0"/>
                    <w:autoSpaceDN w:val="0"/>
                    <w:adjustRightInd w:val="0"/>
                    <w:snapToGrid w:val="0"/>
                    <w:jc w:val="both"/>
                    <w:rPr>
                      <w:color w:val="auto"/>
                      <w:kern w:val="0"/>
                      <w:sz w:val="21"/>
                      <w:szCs w:val="21"/>
                      <w:highlight w:val="none"/>
                    </w:rPr>
                  </w:pPr>
                  <w:r>
                    <w:rPr>
                      <w:rFonts w:hint="eastAsia"/>
                      <w:color w:val="auto"/>
                      <w:kern w:val="0"/>
                      <w:sz w:val="21"/>
                      <w:szCs w:val="21"/>
                      <w:highlight w:val="none"/>
                    </w:rPr>
                    <w:t>项目</w:t>
                  </w:r>
                  <w:r>
                    <w:rPr>
                      <w:rStyle w:val="30"/>
                      <w:rFonts w:hint="eastAsia"/>
                      <w:color w:val="auto"/>
                      <w:sz w:val="21"/>
                      <w:szCs w:val="21"/>
                      <w:highlight w:val="none"/>
                    </w:rPr>
                    <w:t>所在地已</w:t>
                  </w:r>
                  <w:r>
                    <w:rPr>
                      <w:rFonts w:hint="eastAsia"/>
                      <w:color w:val="auto"/>
                      <w:kern w:val="0"/>
                      <w:sz w:val="21"/>
                      <w:szCs w:val="21"/>
                      <w:highlight w:val="none"/>
                    </w:rPr>
                    <w:t>采用雨污分流制；本项目无生产废水外排，生活污水经收集后接管至</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rFonts w:hint="eastAsia"/>
                      <w:color w:val="auto"/>
                      <w:kern w:val="0"/>
                      <w:sz w:val="21"/>
                      <w:szCs w:val="21"/>
                      <w:highlight w:val="none"/>
                    </w:rPr>
                    <w:t>集中处理。</w:t>
                  </w:r>
                </w:p>
              </w:tc>
              <w:tc>
                <w:tcPr>
                  <w:tcW w:w="601" w:type="pct"/>
                  <w:vAlign w:val="center"/>
                </w:tcPr>
                <w:p>
                  <w:pPr>
                    <w:autoSpaceDE w:val="0"/>
                    <w:autoSpaceDN w:val="0"/>
                    <w:adjustRightInd w:val="0"/>
                    <w:snapToGrid w:val="0"/>
                    <w:jc w:val="center"/>
                    <w:rPr>
                      <w:color w:val="auto"/>
                      <w:kern w:val="0"/>
                      <w:sz w:val="21"/>
                      <w:szCs w:val="21"/>
                      <w:highlight w:val="none"/>
                    </w:rPr>
                  </w:pPr>
                  <w:r>
                    <w:rPr>
                      <w:rFonts w:hint="eastAsia"/>
                      <w:color w:val="auto"/>
                      <w:kern w:val="0"/>
                      <w:sz w:val="21"/>
                      <w:szCs w:val="21"/>
                      <w:highlight w:val="none"/>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1" w:type="pct"/>
                  <w:vAlign w:val="center"/>
                </w:tcPr>
                <w:p>
                  <w:pPr>
                    <w:autoSpaceDE w:val="0"/>
                    <w:autoSpaceDN w:val="0"/>
                    <w:adjustRightInd w:val="0"/>
                    <w:snapToGrid w:val="0"/>
                    <w:jc w:val="center"/>
                    <w:rPr>
                      <w:color w:val="auto"/>
                      <w:kern w:val="0"/>
                      <w:sz w:val="21"/>
                      <w:szCs w:val="21"/>
                      <w:highlight w:val="none"/>
                    </w:rPr>
                  </w:pPr>
                  <w:r>
                    <w:rPr>
                      <w:rFonts w:hint="eastAsia"/>
                      <w:color w:val="auto"/>
                      <w:kern w:val="0"/>
                      <w:sz w:val="21"/>
                      <w:szCs w:val="21"/>
                      <w:highlight w:val="none"/>
                    </w:rPr>
                    <w:t>4</w:t>
                  </w:r>
                </w:p>
              </w:tc>
              <w:tc>
                <w:tcPr>
                  <w:tcW w:w="2282" w:type="pct"/>
                  <w:vAlign w:val="center"/>
                </w:tcPr>
                <w:p>
                  <w:pPr>
                    <w:autoSpaceDE w:val="0"/>
                    <w:autoSpaceDN w:val="0"/>
                    <w:adjustRightInd w:val="0"/>
                    <w:snapToGrid w:val="0"/>
                    <w:jc w:val="both"/>
                    <w:rPr>
                      <w:color w:val="auto"/>
                      <w:kern w:val="0"/>
                      <w:sz w:val="21"/>
                      <w:szCs w:val="21"/>
                      <w:highlight w:val="none"/>
                    </w:rPr>
                  </w:pPr>
                  <w:r>
                    <w:rPr>
                      <w:rFonts w:hint="eastAsia"/>
                      <w:color w:val="auto"/>
                      <w:kern w:val="0"/>
                      <w:sz w:val="21"/>
                      <w:szCs w:val="21"/>
                      <w:highlight w:val="none"/>
                    </w:rPr>
                    <w:t>环卫：采用垃圾分类处理方式，分类后的无机物、废品垃圾尽量回收利用，有机垃圾以焚烧为主。</w:t>
                  </w:r>
                </w:p>
              </w:tc>
              <w:tc>
                <w:tcPr>
                  <w:tcW w:w="1624" w:type="pct"/>
                  <w:vAlign w:val="center"/>
                </w:tcPr>
                <w:p>
                  <w:pPr>
                    <w:autoSpaceDE w:val="0"/>
                    <w:autoSpaceDN w:val="0"/>
                    <w:adjustRightInd w:val="0"/>
                    <w:snapToGrid w:val="0"/>
                    <w:jc w:val="both"/>
                    <w:rPr>
                      <w:color w:val="auto"/>
                      <w:kern w:val="0"/>
                      <w:sz w:val="21"/>
                      <w:szCs w:val="21"/>
                      <w:highlight w:val="none"/>
                    </w:rPr>
                  </w:pPr>
                  <w:r>
                    <w:rPr>
                      <w:rFonts w:hint="eastAsia"/>
                      <w:color w:val="auto"/>
                      <w:kern w:val="0"/>
                      <w:sz w:val="21"/>
                      <w:szCs w:val="21"/>
                      <w:highlight w:val="none"/>
                    </w:rPr>
                    <w:t>项目生活垃圾由环卫部门统一清运处置。</w:t>
                  </w:r>
                </w:p>
              </w:tc>
              <w:tc>
                <w:tcPr>
                  <w:tcW w:w="601" w:type="pct"/>
                  <w:vAlign w:val="center"/>
                </w:tcPr>
                <w:p>
                  <w:pPr>
                    <w:autoSpaceDE w:val="0"/>
                    <w:autoSpaceDN w:val="0"/>
                    <w:adjustRightInd w:val="0"/>
                    <w:snapToGrid w:val="0"/>
                    <w:jc w:val="center"/>
                    <w:rPr>
                      <w:color w:val="auto"/>
                      <w:kern w:val="0"/>
                      <w:sz w:val="21"/>
                      <w:szCs w:val="21"/>
                      <w:highlight w:val="none"/>
                    </w:rPr>
                  </w:pPr>
                  <w:r>
                    <w:rPr>
                      <w:rFonts w:hint="eastAsia"/>
                      <w:color w:val="auto"/>
                      <w:kern w:val="0"/>
                      <w:sz w:val="21"/>
                      <w:szCs w:val="21"/>
                      <w:highlight w:val="none"/>
                    </w:rPr>
                    <w:t>符合</w:t>
                  </w:r>
                </w:p>
              </w:tc>
            </w:tr>
          </w:tbl>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0" w:firstLineChars="200"/>
              <w:textAlignment w:val="auto"/>
              <w:rPr>
                <w:color w:val="auto"/>
                <w:sz w:val="21"/>
                <w:szCs w:val="21"/>
                <w:highlight w:val="none"/>
              </w:rPr>
            </w:pPr>
            <w:r>
              <w:rPr>
                <w:rFonts w:hint="eastAsia"/>
                <w:color w:val="auto"/>
                <w:sz w:val="21"/>
                <w:szCs w:val="21"/>
                <w:highlight w:val="none"/>
              </w:rPr>
              <w:t>本项目建设地位于江苏省金坛经济开发区汇福路3号，位于传统产业园区内；行业类别为</w:t>
            </w:r>
            <w:r>
              <w:rPr>
                <w:rFonts w:eastAsia="方正仿宋_GBK"/>
                <w:color w:val="auto"/>
                <w:sz w:val="21"/>
                <w:szCs w:val="21"/>
                <w:highlight w:val="none"/>
              </w:rPr>
              <w:t>C2929 塑料零件及其他塑料制品制造</w:t>
            </w:r>
            <w:r>
              <w:rPr>
                <w:rFonts w:hint="eastAsia"/>
                <w:color w:val="auto"/>
                <w:sz w:val="21"/>
                <w:szCs w:val="21"/>
                <w:highlight w:val="none"/>
              </w:rPr>
              <w:t>，属于综合制造产业，符合传统产业园区产业定位；项目选址用地性质为金坛经济开发区规划的工业用地范围内；项目所在地区已采用雨污分流制，项目不产生工业废水，生活污水达</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rFonts w:hint="eastAsia"/>
                <w:color w:val="auto"/>
                <w:sz w:val="21"/>
                <w:szCs w:val="21"/>
                <w:highlight w:val="none"/>
              </w:rPr>
              <w:t>接管要求后接管至</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rFonts w:hint="eastAsia"/>
                <w:color w:val="auto"/>
                <w:sz w:val="21"/>
                <w:szCs w:val="21"/>
                <w:highlight w:val="none"/>
              </w:rPr>
              <w:t>处理；生活垃圾由环卫部门统一清运处置。因此项目建设符合《金坛经济开发区发展规划》中相关要求。</w:t>
            </w:r>
          </w:p>
          <w:p>
            <w:pPr>
              <w:adjustRightInd w:val="0"/>
              <w:snapToGrid w:val="0"/>
              <w:spacing w:line="360" w:lineRule="auto"/>
              <w:ind w:firstLine="422" w:firstLineChars="200"/>
              <w:rPr>
                <w:b/>
                <w:bCs/>
                <w:color w:val="auto"/>
                <w:sz w:val="21"/>
                <w:szCs w:val="21"/>
                <w:highlight w:val="none"/>
              </w:rPr>
            </w:pPr>
            <w:r>
              <w:rPr>
                <w:rFonts w:hint="eastAsia"/>
                <w:b/>
                <w:bCs/>
                <w:color w:val="auto"/>
                <w:sz w:val="21"/>
                <w:szCs w:val="21"/>
                <w:highlight w:val="none"/>
              </w:rPr>
              <w:t>2、规划环境影响评价相符性分析</w:t>
            </w:r>
          </w:p>
          <w:p>
            <w:pPr>
              <w:autoSpaceDE w:val="0"/>
              <w:autoSpaceDN w:val="0"/>
              <w:adjustRightInd w:val="0"/>
              <w:snapToGrid w:val="0"/>
              <w:spacing w:line="360" w:lineRule="auto"/>
              <w:ind w:firstLine="420" w:firstLineChars="200"/>
              <w:rPr>
                <w:color w:val="auto"/>
                <w:sz w:val="21"/>
                <w:szCs w:val="21"/>
                <w:highlight w:val="none"/>
              </w:rPr>
            </w:pPr>
            <w:r>
              <w:rPr>
                <w:rFonts w:hint="eastAsia"/>
                <w:color w:val="auto"/>
                <w:kern w:val="0"/>
                <w:sz w:val="21"/>
                <w:szCs w:val="21"/>
                <w:highlight w:val="none"/>
              </w:rPr>
              <w:t>项目与《金坛经济开发区发展规划环境影响报告书》及《关于金坛经济开发区发展规划环境影响评价审查意见》相符性分析见表1-2。</w:t>
            </w:r>
          </w:p>
          <w:p>
            <w:pPr>
              <w:pStyle w:val="10"/>
              <w:snapToGrid/>
              <w:spacing w:before="0" w:line="240" w:lineRule="auto"/>
              <w:ind w:firstLine="0"/>
              <w:jc w:val="center"/>
              <w:rPr>
                <w:b/>
                <w:color w:val="auto"/>
                <w:sz w:val="21"/>
                <w:szCs w:val="21"/>
                <w:highlight w:val="none"/>
              </w:rPr>
            </w:pPr>
            <w:r>
              <w:rPr>
                <w:b/>
                <w:color w:val="auto"/>
                <w:sz w:val="21"/>
                <w:szCs w:val="21"/>
                <w:highlight w:val="none"/>
              </w:rPr>
              <w:t>表1-</w:t>
            </w:r>
            <w:r>
              <w:rPr>
                <w:rFonts w:hint="eastAsia"/>
                <w:b/>
                <w:color w:val="auto"/>
                <w:sz w:val="21"/>
                <w:szCs w:val="21"/>
                <w:highlight w:val="none"/>
              </w:rPr>
              <w:t>2</w:t>
            </w:r>
            <w:r>
              <w:rPr>
                <w:rFonts w:hint="eastAsia"/>
                <w:b/>
                <w:color w:val="auto"/>
                <w:sz w:val="21"/>
                <w:szCs w:val="21"/>
                <w:highlight w:val="none"/>
                <w:lang w:val="en-US" w:eastAsia="zh-CN"/>
              </w:rPr>
              <w:t xml:space="preserve"> </w:t>
            </w:r>
            <w:r>
              <w:rPr>
                <w:b/>
                <w:color w:val="auto"/>
                <w:sz w:val="21"/>
                <w:szCs w:val="21"/>
                <w:highlight w:val="none"/>
              </w:rPr>
              <w:t>本项目与金坛经济开发区规划环评审查意见相符性分析一览表</w:t>
            </w:r>
          </w:p>
          <w:tbl>
            <w:tblPr>
              <w:tblStyle w:val="25"/>
              <w:tblW w:w="4999"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2547"/>
              <w:gridCol w:w="3519"/>
              <w:gridCol w:w="85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tcMar>
                    <w:top w:w="0" w:type="dxa"/>
                    <w:left w:w="0" w:type="dxa"/>
                    <w:bottom w:w="0" w:type="dxa"/>
                    <w:right w:w="0" w:type="dxa"/>
                  </w:tcMar>
                  <w:vAlign w:val="center"/>
                </w:tcPr>
                <w:p>
                  <w:pPr>
                    <w:jc w:val="center"/>
                    <w:rPr>
                      <w:b/>
                      <w:color w:val="auto"/>
                      <w:sz w:val="21"/>
                      <w:szCs w:val="21"/>
                      <w:highlight w:val="none"/>
                    </w:rPr>
                  </w:pPr>
                  <w:r>
                    <w:rPr>
                      <w:b/>
                      <w:color w:val="auto"/>
                      <w:sz w:val="21"/>
                      <w:szCs w:val="21"/>
                      <w:highlight w:val="none"/>
                    </w:rPr>
                    <w:t>序号</w:t>
                  </w:r>
                </w:p>
              </w:tc>
              <w:tc>
                <w:tcPr>
                  <w:tcW w:w="1683" w:type="pct"/>
                  <w:tcMar>
                    <w:top w:w="0" w:type="dxa"/>
                    <w:left w:w="0" w:type="dxa"/>
                    <w:bottom w:w="0" w:type="dxa"/>
                    <w:right w:w="0" w:type="dxa"/>
                  </w:tcMar>
                  <w:vAlign w:val="center"/>
                </w:tcPr>
                <w:p>
                  <w:pPr>
                    <w:jc w:val="center"/>
                    <w:rPr>
                      <w:b/>
                      <w:color w:val="auto"/>
                      <w:sz w:val="21"/>
                      <w:szCs w:val="21"/>
                      <w:highlight w:val="none"/>
                    </w:rPr>
                  </w:pPr>
                  <w:r>
                    <w:rPr>
                      <w:rFonts w:hint="eastAsia"/>
                      <w:b/>
                      <w:color w:val="auto"/>
                      <w:sz w:val="21"/>
                      <w:szCs w:val="21"/>
                      <w:highlight w:val="none"/>
                    </w:rPr>
                    <w:t>相关</w:t>
                  </w:r>
                  <w:r>
                    <w:rPr>
                      <w:b/>
                      <w:color w:val="auto"/>
                      <w:sz w:val="21"/>
                      <w:szCs w:val="21"/>
                      <w:highlight w:val="none"/>
                    </w:rPr>
                    <w:t>要求</w:t>
                  </w:r>
                </w:p>
              </w:tc>
              <w:tc>
                <w:tcPr>
                  <w:tcW w:w="2325" w:type="pct"/>
                  <w:tcMar>
                    <w:top w:w="0" w:type="dxa"/>
                    <w:left w:w="0" w:type="dxa"/>
                    <w:bottom w:w="0" w:type="dxa"/>
                    <w:right w:w="0" w:type="dxa"/>
                  </w:tcMar>
                  <w:vAlign w:val="center"/>
                </w:tcPr>
                <w:p>
                  <w:pPr>
                    <w:jc w:val="center"/>
                    <w:rPr>
                      <w:b/>
                      <w:color w:val="auto"/>
                      <w:sz w:val="21"/>
                      <w:szCs w:val="21"/>
                      <w:highlight w:val="none"/>
                    </w:rPr>
                  </w:pPr>
                  <w:r>
                    <w:rPr>
                      <w:b/>
                      <w:color w:val="auto"/>
                      <w:sz w:val="21"/>
                      <w:szCs w:val="21"/>
                      <w:highlight w:val="none"/>
                    </w:rPr>
                    <w:t>本项目</w:t>
                  </w:r>
                  <w:r>
                    <w:rPr>
                      <w:rFonts w:hint="eastAsia"/>
                      <w:b/>
                      <w:color w:val="auto"/>
                      <w:sz w:val="21"/>
                      <w:szCs w:val="21"/>
                      <w:highlight w:val="none"/>
                    </w:rPr>
                    <w:t>情况</w:t>
                  </w:r>
                </w:p>
              </w:tc>
              <w:tc>
                <w:tcPr>
                  <w:tcW w:w="564" w:type="pct"/>
                  <w:tcMar>
                    <w:top w:w="0" w:type="dxa"/>
                    <w:left w:w="0" w:type="dxa"/>
                    <w:bottom w:w="0" w:type="dxa"/>
                    <w:right w:w="0" w:type="dxa"/>
                  </w:tcMar>
                  <w:vAlign w:val="center"/>
                </w:tcPr>
                <w:p>
                  <w:pPr>
                    <w:jc w:val="center"/>
                    <w:rPr>
                      <w:b/>
                      <w:color w:val="auto"/>
                      <w:sz w:val="21"/>
                      <w:szCs w:val="21"/>
                      <w:highlight w:val="none"/>
                    </w:rPr>
                  </w:pPr>
                  <w:r>
                    <w:rPr>
                      <w:b/>
                      <w:color w:val="auto"/>
                      <w:sz w:val="21"/>
                      <w:szCs w:val="21"/>
                      <w:highlight w:val="none"/>
                    </w:rPr>
                    <w:t>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1</w:t>
                  </w:r>
                </w:p>
              </w:tc>
              <w:tc>
                <w:tcPr>
                  <w:tcW w:w="1683" w:type="pct"/>
                  <w:tcMar>
                    <w:top w:w="0" w:type="dxa"/>
                    <w:left w:w="0" w:type="dxa"/>
                    <w:bottom w:w="0" w:type="dxa"/>
                    <w:right w:w="0" w:type="dxa"/>
                  </w:tcMar>
                  <w:vAlign w:val="center"/>
                </w:tcPr>
                <w:p>
                  <w:pPr>
                    <w:rPr>
                      <w:color w:val="auto"/>
                      <w:sz w:val="21"/>
                      <w:szCs w:val="21"/>
                      <w:highlight w:val="none"/>
                    </w:rPr>
                  </w:pPr>
                  <w:r>
                    <w:rPr>
                      <w:color w:val="auto"/>
                      <w:sz w:val="21"/>
                      <w:szCs w:val="21"/>
                      <w:highlight w:val="none"/>
                    </w:rPr>
                    <w:t>开发区应引进科技含量高、产品附加值高、无污染或程度低的项目，其生产工艺、装备水平污染治理技术，以及单位产品能耗、物耗、污染物排放和资源利用率均须达到同行业国际先进水平，至少是国内先进水平。</w:t>
                  </w:r>
                </w:p>
              </w:tc>
              <w:tc>
                <w:tcPr>
                  <w:tcW w:w="2325" w:type="pct"/>
                  <w:tcMar>
                    <w:top w:w="0" w:type="dxa"/>
                    <w:left w:w="0" w:type="dxa"/>
                    <w:bottom w:w="0" w:type="dxa"/>
                    <w:right w:w="0" w:type="dxa"/>
                  </w:tcMar>
                  <w:vAlign w:val="center"/>
                </w:tcPr>
                <w:p>
                  <w:pPr>
                    <w:rPr>
                      <w:color w:val="auto"/>
                      <w:sz w:val="21"/>
                      <w:szCs w:val="21"/>
                      <w:highlight w:val="none"/>
                    </w:rPr>
                  </w:pPr>
                  <w:r>
                    <w:rPr>
                      <w:color w:val="auto"/>
                      <w:sz w:val="21"/>
                      <w:szCs w:val="21"/>
                      <w:highlight w:val="none"/>
                    </w:rPr>
                    <w:t>本项目产品为</w:t>
                  </w:r>
                  <w:r>
                    <w:rPr>
                      <w:rFonts w:hint="eastAsia"/>
                      <w:color w:val="auto"/>
                      <w:sz w:val="21"/>
                      <w:szCs w:val="21"/>
                      <w:highlight w:val="none"/>
                    </w:rPr>
                    <w:t>包装材料</w:t>
                  </w:r>
                  <w:r>
                    <w:rPr>
                      <w:color w:val="auto"/>
                      <w:sz w:val="21"/>
                      <w:szCs w:val="21"/>
                      <w:highlight w:val="none"/>
                    </w:rPr>
                    <w:t>，项目生产工艺成熟、简单。根据建设单位提供的资料，本项目投产后年产值约</w:t>
                  </w:r>
                  <w:r>
                    <w:rPr>
                      <w:rFonts w:hint="eastAsia"/>
                      <w:color w:val="auto"/>
                      <w:sz w:val="21"/>
                      <w:szCs w:val="21"/>
                      <w:highlight w:val="none"/>
                    </w:rPr>
                    <w:t>1000</w:t>
                  </w:r>
                  <w:r>
                    <w:rPr>
                      <w:color w:val="auto"/>
                      <w:sz w:val="21"/>
                      <w:szCs w:val="21"/>
                      <w:highlight w:val="none"/>
                    </w:rPr>
                    <w:t>万元。经计算，本项目单位GDP水耗为</w:t>
                  </w:r>
                  <w:r>
                    <w:rPr>
                      <w:rFonts w:hint="eastAsia"/>
                      <w:color w:val="auto"/>
                      <w:sz w:val="21"/>
                      <w:szCs w:val="21"/>
                      <w:highlight w:val="none"/>
                    </w:rPr>
                    <w:t>0.46</w:t>
                  </w:r>
                  <w:r>
                    <w:rPr>
                      <w:color w:val="auto"/>
                      <w:sz w:val="21"/>
                      <w:szCs w:val="21"/>
                      <w:highlight w:val="none"/>
                    </w:rPr>
                    <w:t>m</w:t>
                  </w:r>
                  <w:r>
                    <w:rPr>
                      <w:color w:val="auto"/>
                      <w:sz w:val="21"/>
                      <w:szCs w:val="21"/>
                      <w:highlight w:val="none"/>
                      <w:vertAlign w:val="superscript"/>
                    </w:rPr>
                    <w:t>3</w:t>
                  </w:r>
                  <w:r>
                    <w:rPr>
                      <w:color w:val="auto"/>
                      <w:sz w:val="21"/>
                      <w:szCs w:val="21"/>
                      <w:highlight w:val="none"/>
                    </w:rPr>
                    <w:t>/万元，单位GDP能耗为0.</w:t>
                  </w:r>
                  <w:r>
                    <w:rPr>
                      <w:rFonts w:hint="eastAsia"/>
                      <w:color w:val="auto"/>
                      <w:sz w:val="21"/>
                      <w:szCs w:val="21"/>
                      <w:highlight w:val="none"/>
                    </w:rPr>
                    <w:t>1229</w:t>
                  </w:r>
                  <w:r>
                    <w:rPr>
                      <w:color w:val="auto"/>
                      <w:sz w:val="21"/>
                      <w:szCs w:val="21"/>
                      <w:highlight w:val="none"/>
                    </w:rPr>
                    <w:t>吨标准煤/万元，均低于《金坛经济开发区发展规划环境影响报告书》中的设计值（参考2030年），即单位GDP水耗为6m</w:t>
                  </w:r>
                  <w:r>
                    <w:rPr>
                      <w:color w:val="auto"/>
                      <w:sz w:val="21"/>
                      <w:szCs w:val="21"/>
                      <w:highlight w:val="none"/>
                      <w:vertAlign w:val="superscript"/>
                    </w:rPr>
                    <w:t>3</w:t>
                  </w:r>
                  <w:r>
                    <w:rPr>
                      <w:color w:val="auto"/>
                      <w:sz w:val="21"/>
                      <w:szCs w:val="21"/>
                      <w:highlight w:val="none"/>
                    </w:rPr>
                    <w:t>/万元，单位GDP能耗≤0.25吨标准煤/万元，满足开发区的资源指标要求。项目单位产品能耗、物耗、污染物排放和资源利用率均可到同行业国内先进水平。</w:t>
                  </w:r>
                </w:p>
              </w:tc>
              <w:tc>
                <w:tcPr>
                  <w:tcW w:w="564"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2</w:t>
                  </w:r>
                </w:p>
              </w:tc>
              <w:tc>
                <w:tcPr>
                  <w:tcW w:w="1683" w:type="pct"/>
                  <w:tcMar>
                    <w:top w:w="0" w:type="dxa"/>
                    <w:left w:w="0" w:type="dxa"/>
                    <w:bottom w:w="0" w:type="dxa"/>
                    <w:right w:w="0" w:type="dxa"/>
                  </w:tcMar>
                  <w:vAlign w:val="center"/>
                </w:tcPr>
                <w:p>
                  <w:pPr>
                    <w:rPr>
                      <w:color w:val="auto"/>
                      <w:sz w:val="21"/>
                      <w:szCs w:val="21"/>
                      <w:highlight w:val="none"/>
                    </w:rPr>
                  </w:pPr>
                  <w:r>
                    <w:rPr>
                      <w:color w:val="auto"/>
                      <w:sz w:val="21"/>
                      <w:szCs w:val="21"/>
                      <w:highlight w:val="none"/>
                    </w:rPr>
                    <w:t>机械装备、电子行业禁止引进电镀、表面处理类项目，化工行业禁止引进与盐化工及下游产品生产不相关的化工项目、农药项目，新材料禁止引进太阳能电池切片、钢铁等传统型金属材料、水泥等传统型非金属材料的生产项目。在园区大气中HCl稳定达标前禁止引进排放大气污染物HCl的企业和项目。</w:t>
                  </w:r>
                </w:p>
              </w:tc>
              <w:tc>
                <w:tcPr>
                  <w:tcW w:w="2325"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本项目不属于以上禁止行业。</w:t>
                  </w:r>
                </w:p>
              </w:tc>
              <w:tc>
                <w:tcPr>
                  <w:tcW w:w="564"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3</w:t>
                  </w:r>
                </w:p>
              </w:tc>
              <w:tc>
                <w:tcPr>
                  <w:tcW w:w="1683" w:type="pct"/>
                  <w:tcMar>
                    <w:top w:w="0" w:type="dxa"/>
                    <w:left w:w="0" w:type="dxa"/>
                    <w:bottom w:w="0" w:type="dxa"/>
                    <w:right w:w="0" w:type="dxa"/>
                  </w:tcMar>
                  <w:vAlign w:val="center"/>
                </w:tcPr>
                <w:p>
                  <w:pPr>
                    <w:rPr>
                      <w:color w:val="auto"/>
                      <w:sz w:val="21"/>
                      <w:szCs w:val="21"/>
                      <w:highlight w:val="none"/>
                    </w:rPr>
                  </w:pPr>
                  <w:r>
                    <w:rPr>
                      <w:color w:val="auto"/>
                      <w:sz w:val="21"/>
                      <w:szCs w:val="21"/>
                      <w:highlight w:val="none"/>
                    </w:rPr>
                    <w:t>强化恶臭、VOCs等特征污染物的控制与治理，严格控制SO</w:t>
                  </w:r>
                  <w:r>
                    <w:rPr>
                      <w:color w:val="auto"/>
                      <w:sz w:val="21"/>
                      <w:szCs w:val="21"/>
                      <w:highlight w:val="none"/>
                      <w:vertAlign w:val="subscript"/>
                    </w:rPr>
                    <w:t>2</w:t>
                  </w:r>
                  <w:r>
                    <w:rPr>
                      <w:color w:val="auto"/>
                      <w:sz w:val="21"/>
                      <w:szCs w:val="21"/>
                      <w:highlight w:val="none"/>
                    </w:rPr>
                    <w:t>、NO</w:t>
                  </w:r>
                  <w:r>
                    <w:rPr>
                      <w:color w:val="auto"/>
                      <w:sz w:val="21"/>
                      <w:szCs w:val="21"/>
                      <w:highlight w:val="none"/>
                      <w:vertAlign w:val="subscript"/>
                    </w:rPr>
                    <w:t>x</w:t>
                  </w:r>
                  <w:r>
                    <w:rPr>
                      <w:color w:val="auto"/>
                      <w:sz w:val="21"/>
                      <w:szCs w:val="21"/>
                      <w:highlight w:val="none"/>
                    </w:rPr>
                    <w:t>、VOCs等大气污染物排放总量，确保重点区域大气环境质量如期改善与稳定达标。</w:t>
                  </w:r>
                </w:p>
              </w:tc>
              <w:tc>
                <w:tcPr>
                  <w:tcW w:w="2325" w:type="pct"/>
                  <w:tcMar>
                    <w:top w:w="0" w:type="dxa"/>
                    <w:left w:w="0" w:type="dxa"/>
                    <w:bottom w:w="0" w:type="dxa"/>
                    <w:right w:w="0" w:type="dxa"/>
                  </w:tcMar>
                  <w:vAlign w:val="center"/>
                </w:tcPr>
                <w:p>
                  <w:pPr>
                    <w:pStyle w:val="42"/>
                    <w:adjustRightInd w:val="0"/>
                    <w:snapToGrid w:val="0"/>
                    <w:spacing w:line="240" w:lineRule="auto"/>
                    <w:jc w:val="both"/>
                    <w:rPr>
                      <w:rFonts w:eastAsia="宋体"/>
                      <w:color w:val="auto"/>
                      <w:sz w:val="21"/>
                      <w:szCs w:val="21"/>
                      <w:highlight w:val="none"/>
                    </w:rPr>
                  </w:pPr>
                  <w:r>
                    <w:rPr>
                      <w:rFonts w:eastAsia="宋体"/>
                      <w:color w:val="auto"/>
                      <w:sz w:val="21"/>
                      <w:szCs w:val="21"/>
                      <w:highlight w:val="none"/>
                    </w:rPr>
                    <w:t>项目</w:t>
                  </w:r>
                  <w:r>
                    <w:rPr>
                      <w:rFonts w:hint="eastAsia" w:eastAsia="宋体"/>
                      <w:color w:val="auto"/>
                      <w:sz w:val="21"/>
                      <w:szCs w:val="21"/>
                      <w:highlight w:val="none"/>
                      <w:lang w:val="en-US" w:eastAsia="zh-CN"/>
                    </w:rPr>
                    <w:t>挤出</w:t>
                  </w:r>
                  <w:r>
                    <w:rPr>
                      <w:rFonts w:hint="eastAsia" w:eastAsia="宋体"/>
                      <w:color w:val="auto"/>
                      <w:sz w:val="21"/>
                      <w:szCs w:val="21"/>
                      <w:highlight w:val="none"/>
                    </w:rPr>
                    <w:t>成型有机废气经半密闭集气罩收集后采用二级活性炭吸附装置处理后通过18m排气筒（DA001）排放。</w:t>
                  </w:r>
                </w:p>
                <w:p>
                  <w:pPr>
                    <w:rPr>
                      <w:color w:val="auto"/>
                      <w:sz w:val="21"/>
                      <w:szCs w:val="21"/>
                      <w:highlight w:val="none"/>
                    </w:rPr>
                  </w:pPr>
                  <w:r>
                    <w:rPr>
                      <w:color w:val="auto"/>
                      <w:sz w:val="21"/>
                      <w:szCs w:val="21"/>
                      <w:highlight w:val="none"/>
                    </w:rPr>
                    <w:t>本项目</w:t>
                  </w:r>
                  <w:r>
                    <w:rPr>
                      <w:rFonts w:hint="eastAsia"/>
                      <w:color w:val="auto"/>
                      <w:sz w:val="21"/>
                      <w:szCs w:val="21"/>
                      <w:highlight w:val="none"/>
                    </w:rPr>
                    <w:t>有机</w:t>
                  </w:r>
                  <w:r>
                    <w:rPr>
                      <w:color w:val="auto"/>
                      <w:sz w:val="21"/>
                      <w:szCs w:val="21"/>
                      <w:highlight w:val="none"/>
                    </w:rPr>
                    <w:t>废气经处理后可以达标排放，且排放总量低，不会对区域大气环境质量造成明显</w:t>
                  </w:r>
                  <w:r>
                    <w:rPr>
                      <w:rFonts w:hint="eastAsia"/>
                      <w:color w:val="auto"/>
                      <w:sz w:val="21"/>
                      <w:szCs w:val="21"/>
                      <w:highlight w:val="none"/>
                    </w:rPr>
                    <w:t>影响。</w:t>
                  </w:r>
                </w:p>
              </w:tc>
              <w:tc>
                <w:tcPr>
                  <w:tcW w:w="564"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6"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4</w:t>
                  </w:r>
                </w:p>
              </w:tc>
              <w:tc>
                <w:tcPr>
                  <w:tcW w:w="1683" w:type="pct"/>
                  <w:tcMar>
                    <w:top w:w="0" w:type="dxa"/>
                    <w:left w:w="0" w:type="dxa"/>
                    <w:bottom w:w="0" w:type="dxa"/>
                    <w:right w:w="0" w:type="dxa"/>
                  </w:tcMar>
                  <w:vAlign w:val="center"/>
                </w:tcPr>
                <w:p>
                  <w:pPr>
                    <w:rPr>
                      <w:color w:val="auto"/>
                      <w:sz w:val="21"/>
                      <w:szCs w:val="21"/>
                      <w:highlight w:val="none"/>
                    </w:rPr>
                  </w:pPr>
                  <w:r>
                    <w:rPr>
                      <w:color w:val="auto"/>
                      <w:sz w:val="21"/>
                      <w:szCs w:val="21"/>
                      <w:highlight w:val="none"/>
                    </w:rPr>
                    <w:t>与钱资荡生态红线区边界邻近2000米内布置为污染程度低的工业项目。</w:t>
                  </w:r>
                </w:p>
              </w:tc>
              <w:tc>
                <w:tcPr>
                  <w:tcW w:w="2325" w:type="pct"/>
                  <w:tcMar>
                    <w:top w:w="0" w:type="dxa"/>
                    <w:left w:w="0" w:type="dxa"/>
                    <w:bottom w:w="0" w:type="dxa"/>
                    <w:right w:w="0" w:type="dxa"/>
                  </w:tcMar>
                  <w:vAlign w:val="center"/>
                </w:tcPr>
                <w:p>
                  <w:pPr>
                    <w:rPr>
                      <w:color w:val="auto"/>
                      <w:sz w:val="21"/>
                      <w:szCs w:val="21"/>
                      <w:highlight w:val="none"/>
                    </w:rPr>
                  </w:pPr>
                  <w:r>
                    <w:rPr>
                      <w:color w:val="auto"/>
                      <w:sz w:val="21"/>
                      <w:szCs w:val="21"/>
                      <w:highlight w:val="none"/>
                    </w:rPr>
                    <w:t>本项目距离钱资荡生态红线区边界</w:t>
                  </w:r>
                  <w:r>
                    <w:rPr>
                      <w:rFonts w:hint="eastAsia"/>
                      <w:color w:val="auto"/>
                      <w:sz w:val="21"/>
                      <w:szCs w:val="21"/>
                      <w:highlight w:val="none"/>
                    </w:rPr>
                    <w:t>7540</w:t>
                  </w:r>
                  <w:r>
                    <w:rPr>
                      <w:color w:val="auto"/>
                      <w:sz w:val="21"/>
                      <w:szCs w:val="21"/>
                      <w:highlight w:val="none"/>
                    </w:rPr>
                    <w:t>米，且项目污染程度较低。</w:t>
                  </w:r>
                </w:p>
              </w:tc>
              <w:tc>
                <w:tcPr>
                  <w:tcW w:w="564"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相符</w:t>
                  </w:r>
                </w:p>
              </w:tc>
            </w:tr>
          </w:tbl>
          <w:p>
            <w:pPr>
              <w:autoSpaceDE w:val="0"/>
              <w:autoSpaceDN w:val="0"/>
              <w:adjustRightInd w:val="0"/>
              <w:snapToGrid w:val="0"/>
              <w:spacing w:before="120" w:beforeLines="50" w:line="360" w:lineRule="auto"/>
              <w:ind w:firstLine="420" w:firstLineChars="200"/>
              <w:rPr>
                <w:color w:val="auto"/>
                <w:kern w:val="0"/>
                <w:sz w:val="21"/>
                <w:szCs w:val="21"/>
                <w:highlight w:val="none"/>
              </w:rPr>
            </w:pPr>
            <w:r>
              <w:rPr>
                <w:rFonts w:hint="eastAsia"/>
                <w:color w:val="auto"/>
                <w:kern w:val="0"/>
                <w:sz w:val="21"/>
                <w:szCs w:val="21"/>
                <w:highlight w:val="none"/>
              </w:rPr>
              <w:t>综上，</w:t>
            </w:r>
            <w:r>
              <w:rPr>
                <w:color w:val="auto"/>
                <w:kern w:val="0"/>
                <w:sz w:val="21"/>
                <w:szCs w:val="21"/>
                <w:highlight w:val="none"/>
              </w:rPr>
              <w:t>本项目与规划要求相符。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087" w:type="dxa"/>
            <w:vAlign w:val="center"/>
          </w:tcPr>
          <w:p>
            <w:pPr>
              <w:autoSpaceDE w:val="0"/>
              <w:autoSpaceDN w:val="0"/>
              <w:adjustRightInd w:val="0"/>
              <w:snapToGrid w:val="0"/>
              <w:jc w:val="center"/>
              <w:rPr>
                <w:color w:val="auto"/>
                <w:kern w:val="0"/>
                <w:sz w:val="21"/>
                <w:szCs w:val="21"/>
                <w:highlight w:val="none"/>
              </w:rPr>
            </w:pPr>
            <w:r>
              <w:rPr>
                <w:color w:val="auto"/>
                <w:kern w:val="0"/>
                <w:sz w:val="21"/>
                <w:szCs w:val="21"/>
                <w:highlight w:val="none"/>
              </w:rPr>
              <w:t>其他符合性分析</w:t>
            </w:r>
          </w:p>
        </w:tc>
        <w:tc>
          <w:tcPr>
            <w:tcW w:w="7783" w:type="dxa"/>
            <w:gridSpan w:val="3"/>
            <w:vAlign w:val="center"/>
          </w:tcPr>
          <w:p>
            <w:pPr>
              <w:spacing w:line="360" w:lineRule="auto"/>
              <w:ind w:firstLine="422" w:firstLineChars="200"/>
              <w:rPr>
                <w:b/>
                <w:bCs/>
                <w:color w:val="auto"/>
                <w:sz w:val="21"/>
                <w:szCs w:val="21"/>
                <w:highlight w:val="none"/>
              </w:rPr>
            </w:pPr>
            <w:r>
              <w:rPr>
                <w:b/>
                <w:bCs/>
                <w:color w:val="auto"/>
                <w:sz w:val="21"/>
                <w:szCs w:val="21"/>
                <w:highlight w:val="none"/>
              </w:rPr>
              <w:t>1、选址合理性分析</w:t>
            </w:r>
          </w:p>
          <w:p>
            <w:pPr>
              <w:spacing w:line="360" w:lineRule="auto"/>
              <w:ind w:firstLine="420" w:firstLineChars="200"/>
              <w:rPr>
                <w:color w:val="auto"/>
                <w:sz w:val="21"/>
                <w:szCs w:val="21"/>
                <w:highlight w:val="none"/>
              </w:rPr>
            </w:pPr>
            <w:r>
              <w:rPr>
                <w:color w:val="auto"/>
                <w:sz w:val="21"/>
                <w:szCs w:val="21"/>
                <w:highlight w:val="none"/>
              </w:rPr>
              <w:t>本项目厂区位于</w:t>
            </w:r>
            <w:r>
              <w:rPr>
                <w:rFonts w:hint="eastAsia"/>
                <w:color w:val="auto"/>
                <w:sz w:val="21"/>
                <w:szCs w:val="21"/>
                <w:highlight w:val="none"/>
              </w:rPr>
              <w:t>江苏省金坛经济开发区汇福路3号，</w:t>
            </w:r>
            <w:r>
              <w:rPr>
                <w:color w:val="auto"/>
                <w:sz w:val="21"/>
                <w:szCs w:val="21"/>
                <w:highlight w:val="none"/>
              </w:rPr>
              <w:t>项目不属于《限制用地项目目录（2012年本）》、《禁止用地项目目录（2012年本）》、《江苏省限制用地项目目录（2013年本）》及《江苏省禁止用地项目目录（2013年本）》中的限制和禁止用地项目，且项目周边范围内无矿床、文物古迹和军事设施达到环保准入、投入强度、消防安全等相关规定，因此，本项目选址合理。</w:t>
            </w:r>
          </w:p>
          <w:p>
            <w:pPr>
              <w:spacing w:line="360" w:lineRule="auto"/>
              <w:ind w:firstLine="420" w:firstLineChars="200"/>
              <w:rPr>
                <w:color w:val="auto"/>
                <w:sz w:val="21"/>
                <w:szCs w:val="21"/>
                <w:highlight w:val="none"/>
              </w:rPr>
            </w:pPr>
            <w:r>
              <w:rPr>
                <w:color w:val="auto"/>
                <w:sz w:val="21"/>
                <w:szCs w:val="21"/>
                <w:highlight w:val="none"/>
              </w:rPr>
              <w:t>根据《</w:t>
            </w:r>
            <w:r>
              <w:rPr>
                <w:rFonts w:hint="eastAsia"/>
                <w:color w:val="auto"/>
                <w:sz w:val="21"/>
                <w:szCs w:val="21"/>
                <w:highlight w:val="none"/>
              </w:rPr>
              <w:t>江苏金坛经济开发区控制性详细规划</w:t>
            </w:r>
            <w:r>
              <w:rPr>
                <w:color w:val="auto"/>
                <w:sz w:val="21"/>
                <w:szCs w:val="21"/>
                <w:highlight w:val="none"/>
              </w:rPr>
              <w:t>》中土地利用规划图，本项目所在地为二类工业用地，与用地规划相符。</w:t>
            </w:r>
          </w:p>
          <w:p>
            <w:pPr>
              <w:spacing w:line="360" w:lineRule="auto"/>
              <w:ind w:firstLine="422" w:firstLineChars="200"/>
              <w:rPr>
                <w:b/>
                <w:bCs/>
                <w:color w:val="auto"/>
                <w:sz w:val="21"/>
                <w:szCs w:val="21"/>
                <w:highlight w:val="none"/>
              </w:rPr>
            </w:pPr>
            <w:r>
              <w:rPr>
                <w:b/>
                <w:bCs/>
                <w:color w:val="auto"/>
                <w:sz w:val="21"/>
                <w:szCs w:val="21"/>
                <w:highlight w:val="none"/>
              </w:rPr>
              <w:t>综上，本项目选址符合区域总体规划。</w:t>
            </w:r>
          </w:p>
          <w:p>
            <w:pPr>
              <w:pStyle w:val="37"/>
              <w:spacing w:line="360" w:lineRule="auto"/>
              <w:ind w:firstLine="482"/>
              <w:rPr>
                <w:rFonts w:eastAsia="宋体"/>
                <w:b/>
                <w:bCs/>
                <w:color w:val="auto"/>
                <w:sz w:val="21"/>
                <w:szCs w:val="21"/>
                <w:highlight w:val="none"/>
              </w:rPr>
            </w:pPr>
            <w:r>
              <w:rPr>
                <w:rFonts w:eastAsia="宋体"/>
                <w:b/>
                <w:bCs/>
                <w:color w:val="auto"/>
                <w:sz w:val="21"/>
                <w:szCs w:val="21"/>
                <w:highlight w:val="none"/>
              </w:rPr>
              <w:t>2、与产业政策相符性</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color w:val="auto"/>
                <w:sz w:val="21"/>
                <w:szCs w:val="21"/>
                <w:highlight w:val="none"/>
              </w:rPr>
            </w:pPr>
            <w:r>
              <w:rPr>
                <w:color w:val="auto"/>
                <w:sz w:val="21"/>
                <w:szCs w:val="21"/>
                <w:highlight w:val="none"/>
              </w:rPr>
              <w:t>本项目从事</w:t>
            </w:r>
            <w:r>
              <w:rPr>
                <w:rFonts w:hint="eastAsia"/>
                <w:color w:val="auto"/>
                <w:sz w:val="21"/>
                <w:szCs w:val="21"/>
                <w:highlight w:val="none"/>
              </w:rPr>
              <w:t>包装材料的生产</w:t>
            </w:r>
            <w:r>
              <w:rPr>
                <w:color w:val="auto"/>
                <w:sz w:val="21"/>
                <w:szCs w:val="21"/>
                <w:highlight w:val="none"/>
              </w:rPr>
              <w:t>，行业类别为</w:t>
            </w:r>
            <w:r>
              <w:rPr>
                <w:rFonts w:hint="eastAsia"/>
                <w:color w:val="auto"/>
                <w:sz w:val="21"/>
                <w:szCs w:val="21"/>
                <w:highlight w:val="none"/>
              </w:rPr>
              <w:t>C2929塑料零件及其他塑料制品制造</w:t>
            </w:r>
            <w:r>
              <w:rPr>
                <w:color w:val="auto"/>
                <w:sz w:val="21"/>
                <w:szCs w:val="21"/>
                <w:highlight w:val="none"/>
              </w:rPr>
              <w:t>，对照《产业结构调整指导目录（20</w:t>
            </w:r>
            <w:r>
              <w:rPr>
                <w:rFonts w:hint="eastAsia"/>
                <w:color w:val="auto"/>
                <w:sz w:val="21"/>
                <w:szCs w:val="21"/>
                <w:highlight w:val="none"/>
                <w:lang w:val="en-US" w:eastAsia="zh-CN"/>
              </w:rPr>
              <w:t>19年本</w:t>
            </w:r>
            <w:r>
              <w:rPr>
                <w:color w:val="auto"/>
                <w:sz w:val="21"/>
                <w:szCs w:val="21"/>
                <w:highlight w:val="none"/>
              </w:rPr>
              <w:t>）》，本项目不属于其限制类或淘汰类项目，属于允许建设项目；</w:t>
            </w:r>
            <w:r>
              <w:rPr>
                <w:rFonts w:hint="eastAsia"/>
                <w:color w:val="auto"/>
                <w:sz w:val="21"/>
                <w:szCs w:val="21"/>
                <w:highlight w:val="none"/>
              </w:rPr>
              <w:t>不属于《江苏省产业结构调整限制、淘汰和禁止目录》（苏办发[2018]32号）中限制、淘汰和禁止项目；</w:t>
            </w:r>
            <w:r>
              <w:rPr>
                <w:color w:val="auto"/>
                <w:sz w:val="21"/>
                <w:szCs w:val="21"/>
                <w:highlight w:val="none"/>
              </w:rPr>
              <w:t>也不属于其他相关法律法规要求淘汰和限制的项目，符合国家和地方产业政策。</w:t>
            </w:r>
          </w:p>
          <w:p>
            <w:pPr>
              <w:keepNext w:val="0"/>
              <w:keepLines w:val="0"/>
              <w:pageBreakBefore w:val="0"/>
              <w:kinsoku/>
              <w:wordWrap/>
              <w:overflowPunct/>
              <w:topLinePunct w:val="0"/>
              <w:autoSpaceDE/>
              <w:autoSpaceDN/>
              <w:bidi w:val="0"/>
              <w:adjustRightInd w:val="0"/>
              <w:snapToGrid w:val="0"/>
              <w:spacing w:line="360" w:lineRule="auto"/>
              <w:ind w:firstLine="396" w:firstLineChars="200"/>
              <w:textAlignment w:val="auto"/>
              <w:rPr>
                <w:color w:val="auto"/>
                <w:spacing w:val="-6"/>
                <w:sz w:val="21"/>
                <w:szCs w:val="21"/>
                <w:highlight w:val="none"/>
              </w:rPr>
            </w:pPr>
            <w:r>
              <w:rPr>
                <w:color w:val="auto"/>
                <w:spacing w:val="-6"/>
                <w:sz w:val="21"/>
                <w:szCs w:val="21"/>
                <w:highlight w:val="none"/>
              </w:rPr>
              <w:t>本项目已于202</w:t>
            </w:r>
            <w:r>
              <w:rPr>
                <w:rFonts w:hint="eastAsia"/>
                <w:color w:val="auto"/>
                <w:spacing w:val="-6"/>
                <w:sz w:val="21"/>
                <w:szCs w:val="21"/>
                <w:highlight w:val="none"/>
              </w:rPr>
              <w:t>2</w:t>
            </w:r>
            <w:r>
              <w:rPr>
                <w:color w:val="auto"/>
                <w:spacing w:val="-6"/>
                <w:sz w:val="21"/>
                <w:szCs w:val="21"/>
                <w:highlight w:val="none"/>
              </w:rPr>
              <w:t>年</w:t>
            </w:r>
            <w:r>
              <w:rPr>
                <w:rFonts w:hint="eastAsia"/>
                <w:color w:val="auto"/>
                <w:spacing w:val="-6"/>
                <w:sz w:val="21"/>
                <w:szCs w:val="21"/>
                <w:highlight w:val="none"/>
              </w:rPr>
              <w:t>10</w:t>
            </w:r>
            <w:r>
              <w:rPr>
                <w:color w:val="auto"/>
                <w:spacing w:val="-6"/>
                <w:sz w:val="21"/>
                <w:szCs w:val="21"/>
                <w:highlight w:val="none"/>
              </w:rPr>
              <w:t>月</w:t>
            </w:r>
            <w:r>
              <w:rPr>
                <w:rFonts w:hint="eastAsia"/>
                <w:color w:val="auto"/>
                <w:spacing w:val="-6"/>
                <w:sz w:val="21"/>
                <w:szCs w:val="21"/>
                <w:highlight w:val="none"/>
              </w:rPr>
              <w:t>13</w:t>
            </w:r>
            <w:r>
              <w:rPr>
                <w:color w:val="auto"/>
                <w:spacing w:val="-6"/>
                <w:sz w:val="21"/>
                <w:szCs w:val="21"/>
                <w:highlight w:val="none"/>
              </w:rPr>
              <w:t>日取得江苏省金坛经济开发区</w:t>
            </w:r>
            <w:r>
              <w:rPr>
                <w:rFonts w:hint="eastAsia"/>
                <w:color w:val="auto"/>
                <w:spacing w:val="-6"/>
                <w:sz w:val="21"/>
                <w:szCs w:val="21"/>
                <w:highlight w:val="none"/>
              </w:rPr>
              <w:t>经济发展局</w:t>
            </w:r>
            <w:r>
              <w:rPr>
                <w:color w:val="auto"/>
                <w:spacing w:val="-6"/>
                <w:sz w:val="21"/>
                <w:szCs w:val="21"/>
                <w:highlight w:val="none"/>
              </w:rPr>
              <w:t>备案，并准予开展有关工作。</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imes New Roman" w:hAnsi="Times New Roman" w:eastAsia="宋体" w:cs="Times New Roman"/>
                <w:color w:val="auto"/>
                <w:sz w:val="21"/>
                <w:szCs w:val="21"/>
                <w:lang w:val="en-US" w:eastAsia="zh-CN"/>
              </w:rPr>
            </w:pPr>
            <w:r>
              <w:rPr>
                <w:rFonts w:ascii="Times New Roman" w:hAnsi="Times New Roman" w:eastAsia="宋体" w:cs="Times New Roman"/>
                <w:color w:val="auto"/>
                <w:sz w:val="21"/>
                <w:szCs w:val="21"/>
                <w:lang w:val="en-US" w:eastAsia="zh-CN"/>
              </w:rPr>
              <w:t>与</w:t>
            </w:r>
            <w:r>
              <w:rPr>
                <w:rFonts w:hint="eastAsia"/>
                <w:color w:val="auto"/>
                <w:lang w:val="en-US" w:eastAsia="zh-CN"/>
              </w:rPr>
              <w:t>《省生态环境厅关于报送高耗能、高排放项目清单的通知》（苏环便函〔2021〕903号）</w:t>
            </w:r>
            <w:r>
              <w:rPr>
                <w:rFonts w:hint="eastAsia" w:ascii="Times New Roman" w:hAnsi="Times New Roman" w:eastAsia="宋体" w:cs="Times New Roman"/>
                <w:color w:val="auto"/>
                <w:sz w:val="21"/>
                <w:szCs w:val="21"/>
                <w:lang w:val="en-US" w:eastAsia="zh-CN"/>
              </w:rPr>
              <w:t>符合性分析如下：</w:t>
            </w:r>
          </w:p>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kern w:val="0"/>
                <w:sz w:val="21"/>
                <w:szCs w:val="21"/>
                <w:lang w:val="en-US" w:eastAsia="zh-CN" w:bidi="ar"/>
              </w:rPr>
              <w:t>表</w:t>
            </w:r>
            <w:r>
              <w:rPr>
                <w:rFonts w:hint="eastAsia" w:ascii="Times New Roman" w:hAnsi="Times New Roman" w:eastAsia="宋体" w:cs="Times New Roman"/>
                <w:b/>
                <w:bCs/>
                <w:color w:val="auto"/>
                <w:kern w:val="0"/>
                <w:sz w:val="21"/>
                <w:szCs w:val="21"/>
                <w:lang w:val="en-US" w:eastAsia="zh-CN" w:bidi="ar"/>
              </w:rPr>
              <w:t xml:space="preserve">1-3 </w:t>
            </w:r>
            <w:r>
              <w:rPr>
                <w:rFonts w:hint="default" w:ascii="Times New Roman" w:hAnsi="Times New Roman" w:eastAsia="宋体" w:cs="Times New Roman"/>
                <w:b/>
                <w:bCs/>
                <w:color w:val="auto"/>
                <w:kern w:val="0"/>
                <w:sz w:val="21"/>
                <w:szCs w:val="21"/>
                <w:lang w:val="en-US" w:eastAsia="zh-CN" w:bidi="ar"/>
              </w:rPr>
              <w:t>与“两高”项目管理目录对照分析</w:t>
            </w:r>
          </w:p>
          <w:tbl>
            <w:tblPr>
              <w:tblStyle w:val="26"/>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380"/>
              <w:gridCol w:w="1256"/>
              <w:gridCol w:w="3560"/>
              <w:gridCol w:w="136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textAlignment w:val="auto"/>
                    <w:rPr>
                      <w:rFonts w:hint="default" w:ascii="Times New Roman" w:hAnsi="Times New Roman" w:eastAsia="宋体" w:cs="Times New Roman"/>
                      <w:b/>
                      <w:bCs/>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行业</w:t>
                  </w: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textAlignment w:val="auto"/>
                    <w:rPr>
                      <w:rFonts w:hint="default" w:ascii="Times New Roman" w:hAnsi="Times New Roman" w:eastAsia="宋体" w:cs="Times New Roman"/>
                      <w:b/>
                      <w:bCs/>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行业代码</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textAlignment w:val="auto"/>
                    <w:rPr>
                      <w:rFonts w:hint="default" w:ascii="Times New Roman" w:hAnsi="Times New Roman" w:eastAsia="宋体" w:cs="Times New Roman"/>
                      <w:b/>
                      <w:bCs/>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国民经济行业分类</w:t>
                  </w:r>
                </w:p>
              </w:tc>
              <w:tc>
                <w:tcPr>
                  <w:tcW w:w="904" w:type="pct"/>
                  <w:tcBorders>
                    <w:tl2br w:val="nil"/>
                    <w:tr2bl w:val="nil"/>
                  </w:tcBorders>
                  <w:noWrap w:val="0"/>
                  <w:vAlign w:val="center"/>
                </w:tcPr>
                <w:p>
                  <w:pPr>
                    <w:autoSpaceDE w:val="0"/>
                    <w:autoSpaceDN w:val="0"/>
                    <w:adjustRightInd w:val="0"/>
                    <w:snapToGrid w:val="0"/>
                    <w:spacing w:line="240" w:lineRule="auto"/>
                    <w:jc w:val="center"/>
                    <w:rPr>
                      <w:rFonts w:hint="default" w:ascii="Times New Roman" w:hAnsi="Times New Roman" w:eastAsia="宋体" w:cs="Times New Roman"/>
                      <w:b/>
                      <w:bCs/>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对照分析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restar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煤电</w:t>
                  </w:r>
                </w:p>
              </w:tc>
              <w:tc>
                <w:tcPr>
                  <w:tcW w:w="83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4411</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火力发电</w:t>
                  </w:r>
                </w:p>
              </w:tc>
              <w:tc>
                <w:tcPr>
                  <w:tcW w:w="904" w:type="pct"/>
                  <w:vMerge w:val="restart"/>
                  <w:tcBorders>
                    <w:tl2br w:val="nil"/>
                    <w:tr2bl w:val="nil"/>
                  </w:tcBorders>
                  <w:noWrap w:val="0"/>
                  <w:vAlign w:val="center"/>
                </w:tcPr>
                <w:p>
                  <w:pPr>
                    <w:autoSpaceDE w:val="0"/>
                    <w:autoSpaceDN w:val="0"/>
                    <w:adjustRightInd w:val="0"/>
                    <w:snapToGrid w:val="0"/>
                    <w:spacing w:line="240" w:lineRule="auto"/>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本项目国民经济行业类别属于</w:t>
                  </w:r>
                  <w:r>
                    <w:rPr>
                      <w:rFonts w:hint="eastAsia"/>
                      <w:color w:val="auto"/>
                      <w:sz w:val="21"/>
                      <w:szCs w:val="21"/>
                      <w:highlight w:val="none"/>
                    </w:rPr>
                    <w:t>C2929塑料零件及其他塑料制品制造</w:t>
                  </w:r>
                  <w:r>
                    <w:rPr>
                      <w:rFonts w:hint="default" w:ascii="Times New Roman" w:hAnsi="Times New Roman" w:eastAsia="宋体" w:cs="Times New Roman"/>
                      <w:color w:val="auto"/>
                      <w:kern w:val="0"/>
                      <w:sz w:val="21"/>
                      <w:szCs w:val="21"/>
                    </w:rPr>
                    <w:t>，不属于江苏省“两高”项目。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4412</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热力联产</w:t>
                  </w:r>
                </w:p>
              </w:tc>
              <w:tc>
                <w:tcPr>
                  <w:tcW w:w="904" w:type="pct"/>
                  <w:vMerge w:val="continue"/>
                  <w:tcBorders>
                    <w:tl2br w:val="nil"/>
                    <w:tr2bl w:val="nil"/>
                  </w:tcBorders>
                  <w:noWrap w:val="0"/>
                  <w:vAlign w:val="center"/>
                </w:tcPr>
                <w:p>
                  <w:pPr>
                    <w:autoSpaceDE w:val="0"/>
                    <w:autoSpaceDN w:val="0"/>
                    <w:adjustRightInd w:val="0"/>
                    <w:snapToGrid w:val="0"/>
                    <w:spacing w:line="360" w:lineRule="auto"/>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4417</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掺烧化石燃料燃烧的生物质能发电</w:t>
                  </w:r>
                </w:p>
              </w:tc>
              <w:tc>
                <w:tcPr>
                  <w:tcW w:w="904" w:type="pct"/>
                  <w:vMerge w:val="continue"/>
                  <w:tcBorders>
                    <w:tl2br w:val="nil"/>
                    <w:tr2bl w:val="nil"/>
                  </w:tcBorders>
                  <w:noWrap w:val="0"/>
                  <w:vAlign w:val="center"/>
                </w:tcPr>
                <w:p>
                  <w:pPr>
                    <w:autoSpaceDE w:val="0"/>
                    <w:autoSpaceDN w:val="0"/>
                    <w:adjustRightInd w:val="0"/>
                    <w:snapToGrid w:val="0"/>
                    <w:spacing w:line="360" w:lineRule="auto"/>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restar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石化</w:t>
                  </w:r>
                </w:p>
              </w:tc>
              <w:tc>
                <w:tcPr>
                  <w:tcW w:w="83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251</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val="en-US" w:eastAsia="zh-CN"/>
                    </w:rPr>
                    <w:t>精炼石油产品制造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252</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val="en-US" w:eastAsia="zh-CN"/>
                    </w:rPr>
                    <w:t>煤炭加工</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7" w:hRule="atLeast"/>
              </w:trPr>
              <w:tc>
                <w:tcPr>
                  <w:tcW w:w="912" w:type="pct"/>
                  <w:vMerge w:val="restar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化工</w:t>
                  </w:r>
                </w:p>
              </w:tc>
              <w:tc>
                <w:tcPr>
                  <w:tcW w:w="83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261</w:t>
                  </w:r>
                </w:p>
              </w:tc>
              <w:tc>
                <w:tcPr>
                  <w:tcW w:w="2352" w:type="pct"/>
                  <w:tcBorders>
                    <w:tl2br w:val="nil"/>
                    <w:tr2bl w:val="nil"/>
                  </w:tcBorders>
                  <w:noWrap w:val="0"/>
                  <w:vAlign w:val="center"/>
                </w:tcPr>
                <w:p>
                  <w:pPr>
                    <w:keepNext w:val="0"/>
                    <w:keepLines w:val="0"/>
                    <w:pageBreakBefore w:val="0"/>
                    <w:widowControl/>
                    <w:suppressLineNumbers w:val="0"/>
                    <w:kinsoku/>
                    <w:wordWrap/>
                    <w:overflowPunct/>
                    <w:topLinePunct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val="en-US" w:eastAsia="zh-CN" w:bidi="ar"/>
                    </w:rPr>
                    <w:t>基础化学原料制造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262</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肥料制造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263</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农药制造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264</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涂料、油墨、颜料及类似产品制造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265</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合成材料制造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266</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专用化学品制造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restar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钢铁</w:t>
                  </w: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311</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炼铁</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312</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炼钢</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restar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有色金属冶炼</w:t>
                  </w: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321</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常用有色金属冶炼</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322</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贵金属冶炼</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323</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稀有稀土金属冶炼</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restar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建材</w:t>
                  </w: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3011</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lang w:val="en-US" w:eastAsia="zh-CN"/>
                    </w:rPr>
                    <w:t>水泥制造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3012</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石灰和石膏制造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3031</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粘土砖瓦及建筑砌块制造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3041</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平板玻璃制造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3061</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玻璃纤维及制品制造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3071</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建筑陶瓷制品制造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3089</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耐火陶瓷制品及其他耐火材料制造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restar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造纸</w:t>
                  </w: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2211</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木竹浆制造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2212</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非木竹浆制造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2221</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机制纸及纸板制造</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restart"/>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纺织印染</w:t>
                  </w: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1713</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棉印染精加工</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1723</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毛染整精加工</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1733</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麻染整精加工</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1743</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丝印染精加工</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12"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jc w:val="center"/>
                    <w:textAlignment w:val="auto"/>
                    <w:rPr>
                      <w:rFonts w:hint="default" w:ascii="Times New Roman" w:hAnsi="Times New Roman" w:eastAsia="宋体" w:cs="Times New Roman"/>
                      <w:color w:val="auto"/>
                      <w:kern w:val="0"/>
                      <w:sz w:val="21"/>
                      <w:szCs w:val="21"/>
                    </w:rPr>
                  </w:pPr>
                </w:p>
              </w:tc>
              <w:tc>
                <w:tcPr>
                  <w:tcW w:w="830"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lang w:val="en-US" w:eastAsia="zh-CN"/>
                    </w:rPr>
                    <w:t>1752</w:t>
                  </w:r>
                </w:p>
              </w:tc>
              <w:tc>
                <w:tcPr>
                  <w:tcW w:w="23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化纤织物染整精加工</w:t>
                  </w:r>
                </w:p>
              </w:tc>
              <w:tc>
                <w:tcPr>
                  <w:tcW w:w="904" w:type="pct"/>
                  <w:vMerge w:val="continue"/>
                  <w:tcBorders>
                    <w:tl2br w:val="nil"/>
                    <w:tr2bl w:val="nil"/>
                  </w:tcBorders>
                  <w:noWrap w:val="0"/>
                  <w:vAlign w:val="center"/>
                </w:tcPr>
                <w:p>
                  <w:pPr>
                    <w:autoSpaceDE w:val="0"/>
                    <w:autoSpaceDN w:val="0"/>
                    <w:adjustRightInd w:val="0"/>
                    <w:snapToGrid w:val="0"/>
                    <w:jc w:val="center"/>
                    <w:rPr>
                      <w:rFonts w:hint="default" w:ascii="Times New Roman" w:hAnsi="Times New Roman" w:eastAsia="宋体" w:cs="Times New Roman"/>
                      <w:color w:val="auto"/>
                      <w:kern w:val="0"/>
                      <w:sz w:val="21"/>
                      <w:szCs w:val="21"/>
                    </w:rPr>
                  </w:pPr>
                </w:p>
              </w:tc>
            </w:tr>
          </w:tbl>
          <w:p>
            <w:pPr>
              <w:pStyle w:val="5"/>
              <w:keepNext/>
              <w:keepLines/>
              <w:pageBreakBefore w:val="0"/>
              <w:widowControl w:val="0"/>
              <w:numPr>
                <w:ilvl w:val="2"/>
                <w:numId w:val="0"/>
              </w:numPr>
              <w:kinsoku/>
              <w:wordWrap/>
              <w:overflowPunct/>
              <w:topLinePunct w:val="0"/>
              <w:autoSpaceDE/>
              <w:autoSpaceDN/>
              <w:bidi w:val="0"/>
              <w:adjustRightInd/>
              <w:snapToGrid/>
              <w:spacing w:before="157" w:beforeLines="50" w:after="0" w:line="360" w:lineRule="auto"/>
              <w:ind w:firstLine="420" w:firstLineChars="200"/>
              <w:textAlignment w:val="auto"/>
              <w:rPr>
                <w:color w:val="auto"/>
              </w:rPr>
            </w:pPr>
            <w:r>
              <w:rPr>
                <w:rFonts w:hint="eastAsia" w:ascii="Times New Roman" w:hAnsi="Times New Roman" w:eastAsia="宋体" w:cs="Times New Roman"/>
                <w:b w:val="0"/>
                <w:color w:val="auto"/>
                <w:kern w:val="2"/>
                <w:sz w:val="21"/>
                <w:szCs w:val="21"/>
                <w:lang w:val="en-US" w:eastAsia="zh-CN" w:bidi="ar-SA"/>
              </w:rPr>
              <w:t>根据上表可知，</w:t>
            </w:r>
            <w:r>
              <w:rPr>
                <w:rFonts w:hint="eastAsia" w:ascii="Times New Roman" w:hAnsi="Times New Roman" w:eastAsia="宋体" w:cs="Times New Roman"/>
                <w:b w:val="0"/>
                <w:bCs w:val="0"/>
                <w:color w:val="auto"/>
                <w:kern w:val="2"/>
                <w:sz w:val="21"/>
                <w:szCs w:val="21"/>
                <w:lang w:val="en-US" w:eastAsia="zh-CN" w:bidi="ar-SA"/>
              </w:rPr>
              <w:t>本项目的产品为</w:t>
            </w:r>
            <w:r>
              <w:rPr>
                <w:rFonts w:hint="eastAsia" w:cs="Times New Roman"/>
                <w:b w:val="0"/>
                <w:bCs w:val="0"/>
                <w:color w:val="auto"/>
                <w:kern w:val="2"/>
                <w:sz w:val="21"/>
                <w:szCs w:val="21"/>
                <w:lang w:val="en-US" w:eastAsia="zh-CN" w:bidi="ar-SA"/>
              </w:rPr>
              <w:t>包装材料</w:t>
            </w:r>
            <w:r>
              <w:rPr>
                <w:rFonts w:hint="eastAsia" w:ascii="Times New Roman" w:hAnsi="Times New Roman" w:eastAsia="宋体" w:cs="Times New Roman"/>
                <w:b w:val="0"/>
                <w:bCs w:val="0"/>
                <w:color w:val="auto"/>
                <w:kern w:val="2"/>
                <w:sz w:val="21"/>
                <w:szCs w:val="21"/>
                <w:lang w:val="en-US" w:eastAsia="zh-CN" w:bidi="ar-SA"/>
              </w:rPr>
              <w:t>，国民经济行业类别属于“</w:t>
            </w:r>
            <w:r>
              <w:rPr>
                <w:rFonts w:eastAsia="方正仿宋_GBK"/>
                <w:b w:val="0"/>
                <w:bCs w:val="0"/>
                <w:color w:val="auto"/>
                <w:sz w:val="21"/>
                <w:szCs w:val="21"/>
                <w:highlight w:val="none"/>
              </w:rPr>
              <w:t>C2929 塑料零件及其他塑料制品制造</w:t>
            </w:r>
            <w:r>
              <w:rPr>
                <w:rFonts w:hint="eastAsia" w:ascii="Times New Roman" w:hAnsi="Times New Roman" w:eastAsia="宋体" w:cs="Times New Roman"/>
                <w:b w:val="0"/>
                <w:bCs w:val="0"/>
                <w:color w:val="auto"/>
                <w:kern w:val="2"/>
                <w:sz w:val="21"/>
                <w:szCs w:val="21"/>
                <w:lang w:val="en-US" w:eastAsia="zh-CN" w:bidi="ar-SA"/>
              </w:rPr>
              <w:t>”，</w:t>
            </w:r>
            <w:r>
              <w:rPr>
                <w:rFonts w:hint="eastAsia" w:ascii="Times New Roman" w:hAnsi="Times New Roman" w:eastAsia="宋体" w:cs="Times New Roman"/>
                <w:b w:val="0"/>
                <w:color w:val="auto"/>
                <w:kern w:val="2"/>
                <w:sz w:val="21"/>
                <w:szCs w:val="21"/>
                <w:lang w:val="en-US" w:eastAsia="zh-CN" w:bidi="ar-SA"/>
              </w:rPr>
              <w:t>不属于江苏省“两高”项目。</w:t>
            </w:r>
          </w:p>
          <w:p>
            <w:pPr>
              <w:pStyle w:val="37"/>
              <w:spacing w:line="360" w:lineRule="auto"/>
              <w:ind w:firstLine="482"/>
              <w:rPr>
                <w:rFonts w:eastAsia="宋体"/>
                <w:b/>
                <w:bCs/>
                <w:color w:val="auto"/>
                <w:sz w:val="21"/>
                <w:szCs w:val="21"/>
                <w:highlight w:val="none"/>
              </w:rPr>
            </w:pPr>
            <w:r>
              <w:rPr>
                <w:rFonts w:eastAsia="宋体"/>
                <w:b/>
                <w:bCs/>
                <w:color w:val="auto"/>
                <w:sz w:val="21"/>
                <w:szCs w:val="21"/>
                <w:highlight w:val="none"/>
              </w:rPr>
              <w:t>3、三线一单相符性分析</w:t>
            </w:r>
          </w:p>
          <w:p>
            <w:pPr>
              <w:pStyle w:val="39"/>
              <w:adjustRightInd w:val="0"/>
              <w:snapToGrid w:val="0"/>
              <w:ind w:firstLine="482"/>
              <w:rPr>
                <w:b/>
                <w:bCs/>
                <w:color w:val="auto"/>
                <w:kern w:val="2"/>
                <w:sz w:val="21"/>
                <w:szCs w:val="21"/>
                <w:highlight w:val="none"/>
              </w:rPr>
            </w:pPr>
            <w:r>
              <w:rPr>
                <w:b/>
                <w:bCs/>
                <w:color w:val="auto"/>
                <w:kern w:val="2"/>
                <w:sz w:val="21"/>
                <w:szCs w:val="21"/>
                <w:highlight w:val="none"/>
              </w:rPr>
              <w:t>（1）与生态红线区域保护规划的相符性</w:t>
            </w:r>
          </w:p>
          <w:p>
            <w:pPr>
              <w:pStyle w:val="39"/>
              <w:adjustRightInd w:val="0"/>
              <w:snapToGrid w:val="0"/>
              <w:spacing w:line="360" w:lineRule="auto"/>
              <w:ind w:firstLine="480"/>
              <w:rPr>
                <w:rFonts w:hint="eastAsia"/>
                <w:color w:val="auto"/>
                <w:sz w:val="21"/>
                <w:szCs w:val="21"/>
                <w:highlight w:val="none"/>
              </w:rPr>
            </w:pPr>
            <w:r>
              <w:rPr>
                <w:color w:val="auto"/>
                <w:sz w:val="21"/>
                <w:szCs w:val="21"/>
                <w:highlight w:val="none"/>
              </w:rPr>
              <w:t>根据《省政府关于印发江苏省生态空间管控区域规划的通知》（苏政发[2020]1号）和《江苏省国家级生态保护红线规划》（苏政发[2018]74号），</w:t>
            </w:r>
            <w:r>
              <w:rPr>
                <w:rFonts w:hint="eastAsia"/>
                <w:color w:val="auto"/>
                <w:sz w:val="21"/>
                <w:szCs w:val="21"/>
                <w:highlight w:val="none"/>
              </w:rPr>
              <w:t>对照江苏省生态空间保护区域分布图，项目建设区域与国家级生态保护红线范围及江苏省生态空间管控区域范围均无交集，不涉及金坛区内的生态红线区域，不会导致金坛区辖区内生态红线区域服务功能下降，故本项目的建设符合《江苏省生态空间管控区域规划》（苏政发[2020]1号）和《江苏省国家级生态保护红线规划》（苏政发[2018]74号）相关要求。</w:t>
            </w:r>
          </w:p>
          <w:p>
            <w:pPr>
              <w:pStyle w:val="39"/>
              <w:adjustRightInd w:val="0"/>
              <w:snapToGrid w:val="0"/>
              <w:spacing w:line="360" w:lineRule="auto"/>
              <w:ind w:firstLine="480"/>
              <w:rPr>
                <w:b/>
                <w:bCs/>
                <w:color w:val="auto"/>
                <w:kern w:val="2"/>
                <w:sz w:val="21"/>
                <w:szCs w:val="21"/>
                <w:highlight w:val="none"/>
              </w:rPr>
            </w:pPr>
            <w:r>
              <w:rPr>
                <w:b/>
                <w:bCs/>
                <w:color w:val="auto"/>
                <w:kern w:val="2"/>
                <w:sz w:val="21"/>
                <w:szCs w:val="21"/>
                <w:highlight w:val="none"/>
              </w:rPr>
              <w:t>（2）环境质量底线相符性</w:t>
            </w:r>
          </w:p>
          <w:p>
            <w:pPr>
              <w:spacing w:line="360" w:lineRule="auto"/>
              <w:ind w:firstLine="420" w:firstLineChars="200"/>
              <w:jc w:val="both"/>
              <w:rPr>
                <w:rFonts w:hint="eastAsia"/>
                <w:color w:val="auto"/>
                <w:sz w:val="21"/>
                <w:szCs w:val="21"/>
                <w:highlight w:val="none"/>
                <w:lang w:val="en-US" w:eastAsia="zh-CN"/>
              </w:rPr>
            </w:pPr>
            <w:r>
              <w:rPr>
                <w:rFonts w:hint="eastAsia"/>
                <w:color w:val="auto"/>
                <w:sz w:val="21"/>
                <w:szCs w:val="21"/>
                <w:highlight w:val="none"/>
              </w:rPr>
              <w:t>环境空气：根据《202</w:t>
            </w:r>
            <w:r>
              <w:rPr>
                <w:rFonts w:hint="eastAsia"/>
                <w:color w:val="auto"/>
                <w:sz w:val="21"/>
                <w:szCs w:val="21"/>
                <w:highlight w:val="none"/>
                <w:lang w:val="en-US" w:eastAsia="zh-CN"/>
              </w:rPr>
              <w:t>2</w:t>
            </w:r>
            <w:r>
              <w:rPr>
                <w:rFonts w:hint="eastAsia"/>
                <w:color w:val="auto"/>
                <w:sz w:val="21"/>
                <w:szCs w:val="21"/>
                <w:highlight w:val="none"/>
              </w:rPr>
              <w:t>年常州市生态环境状况公报》，</w:t>
            </w:r>
            <w:r>
              <w:rPr>
                <w:rFonts w:hint="eastAsia"/>
                <w:color w:val="auto"/>
                <w:sz w:val="21"/>
                <w:szCs w:val="21"/>
                <w:highlight w:val="none"/>
                <w:lang w:val="zh-TW"/>
              </w:rPr>
              <w:t>202</w:t>
            </w:r>
            <w:r>
              <w:rPr>
                <w:rFonts w:hint="eastAsia"/>
                <w:color w:val="auto"/>
                <w:sz w:val="21"/>
                <w:szCs w:val="21"/>
                <w:highlight w:val="none"/>
                <w:lang w:val="en-US" w:eastAsia="zh-CN"/>
              </w:rPr>
              <w:t>2</w:t>
            </w:r>
            <w:r>
              <w:rPr>
                <w:rFonts w:hint="eastAsia"/>
                <w:color w:val="auto"/>
                <w:sz w:val="21"/>
                <w:szCs w:val="21"/>
                <w:highlight w:val="none"/>
                <w:lang w:val="zh-TW"/>
              </w:rPr>
              <w:t>年，全市空气质量优良天数28</w:t>
            </w:r>
            <w:r>
              <w:rPr>
                <w:rFonts w:hint="eastAsia"/>
                <w:color w:val="auto"/>
                <w:sz w:val="21"/>
                <w:szCs w:val="21"/>
                <w:highlight w:val="none"/>
                <w:lang w:val="en-US" w:eastAsia="zh-CN"/>
              </w:rPr>
              <w:t>1</w:t>
            </w:r>
            <w:r>
              <w:rPr>
                <w:rFonts w:hint="eastAsia"/>
                <w:color w:val="auto"/>
                <w:sz w:val="21"/>
                <w:szCs w:val="21"/>
                <w:highlight w:val="none"/>
                <w:lang w:val="zh-TW"/>
              </w:rPr>
              <w:t>天，优良率</w:t>
            </w:r>
            <w:r>
              <w:rPr>
                <w:rFonts w:hint="eastAsia"/>
                <w:color w:val="auto"/>
                <w:sz w:val="21"/>
                <w:szCs w:val="21"/>
                <w:highlight w:val="none"/>
                <w:lang w:val="en-US" w:eastAsia="zh-CN"/>
              </w:rPr>
              <w:t>77</w:t>
            </w:r>
            <w:r>
              <w:rPr>
                <w:rFonts w:hint="eastAsia"/>
                <w:color w:val="auto"/>
                <w:sz w:val="21"/>
                <w:szCs w:val="21"/>
                <w:highlight w:val="none"/>
                <w:lang w:val="zh-TW"/>
              </w:rPr>
              <w:t>%；</w:t>
            </w:r>
            <w:r>
              <w:rPr>
                <w:rFonts w:hint="eastAsia"/>
                <w:color w:val="auto"/>
                <w:sz w:val="21"/>
                <w:szCs w:val="21"/>
                <w:highlight w:val="none"/>
                <w:lang w:val="en-US" w:eastAsia="zh-CN"/>
              </w:rPr>
              <w:t>其中市区空气质量优良天数280天，同比增加1天，优良率为76.7%，同比上升0.3个百分点。</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rFonts w:hint="default" w:ascii="Times New Roman" w:hAnsi="Times New Roman" w:eastAsia="宋体" w:cs="Times New Roman"/>
                <w:color w:val="auto"/>
                <w:sz w:val="21"/>
                <w:szCs w:val="21"/>
                <w:highlight w:val="none"/>
                <w:lang w:val="en-US" w:eastAsia="zh-CN"/>
              </w:rPr>
            </w:pPr>
            <w:r>
              <w:rPr>
                <w:rFonts w:hint="eastAsia"/>
                <w:color w:val="auto"/>
                <w:sz w:val="21"/>
                <w:szCs w:val="21"/>
                <w:highlight w:val="none"/>
                <w:lang w:val="en-US" w:eastAsia="zh-CN"/>
              </w:rPr>
              <w:t>二氧化硫年均值7微克/立方米，同比下降22.2%，低于国家二级标准限值，日均值浓度范围为4~13微克/立方米，日均值达标率为100%。一氧化碳日均值的第95百分位数为1.0毫克/立方米，同比下降9.1%，低于国家二级标准限值，日均值浓度范围为0.4-1.3毫克/立方米，日均值达标率为100%。二氧化氮年均值28微克/立方米，同比下降20.0%，低于国家二级标准限值，日均值浓度范围为8~82微克/立方米，日均值达标率99.5%。</w:t>
            </w:r>
            <w:r>
              <w:rPr>
                <w:rFonts w:hint="eastAsia"/>
                <w:color w:val="auto"/>
                <w:sz w:val="21"/>
                <w:szCs w:val="21"/>
                <w:highlight w:val="none"/>
              </w:rPr>
              <w:t>臭氧的日最大8小时滑动平均值的第90百分位</w:t>
            </w:r>
            <w:r>
              <w:rPr>
                <w:rFonts w:hint="eastAsia"/>
                <w:color w:val="auto"/>
                <w:sz w:val="21"/>
                <w:szCs w:val="21"/>
                <w:highlight w:val="none"/>
                <w:lang w:val="en-US" w:eastAsia="zh-CN"/>
              </w:rPr>
              <w:t>浓度为175微克/立方米，同比上升0.6%，达标率82.5%。可吸入颗粒物年均值为55微克/立方米，同比下</w:t>
            </w:r>
            <w:r>
              <w:rPr>
                <w:rFonts w:hint="default" w:ascii="Times New Roman" w:hAnsi="Times New Roman" w:eastAsia="宋体" w:cs="Times New Roman"/>
                <w:color w:val="auto"/>
                <w:sz w:val="21"/>
                <w:szCs w:val="21"/>
                <w:highlight w:val="none"/>
                <w:lang w:val="en-US" w:eastAsia="zh-CN"/>
              </w:rPr>
              <w:t>降8.3%，低于国家二级标准限值，日均值在13~181微克/立方米之间，日均值达标率为98.6%。细颗粒物年均值33微克/立方米，同比下降5.7%，日均值浓度范围为7~134微克/立方米，日均值达标率为94.6%。</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Style w:val="30"/>
                <w:rFonts w:hint="eastAsia"/>
                <w:color w:val="auto"/>
                <w:highlight w:val="none"/>
                <w:lang w:val="en-US" w:eastAsia="zh-CN"/>
              </w:rPr>
            </w:pPr>
            <w:r>
              <w:rPr>
                <w:rFonts w:hint="default" w:ascii="Times New Roman" w:hAnsi="Times New Roman" w:eastAsia="宋体" w:cs="Times New Roman"/>
                <w:bCs/>
                <w:color w:val="auto"/>
                <w:sz w:val="21"/>
                <w:szCs w:val="21"/>
              </w:rPr>
              <w:t>PM</w:t>
            </w:r>
            <w:r>
              <w:rPr>
                <w:rFonts w:hint="default" w:ascii="Times New Roman" w:hAnsi="Times New Roman" w:eastAsia="宋体" w:cs="Times New Roman"/>
                <w:bCs/>
                <w:color w:val="auto"/>
                <w:sz w:val="21"/>
                <w:szCs w:val="21"/>
                <w:vertAlign w:val="subscript"/>
              </w:rPr>
              <w:t>2.5</w:t>
            </w:r>
            <w:r>
              <w:rPr>
                <w:rFonts w:hint="default" w:ascii="Times New Roman" w:hAnsi="Times New Roman" w:eastAsia="宋体" w:cs="Times New Roman"/>
                <w:bCs/>
                <w:color w:val="auto"/>
                <w:sz w:val="21"/>
                <w:szCs w:val="21"/>
                <w:vertAlign w:val="baseline"/>
                <w:lang w:val="en-US" w:eastAsia="zh-CN"/>
              </w:rPr>
              <w:t>日均浓度值</w:t>
            </w:r>
            <w:r>
              <w:rPr>
                <w:rFonts w:hint="default" w:ascii="Times New Roman" w:hAnsi="Times New Roman" w:eastAsia="宋体" w:cs="Times New Roman"/>
                <w:bCs/>
                <w:color w:val="auto"/>
                <w:sz w:val="21"/>
                <w:szCs w:val="21"/>
              </w:rPr>
              <w:t>和臭氧日最大8小时滑动均值均超过《环境空气质量标准》(GB3095-2012)二级标准</w:t>
            </w:r>
            <w:r>
              <w:rPr>
                <w:rFonts w:hint="default" w:ascii="Times New Roman" w:hAnsi="Times New Roman" w:eastAsia="宋体" w:cs="Times New Roman"/>
                <w:color w:val="auto"/>
                <w:sz w:val="21"/>
                <w:szCs w:val="21"/>
                <w:highlight w:val="none"/>
                <w:lang w:val="zh-TW"/>
              </w:rPr>
              <w:t>，</w:t>
            </w:r>
            <w:r>
              <w:rPr>
                <w:rFonts w:hint="default" w:ascii="Times New Roman" w:hAnsi="Times New Roman" w:eastAsia="宋体" w:cs="Times New Roman"/>
                <w:color w:val="auto"/>
                <w:sz w:val="21"/>
                <w:szCs w:val="21"/>
                <w:highlight w:val="none"/>
              </w:rPr>
              <w:t>项目所在区域202</w:t>
            </w:r>
            <w:r>
              <w:rPr>
                <w:rFonts w:hint="default"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年环境空气质量不达标。</w:t>
            </w:r>
          </w:p>
          <w:p>
            <w:pPr>
              <w:pStyle w:val="6"/>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eastAsia="宋体"/>
                <w:color w:val="auto"/>
                <w:highlight w:val="none"/>
                <w:lang w:val="en-US" w:eastAsia="zh-CN"/>
              </w:rPr>
            </w:pPr>
            <w:r>
              <w:rPr>
                <w:rStyle w:val="30"/>
                <w:rFonts w:hint="eastAsia"/>
                <w:color w:val="auto"/>
                <w:highlight w:val="none"/>
                <w:lang w:val="en-US" w:eastAsia="zh-CN"/>
              </w:rPr>
              <w:t>根据</w:t>
            </w:r>
            <w:r>
              <w:rPr>
                <w:color w:val="auto"/>
                <w:sz w:val="21"/>
                <w:szCs w:val="21"/>
                <w:highlight w:val="none"/>
              </w:rPr>
              <w:t>引用《</w:t>
            </w:r>
            <w:r>
              <w:rPr>
                <w:rFonts w:hint="eastAsia"/>
                <w:color w:val="auto"/>
                <w:sz w:val="21"/>
                <w:szCs w:val="21"/>
                <w:highlight w:val="none"/>
              </w:rPr>
              <w:t>常州卓益精齿医疗器材有限公司</w:t>
            </w:r>
            <w:r>
              <w:rPr>
                <w:color w:val="auto"/>
                <w:sz w:val="21"/>
                <w:szCs w:val="21"/>
                <w:highlight w:val="none"/>
              </w:rPr>
              <w:t>》中</w:t>
            </w:r>
            <w:r>
              <w:rPr>
                <w:rFonts w:hint="eastAsia"/>
                <w:color w:val="auto"/>
                <w:sz w:val="21"/>
                <w:szCs w:val="21"/>
                <w:highlight w:val="none"/>
              </w:rPr>
              <w:t>环境空气</w:t>
            </w:r>
            <w:r>
              <w:rPr>
                <w:color w:val="auto"/>
                <w:sz w:val="21"/>
                <w:szCs w:val="21"/>
                <w:highlight w:val="none"/>
              </w:rPr>
              <w:t>G</w:t>
            </w:r>
            <w:r>
              <w:rPr>
                <w:rFonts w:hint="eastAsia"/>
                <w:color w:val="auto"/>
                <w:sz w:val="21"/>
                <w:szCs w:val="21"/>
                <w:highlight w:val="none"/>
              </w:rPr>
              <w:t>1</w:t>
            </w:r>
            <w:r>
              <w:rPr>
                <w:color w:val="auto"/>
                <w:sz w:val="21"/>
                <w:szCs w:val="21"/>
                <w:highlight w:val="none"/>
              </w:rPr>
              <w:t>半岛珑庭处非甲烷总烃的历史数据</w:t>
            </w:r>
            <w:r>
              <w:rPr>
                <w:rFonts w:hint="eastAsia"/>
                <w:color w:val="auto"/>
                <w:sz w:val="21"/>
                <w:szCs w:val="21"/>
                <w:highlight w:val="none"/>
                <w:lang w:val="en-US" w:eastAsia="zh-CN"/>
              </w:rPr>
              <w:t>可知，</w:t>
            </w:r>
            <w:r>
              <w:rPr>
                <w:color w:val="auto"/>
                <w:sz w:val="21"/>
                <w:szCs w:val="21"/>
                <w:highlight w:val="none"/>
              </w:rPr>
              <w:t>评价区域内非甲烷总烃满足《大气污染物综合排放标准详解》中的数值</w:t>
            </w:r>
            <w:r>
              <w:rPr>
                <w:rFonts w:hint="eastAsia"/>
                <w:color w:val="auto"/>
                <w:sz w:val="21"/>
                <w:szCs w:val="21"/>
                <w:highlight w:val="none"/>
                <w:lang w:val="en-US" w:eastAsia="zh-CN"/>
              </w:rPr>
              <w:t>要求</w:t>
            </w:r>
            <w:r>
              <w:rPr>
                <w:rFonts w:hint="eastAsia"/>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color w:val="auto"/>
                <w:sz w:val="21"/>
                <w:szCs w:val="21"/>
                <w:highlight w:val="none"/>
              </w:rPr>
            </w:pPr>
            <w:r>
              <w:rPr>
                <w:rFonts w:hint="eastAsia"/>
                <w:color w:val="auto"/>
                <w:sz w:val="21"/>
                <w:szCs w:val="21"/>
                <w:highlight w:val="none"/>
              </w:rPr>
              <w:t>根据</w:t>
            </w:r>
            <w:r>
              <w:rPr>
                <w:color w:val="auto"/>
                <w:sz w:val="21"/>
                <w:szCs w:val="21"/>
                <w:highlight w:val="none"/>
              </w:rPr>
              <w:t>《</w:t>
            </w:r>
            <w:r>
              <w:rPr>
                <w:rFonts w:hint="eastAsia"/>
                <w:color w:val="auto"/>
                <w:sz w:val="21"/>
                <w:szCs w:val="21"/>
                <w:highlight w:val="none"/>
              </w:rPr>
              <w:t>2022年常州市金坛区深入打好污染防治攻坚战工作方案</w:t>
            </w:r>
            <w:r>
              <w:rPr>
                <w:color w:val="auto"/>
                <w:sz w:val="21"/>
                <w:szCs w:val="21"/>
                <w:highlight w:val="none"/>
              </w:rPr>
              <w:t>》</w:t>
            </w:r>
            <w:r>
              <w:rPr>
                <w:rFonts w:hint="eastAsia"/>
                <w:color w:val="auto"/>
                <w:sz w:val="21"/>
                <w:szCs w:val="21"/>
                <w:highlight w:val="none"/>
              </w:rPr>
              <w:t>，通过加大重点行业污染治理力度，强化多污染物协同控制，推进PM</w:t>
            </w:r>
            <w:r>
              <w:rPr>
                <w:rFonts w:hint="eastAsia"/>
                <w:color w:val="auto"/>
                <w:sz w:val="21"/>
                <w:szCs w:val="21"/>
                <w:highlight w:val="none"/>
                <w:vertAlign w:val="subscript"/>
              </w:rPr>
              <w:t>2.5</w:t>
            </w:r>
            <w:r>
              <w:rPr>
                <w:rFonts w:hint="eastAsia"/>
                <w:color w:val="auto"/>
                <w:sz w:val="21"/>
                <w:szCs w:val="21"/>
                <w:highlight w:val="none"/>
              </w:rPr>
              <w:t>和臭氧浓度“双控双减”，大力推进低（无）VOCs含量原辅材料替代，强化VOCs全流程、全环节综合治理，加快形成绿色低碳运输方式等污染防治措施，大气环境质量状况可以得到进一步改善。</w:t>
            </w:r>
          </w:p>
          <w:p>
            <w:pPr>
              <w:pStyle w:val="40"/>
              <w:snapToGrid w:val="0"/>
              <w:spacing w:after="0" w:line="360" w:lineRule="auto"/>
              <w:ind w:firstLine="420" w:firstLineChars="200"/>
              <w:jc w:val="both"/>
              <w:rPr>
                <w:rFonts w:hint="eastAsia" w:ascii="Times New Roman" w:cs="Times New Roman"/>
                <w:color w:val="auto"/>
                <w:kern w:val="2"/>
                <w:sz w:val="21"/>
                <w:szCs w:val="21"/>
                <w:highlight w:val="none"/>
              </w:rPr>
            </w:pPr>
            <w:r>
              <w:rPr>
                <w:rFonts w:hint="eastAsia" w:ascii="Times New Roman" w:cs="Times New Roman"/>
                <w:color w:val="auto"/>
                <w:kern w:val="2"/>
                <w:sz w:val="21"/>
                <w:szCs w:val="21"/>
                <w:highlight w:val="none"/>
              </w:rPr>
              <w:t>水环境：本项目污水受纳水体尧塘河2个断面各监测因子均能满足《地表水环境质量标准》（GB3838-2002）III类水标准要求。</w:t>
            </w:r>
          </w:p>
          <w:p>
            <w:pPr>
              <w:pStyle w:val="40"/>
              <w:snapToGrid w:val="0"/>
              <w:spacing w:after="0" w:line="360" w:lineRule="auto"/>
              <w:ind w:firstLine="420" w:firstLineChars="200"/>
              <w:jc w:val="both"/>
              <w:rPr>
                <w:rFonts w:ascii="Times New Roman" w:cs="Times New Roman"/>
                <w:color w:val="auto"/>
                <w:kern w:val="2"/>
                <w:sz w:val="21"/>
                <w:szCs w:val="21"/>
                <w:highlight w:val="none"/>
              </w:rPr>
            </w:pPr>
            <w:r>
              <w:rPr>
                <w:rFonts w:hint="eastAsia" w:ascii="Times New Roman" w:cs="Times New Roman"/>
                <w:color w:val="auto"/>
                <w:kern w:val="2"/>
                <w:sz w:val="21"/>
                <w:szCs w:val="21"/>
                <w:highlight w:val="none"/>
              </w:rPr>
              <w:t>声环境：建设项目所在地各厂界处昼夜间声环境质量监测结果符合《声环境质量标准》（GB3096-2008）中的2类区限值要求。</w:t>
            </w:r>
          </w:p>
          <w:p>
            <w:pPr>
              <w:pStyle w:val="41"/>
              <w:adjustRightInd/>
              <w:snapToGrid/>
              <w:ind w:firstLine="480"/>
              <w:jc w:val="both"/>
              <w:rPr>
                <w:color w:val="auto"/>
                <w:kern w:val="2"/>
                <w:sz w:val="21"/>
                <w:szCs w:val="21"/>
                <w:highlight w:val="none"/>
              </w:rPr>
            </w:pPr>
            <w:r>
              <w:rPr>
                <w:rFonts w:hint="eastAsia"/>
                <w:color w:val="auto"/>
                <w:kern w:val="2"/>
                <w:sz w:val="21"/>
                <w:szCs w:val="21"/>
                <w:highlight w:val="none"/>
              </w:rPr>
              <w:t>该项目运营过程中会产生一定的污染物，如废气、污水、固废，采取相应的污染防治措施后，在达标的基础上选用处理效率和可靠性高的处理工艺。设备生产噪声在采取隔声、减振措施后厂界可达标；生产过程中</w:t>
            </w:r>
            <w:r>
              <w:rPr>
                <w:rFonts w:hint="eastAsia"/>
                <w:color w:val="auto"/>
                <w:kern w:val="2"/>
                <w:sz w:val="21"/>
                <w:szCs w:val="21"/>
                <w:highlight w:val="none"/>
                <w:lang w:val="en-US" w:eastAsia="zh-CN"/>
              </w:rPr>
              <w:t>挤出</w:t>
            </w:r>
            <w:r>
              <w:rPr>
                <w:rFonts w:hint="eastAsia"/>
                <w:color w:val="auto"/>
                <w:kern w:val="2"/>
                <w:sz w:val="21"/>
                <w:szCs w:val="21"/>
                <w:highlight w:val="none"/>
              </w:rPr>
              <w:t>成型有机废气经半密闭集气罩收集</w:t>
            </w:r>
            <w:r>
              <w:rPr>
                <w:rFonts w:hint="eastAsia"/>
                <w:color w:val="auto"/>
                <w:sz w:val="21"/>
                <w:szCs w:val="21"/>
                <w:highlight w:val="none"/>
              </w:rPr>
              <w:t>，收集后的有机废气采用二级活性炭吸附装置处理</w:t>
            </w:r>
            <w:r>
              <w:rPr>
                <w:rFonts w:hint="eastAsia"/>
                <w:color w:val="auto"/>
                <w:kern w:val="2"/>
                <w:sz w:val="21"/>
                <w:szCs w:val="21"/>
                <w:highlight w:val="none"/>
              </w:rPr>
              <w:t>后通过18m高排气筒（DA001）达标排放，</w:t>
            </w:r>
            <w:r>
              <w:rPr>
                <w:rFonts w:hint="eastAsia"/>
                <w:color w:val="auto"/>
                <w:kern w:val="2"/>
                <w:sz w:val="21"/>
                <w:szCs w:val="21"/>
                <w:highlight w:val="none"/>
                <w:lang w:val="en-US" w:eastAsia="zh-CN"/>
              </w:rPr>
              <w:t>投料及破碎粉尘经移动式布袋除尘器处理后呈无组织排放，</w:t>
            </w:r>
            <w:r>
              <w:rPr>
                <w:rFonts w:hint="eastAsia"/>
                <w:color w:val="auto"/>
                <w:kern w:val="2"/>
                <w:sz w:val="21"/>
                <w:szCs w:val="21"/>
                <w:highlight w:val="none"/>
              </w:rPr>
              <w:t>对大气环境影响较小</w:t>
            </w:r>
            <w:r>
              <w:rPr>
                <w:rFonts w:hint="eastAsia" w:ascii="Times New Roman" w:hAnsi="Times New Roman" w:eastAsia="宋体" w:cs="Times New Roman"/>
                <w:color w:val="auto"/>
                <w:kern w:val="2"/>
                <w:sz w:val="21"/>
                <w:szCs w:val="21"/>
                <w:highlight w:val="none"/>
              </w:rPr>
              <w:t>；生活污水接管至</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rFonts w:hint="eastAsia"/>
                <w:color w:val="auto"/>
                <w:kern w:val="2"/>
                <w:sz w:val="21"/>
                <w:szCs w:val="21"/>
                <w:highlight w:val="none"/>
              </w:rPr>
              <w:t>集中处理；固体废物均按照要求委托相关单位进行妥善处置。上述措施确保拟建项目污染物排放对环境的影响降到最低，不会突破环境质量底线，改变区域环境功能区。</w:t>
            </w:r>
          </w:p>
          <w:p>
            <w:pPr>
              <w:pStyle w:val="39"/>
              <w:adjustRightInd w:val="0"/>
              <w:snapToGrid w:val="0"/>
              <w:spacing w:line="360" w:lineRule="auto"/>
              <w:ind w:firstLine="482"/>
              <w:rPr>
                <w:b/>
                <w:bCs/>
                <w:color w:val="auto"/>
                <w:kern w:val="2"/>
                <w:sz w:val="21"/>
                <w:szCs w:val="21"/>
                <w:highlight w:val="none"/>
              </w:rPr>
            </w:pPr>
            <w:r>
              <w:rPr>
                <w:b/>
                <w:bCs/>
                <w:color w:val="auto"/>
                <w:kern w:val="2"/>
                <w:sz w:val="21"/>
                <w:szCs w:val="21"/>
                <w:highlight w:val="none"/>
              </w:rPr>
              <w:t>（3）资源利用上线相符性</w:t>
            </w:r>
          </w:p>
          <w:p>
            <w:pPr>
              <w:pStyle w:val="39"/>
              <w:adjustRightInd w:val="0"/>
              <w:snapToGrid w:val="0"/>
              <w:spacing w:line="360" w:lineRule="auto"/>
              <w:ind w:firstLine="480"/>
              <w:rPr>
                <w:color w:val="auto"/>
                <w:kern w:val="2"/>
                <w:sz w:val="21"/>
                <w:szCs w:val="21"/>
                <w:highlight w:val="none"/>
              </w:rPr>
            </w:pPr>
            <w:r>
              <w:rPr>
                <w:color w:val="auto"/>
                <w:kern w:val="2"/>
                <w:sz w:val="21"/>
                <w:szCs w:val="21"/>
                <w:highlight w:val="none"/>
              </w:rPr>
              <w:t>项目位于</w:t>
            </w:r>
            <w:r>
              <w:rPr>
                <w:color w:val="auto"/>
                <w:sz w:val="21"/>
                <w:szCs w:val="21"/>
                <w:highlight w:val="none"/>
              </w:rPr>
              <w:t>常州市</w:t>
            </w:r>
            <w:r>
              <w:rPr>
                <w:rFonts w:hint="eastAsia"/>
                <w:color w:val="auto"/>
                <w:sz w:val="21"/>
                <w:szCs w:val="21"/>
                <w:highlight w:val="none"/>
              </w:rPr>
              <w:t>江苏省金坛经济开发区汇福路3号</w:t>
            </w:r>
            <w:r>
              <w:rPr>
                <w:color w:val="auto"/>
                <w:sz w:val="21"/>
                <w:szCs w:val="21"/>
                <w:highlight w:val="none"/>
              </w:rPr>
              <w:t>，</w:t>
            </w:r>
            <w:r>
              <w:rPr>
                <w:color w:val="auto"/>
                <w:kern w:val="2"/>
                <w:sz w:val="21"/>
                <w:szCs w:val="21"/>
                <w:highlight w:val="none"/>
              </w:rPr>
              <w:t>用水来源为区域给水管网，用电为市政供电管网。</w:t>
            </w:r>
          </w:p>
          <w:p>
            <w:pPr>
              <w:pStyle w:val="39"/>
              <w:adjustRightInd w:val="0"/>
              <w:snapToGrid w:val="0"/>
              <w:spacing w:line="360" w:lineRule="auto"/>
              <w:ind w:firstLine="480"/>
              <w:rPr>
                <w:color w:val="auto"/>
                <w:kern w:val="2"/>
                <w:sz w:val="21"/>
                <w:szCs w:val="21"/>
                <w:highlight w:val="none"/>
              </w:rPr>
            </w:pPr>
            <w:r>
              <w:rPr>
                <w:color w:val="auto"/>
                <w:sz w:val="21"/>
                <w:szCs w:val="21"/>
                <w:highlight w:val="none"/>
              </w:rPr>
              <w:t>项目使用的水电量均较小，</w:t>
            </w:r>
            <w:r>
              <w:rPr>
                <w:color w:val="auto"/>
                <w:kern w:val="2"/>
                <w:sz w:val="21"/>
                <w:szCs w:val="21"/>
                <w:highlight w:val="none"/>
              </w:rPr>
              <w:t>给水管网、供电管网均可满足本项目的使用要求。项目所需的原材料均可就近购买，上述措施确保拟建项目污染物排放对环境的影响降到最低，不会突破环境质量底线，改变区域环境功能区。</w:t>
            </w:r>
          </w:p>
          <w:p>
            <w:pPr>
              <w:pStyle w:val="37"/>
              <w:spacing w:line="360" w:lineRule="auto"/>
              <w:ind w:firstLine="482"/>
              <w:rPr>
                <w:rFonts w:eastAsia="宋体"/>
                <w:b/>
                <w:bCs/>
                <w:color w:val="auto"/>
                <w:sz w:val="21"/>
                <w:szCs w:val="21"/>
                <w:highlight w:val="none"/>
              </w:rPr>
            </w:pPr>
            <w:r>
              <w:rPr>
                <w:rFonts w:eastAsia="宋体"/>
                <w:b/>
                <w:bCs/>
                <w:color w:val="auto"/>
                <w:sz w:val="21"/>
                <w:szCs w:val="21"/>
                <w:highlight w:val="none"/>
              </w:rPr>
              <w:t>（4）环境准入负面清单相符性分析</w:t>
            </w:r>
          </w:p>
          <w:p>
            <w:pPr>
              <w:pStyle w:val="37"/>
              <w:spacing w:line="360" w:lineRule="auto"/>
              <w:ind w:firstLine="480"/>
              <w:rPr>
                <w:rFonts w:eastAsia="宋体"/>
                <w:color w:val="auto"/>
                <w:sz w:val="21"/>
                <w:szCs w:val="21"/>
                <w:highlight w:val="none"/>
              </w:rPr>
            </w:pPr>
            <w:r>
              <w:rPr>
                <w:rFonts w:eastAsia="宋体"/>
                <w:color w:val="auto"/>
                <w:sz w:val="21"/>
                <w:szCs w:val="21"/>
                <w:highlight w:val="none"/>
              </w:rPr>
              <w:t>金坛区尚未颁布环境准入负面清单，本次环评对照国家、地方相关产业政策、</w:t>
            </w:r>
            <w:r>
              <w:rPr>
                <w:rFonts w:hint="eastAsia" w:eastAsia="宋体"/>
                <w:color w:val="auto"/>
                <w:sz w:val="21"/>
                <w:szCs w:val="21"/>
                <w:highlight w:val="none"/>
                <w:lang w:eastAsia="zh-CN"/>
              </w:rPr>
              <w:t>《</w:t>
            </w:r>
            <w:r>
              <w:rPr>
                <w:rFonts w:eastAsia="宋体"/>
                <w:color w:val="auto"/>
                <w:sz w:val="21"/>
                <w:szCs w:val="21"/>
                <w:highlight w:val="none"/>
              </w:rPr>
              <w:t>市场准入负面清单</w:t>
            </w:r>
            <w:r>
              <w:rPr>
                <w:rFonts w:hint="eastAsia" w:eastAsia="宋体"/>
                <w:color w:val="auto"/>
                <w:sz w:val="21"/>
                <w:szCs w:val="21"/>
                <w:highlight w:val="none"/>
                <w:lang w:eastAsia="zh-CN"/>
              </w:rPr>
              <w:t>》</w:t>
            </w:r>
            <w:r>
              <w:rPr>
                <w:rFonts w:eastAsia="宋体"/>
                <w:color w:val="auto"/>
                <w:sz w:val="21"/>
                <w:szCs w:val="21"/>
                <w:highlight w:val="none"/>
              </w:rPr>
              <w:t>（2022年版）、</w:t>
            </w:r>
            <w:r>
              <w:rPr>
                <w:rFonts w:hint="eastAsia" w:eastAsia="宋体"/>
                <w:color w:val="auto"/>
                <w:sz w:val="21"/>
                <w:szCs w:val="21"/>
                <w:highlight w:val="none"/>
                <w:lang w:eastAsia="zh-CN"/>
              </w:rPr>
              <w:t>《</w:t>
            </w:r>
            <w:r>
              <w:rPr>
                <w:rFonts w:eastAsia="宋体"/>
                <w:color w:val="auto"/>
                <w:sz w:val="21"/>
                <w:szCs w:val="21"/>
                <w:highlight w:val="none"/>
              </w:rPr>
              <w:t>长江经济带发展负面清单指南（试行）负面清单</w:t>
            </w:r>
            <w:r>
              <w:rPr>
                <w:rFonts w:hint="eastAsia" w:eastAsia="宋体"/>
                <w:color w:val="auto"/>
                <w:sz w:val="21"/>
                <w:szCs w:val="21"/>
                <w:highlight w:val="none"/>
                <w:lang w:eastAsia="zh-CN"/>
              </w:rPr>
              <w:t>》</w:t>
            </w:r>
            <w:r>
              <w:rPr>
                <w:rFonts w:hint="eastAsia" w:eastAsia="宋体"/>
                <w:color w:val="auto"/>
                <w:sz w:val="21"/>
                <w:szCs w:val="21"/>
                <w:highlight w:val="none"/>
              </w:rPr>
              <w:t>（2022年版）</w:t>
            </w:r>
            <w:r>
              <w:rPr>
                <w:rFonts w:eastAsia="宋体"/>
                <w:color w:val="auto"/>
                <w:sz w:val="21"/>
                <w:szCs w:val="21"/>
                <w:highlight w:val="none"/>
              </w:rPr>
              <w:t>、关于转发《市场准入负面清单》（2022年版）的通知等文件分析。详见下表。</w:t>
            </w:r>
          </w:p>
          <w:p>
            <w:pPr>
              <w:tabs>
                <w:tab w:val="left" w:pos="960"/>
              </w:tabs>
              <w:jc w:val="center"/>
              <w:rPr>
                <w:b/>
                <w:bCs/>
                <w:color w:val="auto"/>
                <w:spacing w:val="-4"/>
                <w:sz w:val="21"/>
                <w:szCs w:val="21"/>
                <w:highlight w:val="none"/>
              </w:rPr>
            </w:pPr>
            <w:r>
              <w:rPr>
                <w:b/>
                <w:bCs/>
                <w:color w:val="auto"/>
                <w:spacing w:val="-4"/>
                <w:sz w:val="21"/>
                <w:szCs w:val="21"/>
                <w:highlight w:val="none"/>
              </w:rPr>
              <w:t>表1-</w:t>
            </w:r>
            <w:r>
              <w:rPr>
                <w:rFonts w:hint="eastAsia"/>
                <w:b/>
                <w:bCs/>
                <w:color w:val="auto"/>
                <w:spacing w:val="-4"/>
                <w:sz w:val="21"/>
                <w:szCs w:val="21"/>
                <w:highlight w:val="none"/>
                <w:lang w:val="en-US" w:eastAsia="zh-CN"/>
              </w:rPr>
              <w:t xml:space="preserve">4 </w:t>
            </w:r>
            <w:r>
              <w:rPr>
                <w:b/>
                <w:bCs/>
                <w:color w:val="auto"/>
                <w:spacing w:val="-4"/>
                <w:sz w:val="21"/>
                <w:szCs w:val="21"/>
                <w:highlight w:val="none"/>
              </w:rPr>
              <w:t>环境准入负面清单对照</w:t>
            </w:r>
          </w:p>
          <w:tbl>
            <w:tblPr>
              <w:tblStyle w:val="25"/>
              <w:tblW w:w="4999"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592"/>
              <w:gridCol w:w="5912"/>
              <w:gridCol w:w="106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391" w:type="pct"/>
                  <w:tcBorders>
                    <w:top w:val="single" w:color="auto" w:sz="12" w:space="0"/>
                    <w:left w:val="nil"/>
                    <w:bottom w:val="single" w:color="auto" w:sz="4" w:space="0"/>
                    <w:right w:val="single" w:color="auto" w:sz="4" w:space="0"/>
                  </w:tcBorders>
                  <w:vAlign w:val="center"/>
                </w:tcPr>
                <w:p>
                  <w:pPr>
                    <w:snapToGrid w:val="0"/>
                    <w:ind w:right="63" w:rightChars="30"/>
                    <w:jc w:val="center"/>
                    <w:rPr>
                      <w:b/>
                      <w:bCs/>
                      <w:color w:val="auto"/>
                      <w:sz w:val="21"/>
                      <w:szCs w:val="21"/>
                      <w:highlight w:val="none"/>
                    </w:rPr>
                  </w:pPr>
                  <w:r>
                    <w:rPr>
                      <w:b/>
                      <w:bCs/>
                      <w:color w:val="auto"/>
                      <w:sz w:val="21"/>
                      <w:szCs w:val="21"/>
                      <w:highlight w:val="none"/>
                    </w:rPr>
                    <w:t>序号</w:t>
                  </w:r>
                </w:p>
              </w:tc>
              <w:tc>
                <w:tcPr>
                  <w:tcW w:w="3906" w:type="pct"/>
                  <w:tcBorders>
                    <w:top w:val="single" w:color="auto" w:sz="12" w:space="0"/>
                    <w:left w:val="single" w:color="auto" w:sz="4" w:space="0"/>
                    <w:bottom w:val="single" w:color="auto" w:sz="4" w:space="0"/>
                    <w:right w:val="single" w:color="auto" w:sz="4" w:space="0"/>
                  </w:tcBorders>
                  <w:vAlign w:val="center"/>
                </w:tcPr>
                <w:p>
                  <w:pPr>
                    <w:snapToGrid w:val="0"/>
                    <w:ind w:right="63" w:rightChars="30"/>
                    <w:jc w:val="center"/>
                    <w:rPr>
                      <w:b/>
                      <w:bCs/>
                      <w:color w:val="auto"/>
                      <w:sz w:val="21"/>
                      <w:szCs w:val="21"/>
                      <w:highlight w:val="none"/>
                    </w:rPr>
                  </w:pPr>
                  <w:r>
                    <w:rPr>
                      <w:b/>
                      <w:bCs/>
                      <w:color w:val="auto"/>
                      <w:sz w:val="21"/>
                      <w:szCs w:val="21"/>
                      <w:highlight w:val="none"/>
                    </w:rPr>
                    <w:t>法律、法规、政策文件等</w:t>
                  </w:r>
                </w:p>
              </w:tc>
              <w:tc>
                <w:tcPr>
                  <w:tcW w:w="701" w:type="pct"/>
                  <w:tcBorders>
                    <w:top w:val="single" w:color="auto" w:sz="12" w:space="0"/>
                    <w:left w:val="single" w:color="auto" w:sz="4" w:space="0"/>
                    <w:bottom w:val="single" w:color="auto" w:sz="4" w:space="0"/>
                    <w:right w:val="nil"/>
                  </w:tcBorders>
                  <w:vAlign w:val="center"/>
                </w:tcPr>
                <w:p>
                  <w:pPr>
                    <w:snapToGrid w:val="0"/>
                    <w:ind w:right="63" w:rightChars="30"/>
                    <w:jc w:val="center"/>
                    <w:rPr>
                      <w:b/>
                      <w:bCs/>
                      <w:color w:val="auto"/>
                      <w:sz w:val="21"/>
                      <w:szCs w:val="21"/>
                      <w:highlight w:val="none"/>
                    </w:rPr>
                  </w:pPr>
                  <w:r>
                    <w:rPr>
                      <w:b/>
                      <w:bCs/>
                      <w:color w:val="auto"/>
                      <w:sz w:val="21"/>
                      <w:szCs w:val="21"/>
                      <w:highlight w:val="none"/>
                    </w:rPr>
                    <w:t>是否属于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391" w:type="pct"/>
                  <w:tcBorders>
                    <w:top w:val="single" w:color="auto" w:sz="4" w:space="0"/>
                    <w:left w:val="nil"/>
                    <w:bottom w:val="single" w:color="auto" w:sz="4" w:space="0"/>
                    <w:right w:val="single" w:color="auto" w:sz="4" w:space="0"/>
                  </w:tcBorders>
                  <w:vAlign w:val="center"/>
                </w:tcPr>
                <w:p>
                  <w:pPr>
                    <w:snapToGrid w:val="0"/>
                    <w:ind w:right="63" w:rightChars="30"/>
                    <w:jc w:val="center"/>
                    <w:rPr>
                      <w:bCs/>
                      <w:color w:val="auto"/>
                      <w:sz w:val="21"/>
                      <w:szCs w:val="21"/>
                      <w:highlight w:val="none"/>
                    </w:rPr>
                  </w:pPr>
                  <w:r>
                    <w:rPr>
                      <w:bCs/>
                      <w:color w:val="auto"/>
                      <w:sz w:val="21"/>
                      <w:szCs w:val="21"/>
                      <w:highlight w:val="none"/>
                    </w:rPr>
                    <w:t>1</w:t>
                  </w:r>
                </w:p>
              </w:tc>
              <w:tc>
                <w:tcPr>
                  <w:tcW w:w="3906" w:type="pct"/>
                  <w:tcBorders>
                    <w:top w:val="single" w:color="auto" w:sz="4" w:space="0"/>
                    <w:left w:val="single" w:color="auto" w:sz="4" w:space="0"/>
                    <w:bottom w:val="single" w:color="auto" w:sz="4" w:space="0"/>
                    <w:right w:val="single" w:color="auto" w:sz="4" w:space="0"/>
                  </w:tcBorders>
                  <w:vAlign w:val="center"/>
                </w:tcPr>
                <w:p>
                  <w:pPr>
                    <w:snapToGrid w:val="0"/>
                    <w:ind w:right="63" w:rightChars="30"/>
                    <w:jc w:val="center"/>
                    <w:rPr>
                      <w:bCs/>
                      <w:color w:val="auto"/>
                      <w:sz w:val="21"/>
                      <w:szCs w:val="21"/>
                      <w:highlight w:val="none"/>
                    </w:rPr>
                  </w:pPr>
                  <w:r>
                    <w:rPr>
                      <w:bCs/>
                      <w:color w:val="auto"/>
                      <w:sz w:val="21"/>
                      <w:szCs w:val="21"/>
                      <w:highlight w:val="none"/>
                    </w:rPr>
                    <w:t>属于《</w:t>
                  </w:r>
                  <w:r>
                    <w:rPr>
                      <w:color w:val="auto"/>
                      <w:sz w:val="21"/>
                      <w:szCs w:val="21"/>
                      <w:highlight w:val="none"/>
                    </w:rPr>
                    <w:t>江苏省生态空间区域保护</w:t>
                  </w:r>
                  <w:r>
                    <w:rPr>
                      <w:rFonts w:hint="eastAsia"/>
                      <w:color w:val="auto"/>
                      <w:sz w:val="21"/>
                      <w:szCs w:val="21"/>
                      <w:highlight w:val="none"/>
                    </w:rPr>
                    <w:t>规划</w:t>
                  </w:r>
                  <w:r>
                    <w:rPr>
                      <w:bCs/>
                      <w:color w:val="auto"/>
                      <w:sz w:val="21"/>
                      <w:szCs w:val="21"/>
                      <w:highlight w:val="none"/>
                    </w:rPr>
                    <w:t>》中规定的位于</w:t>
                  </w:r>
                  <w:r>
                    <w:rPr>
                      <w:color w:val="auto"/>
                      <w:sz w:val="21"/>
                      <w:szCs w:val="21"/>
                      <w:highlight w:val="none"/>
                    </w:rPr>
                    <w:t>国家级生态保护红线和江苏省生态空间管控区域内</w:t>
                  </w:r>
                  <w:r>
                    <w:rPr>
                      <w:bCs/>
                      <w:color w:val="auto"/>
                      <w:sz w:val="21"/>
                      <w:szCs w:val="21"/>
                      <w:highlight w:val="none"/>
                    </w:rPr>
                    <w:t>与保护主要生态功能无关的开发建设项目、属于国家级生态保护红线和生态空间管控区域禁止从事的开发建设项目</w:t>
                  </w:r>
                </w:p>
              </w:tc>
              <w:tc>
                <w:tcPr>
                  <w:tcW w:w="701" w:type="pct"/>
                  <w:tcBorders>
                    <w:top w:val="single" w:color="auto" w:sz="4" w:space="0"/>
                    <w:left w:val="single" w:color="auto" w:sz="4" w:space="0"/>
                    <w:bottom w:val="single" w:color="auto" w:sz="4" w:space="0"/>
                    <w:right w:val="nil"/>
                  </w:tcBorders>
                  <w:vAlign w:val="center"/>
                </w:tcPr>
                <w:p>
                  <w:pPr>
                    <w:snapToGrid w:val="0"/>
                    <w:ind w:right="63" w:rightChars="30"/>
                    <w:jc w:val="center"/>
                    <w:rPr>
                      <w:bCs/>
                      <w:color w:val="auto"/>
                      <w:sz w:val="21"/>
                      <w:szCs w:val="21"/>
                      <w:highlight w:val="none"/>
                    </w:rPr>
                  </w:pPr>
                  <w:r>
                    <w:rPr>
                      <w:bCs/>
                      <w:color w:val="auto"/>
                      <w:sz w:val="21"/>
                      <w:szCs w:val="21"/>
                      <w:highlight w:val="none"/>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391" w:type="pct"/>
                  <w:tcBorders>
                    <w:top w:val="single" w:color="auto" w:sz="4" w:space="0"/>
                    <w:left w:val="nil"/>
                    <w:bottom w:val="single" w:color="auto" w:sz="4" w:space="0"/>
                    <w:right w:val="single" w:color="auto" w:sz="4" w:space="0"/>
                  </w:tcBorders>
                  <w:vAlign w:val="center"/>
                </w:tcPr>
                <w:p>
                  <w:pPr>
                    <w:snapToGrid w:val="0"/>
                    <w:ind w:right="63" w:rightChars="30"/>
                    <w:jc w:val="center"/>
                    <w:rPr>
                      <w:bCs/>
                      <w:color w:val="auto"/>
                      <w:sz w:val="21"/>
                      <w:szCs w:val="21"/>
                      <w:highlight w:val="none"/>
                    </w:rPr>
                  </w:pPr>
                  <w:r>
                    <w:rPr>
                      <w:bCs/>
                      <w:color w:val="auto"/>
                      <w:sz w:val="21"/>
                      <w:szCs w:val="21"/>
                      <w:highlight w:val="none"/>
                    </w:rPr>
                    <w:t>2</w:t>
                  </w:r>
                </w:p>
              </w:tc>
              <w:tc>
                <w:tcPr>
                  <w:tcW w:w="3906" w:type="pct"/>
                  <w:tcBorders>
                    <w:top w:val="single" w:color="auto" w:sz="4" w:space="0"/>
                    <w:left w:val="single" w:color="auto" w:sz="4" w:space="0"/>
                    <w:bottom w:val="single" w:color="auto" w:sz="4" w:space="0"/>
                    <w:right w:val="single" w:color="auto" w:sz="4" w:space="0"/>
                  </w:tcBorders>
                  <w:vAlign w:val="center"/>
                </w:tcPr>
                <w:p>
                  <w:pPr>
                    <w:snapToGrid w:val="0"/>
                    <w:ind w:right="63" w:rightChars="30"/>
                    <w:jc w:val="center"/>
                    <w:rPr>
                      <w:bCs/>
                      <w:color w:val="auto"/>
                      <w:sz w:val="21"/>
                      <w:szCs w:val="21"/>
                      <w:highlight w:val="none"/>
                    </w:rPr>
                  </w:pPr>
                  <w:r>
                    <w:rPr>
                      <w:bCs/>
                      <w:color w:val="auto"/>
                      <w:sz w:val="21"/>
                      <w:szCs w:val="21"/>
                      <w:highlight w:val="none"/>
                    </w:rPr>
                    <w:t>属于《江苏省人民代表大会常务委员会关于加强饮用水源地保护的决定》中规定的位于饮用水源准保护区、二级保护区、一级保护区内禁止从事的开发建设项目</w:t>
                  </w:r>
                </w:p>
              </w:tc>
              <w:tc>
                <w:tcPr>
                  <w:tcW w:w="701" w:type="pct"/>
                  <w:tcBorders>
                    <w:top w:val="single" w:color="auto" w:sz="4" w:space="0"/>
                    <w:left w:val="single" w:color="auto" w:sz="4" w:space="0"/>
                    <w:bottom w:val="single" w:color="auto" w:sz="4" w:space="0"/>
                    <w:right w:val="nil"/>
                  </w:tcBorders>
                  <w:vAlign w:val="center"/>
                </w:tcPr>
                <w:p>
                  <w:pPr>
                    <w:snapToGrid w:val="0"/>
                    <w:ind w:right="63" w:rightChars="30"/>
                    <w:jc w:val="center"/>
                    <w:rPr>
                      <w:bCs/>
                      <w:color w:val="auto"/>
                      <w:sz w:val="21"/>
                      <w:szCs w:val="21"/>
                      <w:highlight w:val="none"/>
                    </w:rPr>
                  </w:pPr>
                  <w:r>
                    <w:rPr>
                      <w:bCs/>
                      <w:color w:val="auto"/>
                      <w:sz w:val="21"/>
                      <w:szCs w:val="21"/>
                      <w:highlight w:val="none"/>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391" w:type="pct"/>
                  <w:tcBorders>
                    <w:top w:val="single" w:color="auto" w:sz="4" w:space="0"/>
                    <w:left w:val="nil"/>
                    <w:bottom w:val="single" w:color="auto" w:sz="4" w:space="0"/>
                    <w:right w:val="single" w:color="auto" w:sz="4" w:space="0"/>
                  </w:tcBorders>
                  <w:vAlign w:val="center"/>
                </w:tcPr>
                <w:p>
                  <w:pPr>
                    <w:snapToGrid w:val="0"/>
                    <w:ind w:right="63" w:rightChars="30"/>
                    <w:jc w:val="center"/>
                    <w:rPr>
                      <w:bCs/>
                      <w:color w:val="auto"/>
                      <w:sz w:val="21"/>
                      <w:szCs w:val="21"/>
                      <w:highlight w:val="none"/>
                    </w:rPr>
                  </w:pPr>
                  <w:r>
                    <w:rPr>
                      <w:bCs/>
                      <w:color w:val="auto"/>
                      <w:sz w:val="21"/>
                      <w:szCs w:val="21"/>
                      <w:highlight w:val="none"/>
                    </w:rPr>
                    <w:t>3</w:t>
                  </w:r>
                </w:p>
              </w:tc>
              <w:tc>
                <w:tcPr>
                  <w:tcW w:w="3906" w:type="pct"/>
                  <w:tcBorders>
                    <w:top w:val="single" w:color="auto" w:sz="4" w:space="0"/>
                    <w:left w:val="single" w:color="auto" w:sz="4" w:space="0"/>
                    <w:bottom w:val="single" w:color="auto" w:sz="4" w:space="0"/>
                    <w:right w:val="single" w:color="auto" w:sz="4" w:space="0"/>
                  </w:tcBorders>
                  <w:vAlign w:val="center"/>
                </w:tcPr>
                <w:p>
                  <w:pPr>
                    <w:snapToGrid w:val="0"/>
                    <w:ind w:right="63" w:rightChars="30"/>
                    <w:jc w:val="center"/>
                    <w:rPr>
                      <w:bCs/>
                      <w:color w:val="auto"/>
                      <w:sz w:val="21"/>
                      <w:szCs w:val="21"/>
                      <w:highlight w:val="none"/>
                    </w:rPr>
                  </w:pPr>
                  <w:r>
                    <w:rPr>
                      <w:bCs/>
                      <w:color w:val="auto"/>
                      <w:sz w:val="21"/>
                      <w:szCs w:val="21"/>
                      <w:highlight w:val="none"/>
                    </w:rPr>
                    <w:t>不符合城市总体规划、土地利用规划、环境保护规划的建设项目</w:t>
                  </w:r>
                </w:p>
              </w:tc>
              <w:tc>
                <w:tcPr>
                  <w:tcW w:w="701" w:type="pct"/>
                  <w:tcBorders>
                    <w:top w:val="single" w:color="auto" w:sz="4" w:space="0"/>
                    <w:left w:val="single" w:color="auto" w:sz="4" w:space="0"/>
                    <w:bottom w:val="single" w:color="auto" w:sz="4" w:space="0"/>
                    <w:right w:val="nil"/>
                  </w:tcBorders>
                  <w:vAlign w:val="center"/>
                </w:tcPr>
                <w:p>
                  <w:pPr>
                    <w:snapToGrid w:val="0"/>
                    <w:ind w:right="63" w:rightChars="30"/>
                    <w:jc w:val="center"/>
                    <w:rPr>
                      <w:bCs/>
                      <w:color w:val="auto"/>
                      <w:sz w:val="21"/>
                      <w:szCs w:val="21"/>
                      <w:highlight w:val="none"/>
                    </w:rPr>
                  </w:pPr>
                  <w:r>
                    <w:rPr>
                      <w:bCs/>
                      <w:color w:val="auto"/>
                      <w:sz w:val="21"/>
                      <w:szCs w:val="21"/>
                      <w:highlight w:val="none"/>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391" w:type="pct"/>
                  <w:tcBorders>
                    <w:top w:val="single" w:color="auto" w:sz="4" w:space="0"/>
                    <w:left w:val="nil"/>
                    <w:bottom w:val="single" w:color="auto" w:sz="4" w:space="0"/>
                    <w:right w:val="single" w:color="auto" w:sz="4" w:space="0"/>
                  </w:tcBorders>
                  <w:vAlign w:val="center"/>
                </w:tcPr>
                <w:p>
                  <w:pPr>
                    <w:snapToGrid w:val="0"/>
                    <w:ind w:right="63" w:rightChars="30"/>
                    <w:jc w:val="center"/>
                    <w:rPr>
                      <w:bCs/>
                      <w:color w:val="auto"/>
                      <w:sz w:val="21"/>
                      <w:szCs w:val="21"/>
                      <w:highlight w:val="none"/>
                    </w:rPr>
                  </w:pPr>
                  <w:r>
                    <w:rPr>
                      <w:bCs/>
                      <w:color w:val="auto"/>
                      <w:sz w:val="21"/>
                      <w:szCs w:val="21"/>
                      <w:highlight w:val="none"/>
                    </w:rPr>
                    <w:t>4</w:t>
                  </w:r>
                </w:p>
              </w:tc>
              <w:tc>
                <w:tcPr>
                  <w:tcW w:w="3906" w:type="pct"/>
                  <w:tcBorders>
                    <w:top w:val="single" w:color="auto" w:sz="4" w:space="0"/>
                    <w:left w:val="single" w:color="auto" w:sz="4" w:space="0"/>
                    <w:bottom w:val="single" w:color="auto" w:sz="4" w:space="0"/>
                    <w:right w:val="single" w:color="auto" w:sz="4" w:space="0"/>
                  </w:tcBorders>
                  <w:vAlign w:val="center"/>
                </w:tcPr>
                <w:p>
                  <w:pPr>
                    <w:snapToGrid w:val="0"/>
                    <w:ind w:right="63" w:rightChars="30"/>
                    <w:jc w:val="center"/>
                    <w:rPr>
                      <w:bCs/>
                      <w:color w:val="auto"/>
                      <w:sz w:val="21"/>
                      <w:szCs w:val="21"/>
                      <w:highlight w:val="none"/>
                    </w:rPr>
                  </w:pPr>
                  <w:r>
                    <w:rPr>
                      <w:color w:val="auto"/>
                      <w:kern w:val="0"/>
                      <w:sz w:val="21"/>
                      <w:szCs w:val="21"/>
                      <w:highlight w:val="none"/>
                    </w:rPr>
                    <w:t>环境污染严重、污染物排放总量指标未落实的项目</w:t>
                  </w:r>
                </w:p>
              </w:tc>
              <w:tc>
                <w:tcPr>
                  <w:tcW w:w="701" w:type="pct"/>
                  <w:tcBorders>
                    <w:top w:val="single" w:color="auto" w:sz="4" w:space="0"/>
                    <w:left w:val="single" w:color="auto" w:sz="4" w:space="0"/>
                    <w:bottom w:val="single" w:color="auto" w:sz="4" w:space="0"/>
                    <w:right w:val="nil"/>
                  </w:tcBorders>
                  <w:vAlign w:val="center"/>
                </w:tcPr>
                <w:p>
                  <w:pPr>
                    <w:snapToGrid w:val="0"/>
                    <w:ind w:right="63" w:rightChars="30"/>
                    <w:jc w:val="center"/>
                    <w:rPr>
                      <w:bCs/>
                      <w:color w:val="auto"/>
                      <w:sz w:val="21"/>
                      <w:szCs w:val="21"/>
                      <w:highlight w:val="none"/>
                    </w:rPr>
                  </w:pPr>
                  <w:r>
                    <w:rPr>
                      <w:bCs/>
                      <w:color w:val="auto"/>
                      <w:sz w:val="21"/>
                      <w:szCs w:val="21"/>
                      <w:highlight w:val="none"/>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391" w:type="pct"/>
                  <w:tcBorders>
                    <w:top w:val="single" w:color="auto" w:sz="4" w:space="0"/>
                    <w:left w:val="nil"/>
                    <w:bottom w:val="single" w:color="auto" w:sz="4" w:space="0"/>
                    <w:right w:val="single" w:color="auto" w:sz="4" w:space="0"/>
                  </w:tcBorders>
                  <w:vAlign w:val="center"/>
                </w:tcPr>
                <w:p>
                  <w:pPr>
                    <w:snapToGrid w:val="0"/>
                    <w:ind w:right="63" w:rightChars="30"/>
                    <w:jc w:val="center"/>
                    <w:rPr>
                      <w:bCs/>
                      <w:color w:val="auto"/>
                      <w:sz w:val="21"/>
                      <w:szCs w:val="21"/>
                      <w:highlight w:val="none"/>
                    </w:rPr>
                  </w:pPr>
                  <w:r>
                    <w:rPr>
                      <w:bCs/>
                      <w:color w:val="auto"/>
                      <w:sz w:val="21"/>
                      <w:szCs w:val="21"/>
                      <w:highlight w:val="none"/>
                    </w:rPr>
                    <w:t>5</w:t>
                  </w:r>
                </w:p>
              </w:tc>
              <w:tc>
                <w:tcPr>
                  <w:tcW w:w="3906" w:type="pct"/>
                  <w:tcBorders>
                    <w:top w:val="single" w:color="auto" w:sz="4" w:space="0"/>
                    <w:left w:val="single" w:color="auto" w:sz="4" w:space="0"/>
                    <w:bottom w:val="single" w:color="auto" w:sz="4" w:space="0"/>
                    <w:right w:val="single" w:color="auto" w:sz="4" w:space="0"/>
                  </w:tcBorders>
                  <w:vAlign w:val="center"/>
                </w:tcPr>
                <w:p>
                  <w:pPr>
                    <w:snapToGrid w:val="0"/>
                    <w:ind w:right="63" w:rightChars="30"/>
                    <w:jc w:val="center"/>
                    <w:rPr>
                      <w:bCs/>
                      <w:color w:val="auto"/>
                      <w:sz w:val="21"/>
                      <w:szCs w:val="21"/>
                      <w:highlight w:val="none"/>
                    </w:rPr>
                  </w:pPr>
                  <w:r>
                    <w:rPr>
                      <w:color w:val="auto"/>
                      <w:kern w:val="0"/>
                      <w:sz w:val="21"/>
                      <w:szCs w:val="21"/>
                      <w:highlight w:val="none"/>
                    </w:rPr>
                    <w:t>国家、江苏省明确规定不得审批的建设项目</w:t>
                  </w:r>
                </w:p>
              </w:tc>
              <w:tc>
                <w:tcPr>
                  <w:tcW w:w="701" w:type="pct"/>
                  <w:tcBorders>
                    <w:top w:val="single" w:color="auto" w:sz="4" w:space="0"/>
                    <w:left w:val="single" w:color="auto" w:sz="4" w:space="0"/>
                    <w:bottom w:val="single" w:color="auto" w:sz="4" w:space="0"/>
                    <w:right w:val="nil"/>
                  </w:tcBorders>
                  <w:vAlign w:val="center"/>
                </w:tcPr>
                <w:p>
                  <w:pPr>
                    <w:snapToGrid w:val="0"/>
                    <w:ind w:right="63" w:rightChars="30"/>
                    <w:jc w:val="center"/>
                    <w:rPr>
                      <w:bCs/>
                      <w:color w:val="auto"/>
                      <w:sz w:val="21"/>
                      <w:szCs w:val="21"/>
                      <w:highlight w:val="none"/>
                    </w:rPr>
                  </w:pPr>
                  <w:r>
                    <w:rPr>
                      <w:bCs/>
                      <w:color w:val="auto"/>
                      <w:sz w:val="21"/>
                      <w:szCs w:val="21"/>
                      <w:highlight w:val="none"/>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391" w:type="pct"/>
                  <w:tcBorders>
                    <w:top w:val="single" w:color="auto" w:sz="4" w:space="0"/>
                    <w:left w:val="nil"/>
                    <w:bottom w:val="single" w:color="auto" w:sz="4" w:space="0"/>
                    <w:right w:val="single" w:color="auto" w:sz="4" w:space="0"/>
                  </w:tcBorders>
                  <w:vAlign w:val="center"/>
                </w:tcPr>
                <w:p>
                  <w:pPr>
                    <w:snapToGrid w:val="0"/>
                    <w:ind w:right="63" w:rightChars="30"/>
                    <w:jc w:val="center"/>
                    <w:rPr>
                      <w:bCs/>
                      <w:color w:val="auto"/>
                      <w:sz w:val="21"/>
                      <w:szCs w:val="21"/>
                      <w:highlight w:val="none"/>
                    </w:rPr>
                  </w:pPr>
                  <w:r>
                    <w:rPr>
                      <w:bCs/>
                      <w:color w:val="auto"/>
                      <w:sz w:val="21"/>
                      <w:szCs w:val="21"/>
                      <w:highlight w:val="none"/>
                    </w:rPr>
                    <w:t>6</w:t>
                  </w:r>
                </w:p>
              </w:tc>
              <w:tc>
                <w:tcPr>
                  <w:tcW w:w="3906" w:type="pct"/>
                  <w:tcBorders>
                    <w:top w:val="single" w:color="auto" w:sz="4" w:space="0"/>
                    <w:left w:val="single" w:color="auto" w:sz="4" w:space="0"/>
                    <w:bottom w:val="single" w:color="auto" w:sz="4" w:space="0"/>
                    <w:right w:val="single" w:color="auto" w:sz="4" w:space="0"/>
                  </w:tcBorders>
                  <w:vAlign w:val="center"/>
                </w:tcPr>
                <w:p>
                  <w:pPr>
                    <w:snapToGrid w:val="0"/>
                    <w:ind w:right="63" w:rightChars="30"/>
                    <w:jc w:val="center"/>
                    <w:rPr>
                      <w:color w:val="auto"/>
                      <w:kern w:val="0"/>
                      <w:sz w:val="21"/>
                      <w:szCs w:val="21"/>
                      <w:highlight w:val="none"/>
                    </w:rPr>
                  </w:pPr>
                  <w:r>
                    <w:rPr>
                      <w:color w:val="auto"/>
                      <w:kern w:val="0"/>
                      <w:sz w:val="21"/>
                      <w:szCs w:val="21"/>
                      <w:highlight w:val="none"/>
                    </w:rPr>
                    <w:t>根据</w:t>
                  </w:r>
                  <w:r>
                    <w:rPr>
                      <w:color w:val="auto"/>
                      <w:sz w:val="21"/>
                      <w:szCs w:val="21"/>
                      <w:highlight w:val="none"/>
                    </w:rPr>
                    <w:t>市场准入负面清单（20</w:t>
                  </w:r>
                  <w:r>
                    <w:rPr>
                      <w:rFonts w:hint="eastAsia"/>
                      <w:color w:val="auto"/>
                      <w:sz w:val="21"/>
                      <w:szCs w:val="21"/>
                      <w:highlight w:val="none"/>
                    </w:rPr>
                    <w:t>22</w:t>
                  </w:r>
                  <w:r>
                    <w:rPr>
                      <w:color w:val="auto"/>
                      <w:sz w:val="21"/>
                      <w:szCs w:val="21"/>
                      <w:highlight w:val="none"/>
                    </w:rPr>
                    <w:t>年版），本项目不属于“禁止准入类”。</w:t>
                  </w:r>
                </w:p>
              </w:tc>
              <w:tc>
                <w:tcPr>
                  <w:tcW w:w="701" w:type="pct"/>
                  <w:tcBorders>
                    <w:top w:val="single" w:color="auto" w:sz="4" w:space="0"/>
                    <w:left w:val="single" w:color="auto" w:sz="4" w:space="0"/>
                    <w:bottom w:val="single" w:color="auto" w:sz="4" w:space="0"/>
                    <w:right w:val="nil"/>
                  </w:tcBorders>
                  <w:vAlign w:val="center"/>
                </w:tcPr>
                <w:p>
                  <w:pPr>
                    <w:snapToGrid w:val="0"/>
                    <w:ind w:right="63" w:rightChars="30"/>
                    <w:jc w:val="center"/>
                    <w:rPr>
                      <w:bCs/>
                      <w:color w:val="auto"/>
                      <w:sz w:val="21"/>
                      <w:szCs w:val="21"/>
                      <w:highlight w:val="none"/>
                    </w:rPr>
                  </w:pPr>
                  <w:r>
                    <w:rPr>
                      <w:bCs/>
                      <w:color w:val="auto"/>
                      <w:sz w:val="21"/>
                      <w:szCs w:val="21"/>
                      <w:highlight w:val="none"/>
                    </w:rPr>
                    <w:t>不属于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391" w:type="pct"/>
                  <w:tcBorders>
                    <w:top w:val="single" w:color="auto" w:sz="4" w:space="0"/>
                    <w:left w:val="nil"/>
                    <w:bottom w:val="single" w:color="auto" w:sz="12" w:space="0"/>
                    <w:right w:val="single" w:color="auto" w:sz="4" w:space="0"/>
                  </w:tcBorders>
                  <w:vAlign w:val="center"/>
                </w:tcPr>
                <w:p>
                  <w:pPr>
                    <w:snapToGrid w:val="0"/>
                    <w:ind w:right="63" w:rightChars="30"/>
                    <w:jc w:val="center"/>
                    <w:rPr>
                      <w:bCs/>
                      <w:color w:val="auto"/>
                      <w:sz w:val="21"/>
                      <w:szCs w:val="21"/>
                      <w:highlight w:val="none"/>
                    </w:rPr>
                  </w:pPr>
                  <w:r>
                    <w:rPr>
                      <w:bCs/>
                      <w:color w:val="auto"/>
                      <w:sz w:val="21"/>
                      <w:szCs w:val="21"/>
                      <w:highlight w:val="none"/>
                    </w:rPr>
                    <w:t>7</w:t>
                  </w:r>
                </w:p>
              </w:tc>
              <w:tc>
                <w:tcPr>
                  <w:tcW w:w="3906" w:type="pct"/>
                  <w:tcBorders>
                    <w:top w:val="single" w:color="auto" w:sz="4" w:space="0"/>
                    <w:left w:val="single" w:color="auto" w:sz="4" w:space="0"/>
                    <w:bottom w:val="single" w:color="auto" w:sz="12" w:space="0"/>
                    <w:right w:val="single" w:color="auto" w:sz="4" w:space="0"/>
                  </w:tcBorders>
                  <w:vAlign w:val="center"/>
                </w:tcPr>
                <w:p>
                  <w:pPr>
                    <w:snapToGrid w:val="0"/>
                    <w:ind w:right="63" w:rightChars="30"/>
                    <w:jc w:val="center"/>
                    <w:rPr>
                      <w:color w:val="auto"/>
                      <w:kern w:val="0"/>
                      <w:sz w:val="21"/>
                      <w:szCs w:val="21"/>
                      <w:highlight w:val="none"/>
                    </w:rPr>
                  </w:pPr>
                  <w:r>
                    <w:rPr>
                      <w:color w:val="auto"/>
                      <w:kern w:val="0"/>
                      <w:sz w:val="21"/>
                      <w:szCs w:val="21"/>
                      <w:highlight w:val="none"/>
                    </w:rPr>
                    <w:t>根据《金坛经济开发区发展规划环境影响报告书》审查意见，机械装备、电子行业禁止引进电镀、表面处理类项目，化工行业禁止引进与盐化工及下游产品生产不相关的化工项目、农药项目，新材料禁止引进太阳能电池切片、钢铁等传统型金属材料、水泥等传统型非金属材料的生产项目，纺织禁止引进废水排放量较大的纯印染和纯染整类企业和项目</w:t>
                  </w:r>
                </w:p>
              </w:tc>
              <w:tc>
                <w:tcPr>
                  <w:tcW w:w="701" w:type="pct"/>
                  <w:tcBorders>
                    <w:top w:val="single" w:color="auto" w:sz="4" w:space="0"/>
                    <w:left w:val="single" w:color="auto" w:sz="4" w:space="0"/>
                    <w:bottom w:val="single" w:color="auto" w:sz="12" w:space="0"/>
                    <w:right w:val="nil"/>
                  </w:tcBorders>
                  <w:vAlign w:val="center"/>
                </w:tcPr>
                <w:p>
                  <w:pPr>
                    <w:snapToGrid w:val="0"/>
                    <w:ind w:right="63" w:rightChars="30"/>
                    <w:jc w:val="center"/>
                    <w:rPr>
                      <w:bCs/>
                      <w:color w:val="auto"/>
                      <w:sz w:val="21"/>
                      <w:szCs w:val="21"/>
                      <w:highlight w:val="none"/>
                    </w:rPr>
                  </w:pPr>
                  <w:r>
                    <w:rPr>
                      <w:bCs/>
                      <w:color w:val="auto"/>
                      <w:sz w:val="21"/>
                      <w:szCs w:val="21"/>
                      <w:highlight w:val="none"/>
                    </w:rPr>
                    <w:t>不属于禁止引进项目</w:t>
                  </w:r>
                </w:p>
              </w:tc>
            </w:tr>
          </w:tbl>
          <w:p>
            <w:pPr>
              <w:pStyle w:val="39"/>
              <w:adjustRightInd w:val="0"/>
              <w:snapToGrid w:val="0"/>
              <w:ind w:firstLine="480"/>
              <w:rPr>
                <w:color w:val="auto"/>
                <w:kern w:val="2"/>
                <w:sz w:val="21"/>
                <w:szCs w:val="21"/>
                <w:highlight w:val="none"/>
              </w:rPr>
            </w:pPr>
            <w:r>
              <w:rPr>
                <w:color w:val="auto"/>
                <w:sz w:val="21"/>
                <w:szCs w:val="21"/>
                <w:highlight w:val="none"/>
              </w:rPr>
              <w:t>本项目与《长江经济带发展负面清单指南（试行）》、《〈长江经济带发展负面清单指南〉江苏省实施细则（试行）》</w:t>
            </w:r>
            <w:r>
              <w:rPr>
                <w:rFonts w:hint="eastAsia"/>
                <w:color w:val="auto"/>
                <w:sz w:val="21"/>
                <w:szCs w:val="21"/>
                <w:highlight w:val="none"/>
              </w:rPr>
              <w:t>（2022年版）</w:t>
            </w:r>
            <w:r>
              <w:rPr>
                <w:color w:val="auto"/>
                <w:sz w:val="21"/>
                <w:szCs w:val="21"/>
                <w:highlight w:val="none"/>
              </w:rPr>
              <w:t>的相符性分析见表1-</w:t>
            </w:r>
            <w:r>
              <w:rPr>
                <w:rFonts w:hint="eastAsia"/>
                <w:color w:val="auto"/>
                <w:sz w:val="21"/>
                <w:szCs w:val="21"/>
                <w:highlight w:val="none"/>
                <w:lang w:val="en-US" w:eastAsia="zh-CN"/>
              </w:rPr>
              <w:t>5</w:t>
            </w:r>
            <w:r>
              <w:rPr>
                <w:color w:val="auto"/>
                <w:sz w:val="21"/>
                <w:szCs w:val="21"/>
                <w:highlight w:val="none"/>
              </w:rPr>
              <w:t>、表1-</w:t>
            </w:r>
            <w:r>
              <w:rPr>
                <w:rFonts w:hint="eastAsia"/>
                <w:color w:val="auto"/>
                <w:sz w:val="21"/>
                <w:szCs w:val="21"/>
                <w:highlight w:val="none"/>
                <w:lang w:val="en-US" w:eastAsia="zh-CN"/>
              </w:rPr>
              <w:t>6</w:t>
            </w:r>
            <w:r>
              <w:rPr>
                <w:color w:val="auto"/>
                <w:sz w:val="21"/>
                <w:szCs w:val="21"/>
                <w:highlight w:val="none"/>
              </w:rPr>
              <w:t>。</w:t>
            </w:r>
          </w:p>
          <w:p>
            <w:pPr>
              <w:adjustRightInd w:val="0"/>
              <w:snapToGrid w:val="0"/>
              <w:jc w:val="center"/>
              <w:rPr>
                <w:b/>
                <w:color w:val="auto"/>
                <w:sz w:val="21"/>
                <w:szCs w:val="21"/>
                <w:highlight w:val="none"/>
              </w:rPr>
            </w:pPr>
            <w:r>
              <w:rPr>
                <w:b/>
                <w:color w:val="auto"/>
                <w:sz w:val="21"/>
                <w:szCs w:val="21"/>
                <w:highlight w:val="none"/>
              </w:rPr>
              <w:t>表1-</w:t>
            </w:r>
            <w:r>
              <w:rPr>
                <w:rFonts w:hint="eastAsia"/>
                <w:b/>
                <w:color w:val="auto"/>
                <w:sz w:val="21"/>
                <w:szCs w:val="21"/>
                <w:highlight w:val="none"/>
                <w:lang w:val="en-US" w:eastAsia="zh-CN"/>
              </w:rPr>
              <w:t>5</w:t>
            </w:r>
            <w:r>
              <w:rPr>
                <w:b/>
                <w:color w:val="auto"/>
                <w:sz w:val="21"/>
                <w:szCs w:val="21"/>
                <w:highlight w:val="none"/>
              </w:rPr>
              <w:t xml:space="preserve"> 长江经济带发展负面清单指南（试行）负面清单</w:t>
            </w:r>
          </w:p>
          <w:tbl>
            <w:tblPr>
              <w:tblStyle w:val="25"/>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3387"/>
              <w:gridCol w:w="2621"/>
              <w:gridCol w:w="85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2" w:type="pct"/>
                  <w:tcMar>
                    <w:top w:w="0" w:type="dxa"/>
                    <w:left w:w="0" w:type="dxa"/>
                    <w:bottom w:w="0" w:type="dxa"/>
                    <w:right w:w="0" w:type="dxa"/>
                  </w:tcMar>
                  <w:vAlign w:val="center"/>
                </w:tcPr>
                <w:p>
                  <w:pPr>
                    <w:spacing w:before="72" w:beforeLines="30" w:after="72" w:afterLines="30"/>
                    <w:jc w:val="center"/>
                    <w:rPr>
                      <w:b/>
                      <w:color w:val="auto"/>
                      <w:sz w:val="21"/>
                      <w:szCs w:val="21"/>
                      <w:highlight w:val="none"/>
                    </w:rPr>
                  </w:pPr>
                  <w:r>
                    <w:rPr>
                      <w:b/>
                      <w:color w:val="auto"/>
                      <w:sz w:val="21"/>
                      <w:szCs w:val="21"/>
                      <w:highlight w:val="none"/>
                    </w:rPr>
                    <w:t>序号</w:t>
                  </w:r>
                </w:p>
              </w:tc>
              <w:tc>
                <w:tcPr>
                  <w:tcW w:w="2238" w:type="pct"/>
                  <w:tcMar>
                    <w:top w:w="0" w:type="dxa"/>
                    <w:left w:w="0" w:type="dxa"/>
                    <w:bottom w:w="0" w:type="dxa"/>
                    <w:right w:w="0" w:type="dxa"/>
                  </w:tcMar>
                  <w:vAlign w:val="center"/>
                </w:tcPr>
                <w:p>
                  <w:pPr>
                    <w:spacing w:before="72" w:beforeLines="30" w:after="72" w:afterLines="30"/>
                    <w:jc w:val="center"/>
                    <w:rPr>
                      <w:b/>
                      <w:color w:val="auto"/>
                      <w:sz w:val="21"/>
                      <w:szCs w:val="21"/>
                      <w:highlight w:val="none"/>
                    </w:rPr>
                  </w:pPr>
                  <w:r>
                    <w:rPr>
                      <w:b/>
                      <w:color w:val="auto"/>
                      <w:sz w:val="21"/>
                      <w:szCs w:val="21"/>
                      <w:highlight w:val="none"/>
                    </w:rPr>
                    <w:t>文件要求</w:t>
                  </w:r>
                </w:p>
              </w:tc>
              <w:tc>
                <w:tcPr>
                  <w:tcW w:w="1732" w:type="pct"/>
                  <w:tcMar>
                    <w:top w:w="0" w:type="dxa"/>
                    <w:left w:w="0" w:type="dxa"/>
                    <w:bottom w:w="0" w:type="dxa"/>
                    <w:right w:w="0" w:type="dxa"/>
                  </w:tcMar>
                  <w:vAlign w:val="center"/>
                </w:tcPr>
                <w:p>
                  <w:pPr>
                    <w:spacing w:before="72" w:beforeLines="30" w:after="72" w:afterLines="30"/>
                    <w:jc w:val="center"/>
                    <w:rPr>
                      <w:b/>
                      <w:color w:val="auto"/>
                      <w:sz w:val="21"/>
                      <w:szCs w:val="21"/>
                      <w:highlight w:val="none"/>
                    </w:rPr>
                  </w:pPr>
                  <w:r>
                    <w:rPr>
                      <w:b/>
                      <w:color w:val="auto"/>
                      <w:sz w:val="21"/>
                      <w:szCs w:val="21"/>
                      <w:highlight w:val="none"/>
                    </w:rPr>
                    <w:t>本项目相关内容</w:t>
                  </w:r>
                </w:p>
              </w:tc>
              <w:tc>
                <w:tcPr>
                  <w:tcW w:w="566" w:type="pct"/>
                  <w:tcMar>
                    <w:top w:w="0" w:type="dxa"/>
                    <w:left w:w="0" w:type="dxa"/>
                    <w:bottom w:w="0" w:type="dxa"/>
                    <w:right w:w="0" w:type="dxa"/>
                  </w:tcMar>
                  <w:vAlign w:val="center"/>
                </w:tcPr>
                <w:p>
                  <w:pPr>
                    <w:spacing w:before="72" w:beforeLines="30" w:after="72" w:afterLines="30"/>
                    <w:jc w:val="center"/>
                    <w:rPr>
                      <w:b/>
                      <w:color w:val="auto"/>
                      <w:sz w:val="21"/>
                      <w:szCs w:val="21"/>
                      <w:highlight w:val="none"/>
                    </w:rPr>
                  </w:pPr>
                  <w:r>
                    <w:rPr>
                      <w:b/>
                      <w:color w:val="auto"/>
                      <w:sz w:val="21"/>
                      <w:szCs w:val="21"/>
                      <w:highlight w:val="none"/>
                    </w:rPr>
                    <w:t>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2"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1</w:t>
                  </w:r>
                </w:p>
              </w:tc>
              <w:tc>
                <w:tcPr>
                  <w:tcW w:w="2238"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禁止在合规园区外建设、扩建钢铁、石化、化工、焦化、建材、有色等高污染项目</w:t>
                  </w:r>
                </w:p>
              </w:tc>
              <w:tc>
                <w:tcPr>
                  <w:tcW w:w="1732"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本项目位于江苏省金坛经济开发区，为合规园区，且本项目不属于高污染项目</w:t>
                  </w:r>
                </w:p>
              </w:tc>
              <w:tc>
                <w:tcPr>
                  <w:tcW w:w="566"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462"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2</w:t>
                  </w:r>
                </w:p>
              </w:tc>
              <w:tc>
                <w:tcPr>
                  <w:tcW w:w="2238"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禁止新建、扩建法律法规和相关政策明令制止的落后产能项目</w:t>
                  </w:r>
                </w:p>
              </w:tc>
              <w:tc>
                <w:tcPr>
                  <w:tcW w:w="1732"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本项目符合国家、地方产业政策，不属于法律法规和相关政策明令禁止的落后产能项目</w:t>
                  </w:r>
                </w:p>
              </w:tc>
              <w:tc>
                <w:tcPr>
                  <w:tcW w:w="566"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2"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3</w:t>
                  </w:r>
                </w:p>
              </w:tc>
              <w:tc>
                <w:tcPr>
                  <w:tcW w:w="2238"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禁止新建、扩建不符合国家产能置换要求的严重过剩产能行业的项目</w:t>
                  </w:r>
                </w:p>
              </w:tc>
              <w:tc>
                <w:tcPr>
                  <w:tcW w:w="1732"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本项目不属于严重过剩产能行业</w:t>
                  </w:r>
                </w:p>
              </w:tc>
              <w:tc>
                <w:tcPr>
                  <w:tcW w:w="566"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相符</w:t>
                  </w:r>
                </w:p>
              </w:tc>
            </w:tr>
          </w:tbl>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b/>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b/>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b/>
                <w:color w:val="auto"/>
                <w:sz w:val="21"/>
                <w:szCs w:val="21"/>
                <w:highlight w:val="none"/>
              </w:rPr>
            </w:pPr>
            <w:r>
              <w:rPr>
                <w:b/>
                <w:color w:val="auto"/>
                <w:sz w:val="21"/>
                <w:szCs w:val="21"/>
                <w:highlight w:val="none"/>
              </w:rPr>
              <w:t>表1-</w:t>
            </w:r>
            <w:r>
              <w:rPr>
                <w:rFonts w:hint="eastAsia"/>
                <w:b/>
                <w:color w:val="auto"/>
                <w:sz w:val="21"/>
                <w:szCs w:val="21"/>
                <w:highlight w:val="none"/>
                <w:lang w:val="en-US" w:eastAsia="zh-CN"/>
              </w:rPr>
              <w:t>6</w:t>
            </w:r>
            <w:r>
              <w:rPr>
                <w:b/>
                <w:color w:val="auto"/>
                <w:sz w:val="21"/>
                <w:szCs w:val="21"/>
                <w:highlight w:val="none"/>
              </w:rPr>
              <w:t xml:space="preserve"> 长江经济带发展负面清单指南江苏省实施细则（试行）负面清单</w:t>
            </w:r>
          </w:p>
          <w:tbl>
            <w:tblPr>
              <w:tblStyle w:val="25"/>
              <w:tblW w:w="4999"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3471"/>
              <w:gridCol w:w="2605"/>
              <w:gridCol w:w="82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39" w:type="pct"/>
                  <w:tcMar>
                    <w:top w:w="0" w:type="dxa"/>
                    <w:left w:w="0" w:type="dxa"/>
                    <w:bottom w:w="0" w:type="dxa"/>
                    <w:right w:w="0" w:type="dxa"/>
                  </w:tcMar>
                  <w:vAlign w:val="center"/>
                </w:tcPr>
                <w:p>
                  <w:pPr>
                    <w:spacing w:before="72" w:beforeLines="30" w:after="72" w:afterLines="30"/>
                    <w:jc w:val="center"/>
                    <w:rPr>
                      <w:b/>
                      <w:color w:val="auto"/>
                      <w:sz w:val="21"/>
                      <w:szCs w:val="21"/>
                      <w:highlight w:val="none"/>
                    </w:rPr>
                  </w:pPr>
                  <w:r>
                    <w:rPr>
                      <w:b/>
                      <w:color w:val="auto"/>
                      <w:sz w:val="21"/>
                      <w:szCs w:val="21"/>
                      <w:highlight w:val="none"/>
                    </w:rPr>
                    <w:t>序号</w:t>
                  </w:r>
                </w:p>
              </w:tc>
              <w:tc>
                <w:tcPr>
                  <w:tcW w:w="2293" w:type="pct"/>
                  <w:tcMar>
                    <w:top w:w="0" w:type="dxa"/>
                    <w:left w:w="0" w:type="dxa"/>
                    <w:bottom w:w="0" w:type="dxa"/>
                    <w:right w:w="0" w:type="dxa"/>
                  </w:tcMar>
                  <w:vAlign w:val="center"/>
                </w:tcPr>
                <w:p>
                  <w:pPr>
                    <w:spacing w:before="72" w:beforeLines="30" w:after="72" w:afterLines="30"/>
                    <w:jc w:val="center"/>
                    <w:rPr>
                      <w:b/>
                      <w:color w:val="auto"/>
                      <w:sz w:val="21"/>
                      <w:szCs w:val="21"/>
                      <w:highlight w:val="none"/>
                    </w:rPr>
                  </w:pPr>
                  <w:r>
                    <w:rPr>
                      <w:b/>
                      <w:color w:val="auto"/>
                      <w:sz w:val="21"/>
                      <w:szCs w:val="21"/>
                      <w:highlight w:val="none"/>
                    </w:rPr>
                    <w:t>文件要求</w:t>
                  </w:r>
                </w:p>
              </w:tc>
              <w:tc>
                <w:tcPr>
                  <w:tcW w:w="1721" w:type="pct"/>
                  <w:tcMar>
                    <w:top w:w="0" w:type="dxa"/>
                    <w:left w:w="0" w:type="dxa"/>
                    <w:bottom w:w="0" w:type="dxa"/>
                    <w:right w:w="0" w:type="dxa"/>
                  </w:tcMar>
                  <w:vAlign w:val="center"/>
                </w:tcPr>
                <w:p>
                  <w:pPr>
                    <w:spacing w:before="72" w:beforeLines="30" w:after="72" w:afterLines="30"/>
                    <w:jc w:val="center"/>
                    <w:rPr>
                      <w:b/>
                      <w:color w:val="auto"/>
                      <w:sz w:val="21"/>
                      <w:szCs w:val="21"/>
                      <w:highlight w:val="none"/>
                    </w:rPr>
                  </w:pPr>
                  <w:r>
                    <w:rPr>
                      <w:b/>
                      <w:color w:val="auto"/>
                      <w:sz w:val="21"/>
                      <w:szCs w:val="21"/>
                      <w:highlight w:val="none"/>
                    </w:rPr>
                    <w:t>本项目相关内容</w:t>
                  </w:r>
                </w:p>
              </w:tc>
              <w:tc>
                <w:tcPr>
                  <w:tcW w:w="545" w:type="pct"/>
                  <w:tcMar>
                    <w:top w:w="0" w:type="dxa"/>
                    <w:left w:w="0" w:type="dxa"/>
                    <w:bottom w:w="0" w:type="dxa"/>
                    <w:right w:w="0" w:type="dxa"/>
                  </w:tcMar>
                  <w:vAlign w:val="center"/>
                </w:tcPr>
                <w:p>
                  <w:pPr>
                    <w:spacing w:before="72" w:beforeLines="30" w:after="72" w:afterLines="30"/>
                    <w:jc w:val="center"/>
                    <w:rPr>
                      <w:b/>
                      <w:color w:val="auto"/>
                      <w:sz w:val="21"/>
                      <w:szCs w:val="21"/>
                      <w:highlight w:val="none"/>
                    </w:rPr>
                  </w:pPr>
                  <w:r>
                    <w:rPr>
                      <w:b/>
                      <w:color w:val="auto"/>
                      <w:sz w:val="21"/>
                      <w:szCs w:val="21"/>
                      <w:highlight w:val="none"/>
                    </w:rPr>
                    <w:t>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39"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1</w:t>
                  </w:r>
                </w:p>
              </w:tc>
              <w:tc>
                <w:tcPr>
                  <w:tcW w:w="2293"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b/>
                      <w:bCs/>
                      <w:color w:val="auto"/>
                      <w:sz w:val="21"/>
                      <w:szCs w:val="21"/>
                      <w:highlight w:val="none"/>
                    </w:rPr>
                    <w:t>禁止在合规园区外建设、扩建钢铁、石化、化工、焦化、建材、有色等高污染项目。</w:t>
                  </w:r>
                  <w:r>
                    <w:rPr>
                      <w:color w:val="auto"/>
                      <w:sz w:val="21"/>
                      <w:szCs w:val="21"/>
                      <w:highlight w:val="none"/>
                    </w:rPr>
                    <w:t>合规园区名录按照《江苏省长江经济带发展负面清单实施细则（试行）合规园区名录》执行。高污染项目营严格按照《环境保护综合名录》等有关要求执行。</w:t>
                  </w:r>
                </w:p>
              </w:tc>
              <w:tc>
                <w:tcPr>
                  <w:tcW w:w="1721"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本项目位于江苏省金坛经济开发区（苏环审【2015】52号），所在区域为合规园区，且本项目不属于《环境保护综合名录》中高污染项目。</w:t>
                  </w:r>
                </w:p>
              </w:tc>
              <w:tc>
                <w:tcPr>
                  <w:tcW w:w="545"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39"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2</w:t>
                  </w:r>
                </w:p>
              </w:tc>
              <w:tc>
                <w:tcPr>
                  <w:tcW w:w="2293"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b/>
                      <w:bCs/>
                      <w:color w:val="auto"/>
                      <w:sz w:val="21"/>
                      <w:szCs w:val="21"/>
                      <w:highlight w:val="none"/>
                    </w:rPr>
                    <w:t>禁止新建、扩建法律法规和相关政策明令制止的落后产能项目。</w:t>
                  </w:r>
                  <w:r>
                    <w:rPr>
                      <w:color w:val="auto"/>
                      <w:sz w:val="21"/>
                      <w:szCs w:val="21"/>
                      <w:highlight w:val="none"/>
                    </w:rPr>
                    <w:t>禁止新建、扩建国家《产业结构调整指导目录》《江苏省产业结构调整限制、淘汰和禁止目录》明确的限制类、淘汰类、禁止类项目，法律法规和相关政策明令禁止的落后产能项目及明令淘汰的安全生产落后工艺及装备项目。</w:t>
                  </w:r>
                </w:p>
              </w:tc>
              <w:tc>
                <w:tcPr>
                  <w:tcW w:w="1721"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本项目符合国家、地方产业政策，不属于法律法规和相关政策明令禁止的落后产能项目。</w:t>
                  </w:r>
                </w:p>
              </w:tc>
              <w:tc>
                <w:tcPr>
                  <w:tcW w:w="545"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39"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3</w:t>
                  </w:r>
                </w:p>
              </w:tc>
              <w:tc>
                <w:tcPr>
                  <w:tcW w:w="2293" w:type="pct"/>
                  <w:tcMar>
                    <w:top w:w="0" w:type="dxa"/>
                    <w:left w:w="0" w:type="dxa"/>
                    <w:bottom w:w="0" w:type="dxa"/>
                    <w:right w:w="0" w:type="dxa"/>
                  </w:tcMar>
                  <w:vAlign w:val="center"/>
                </w:tcPr>
                <w:p>
                  <w:pPr>
                    <w:spacing w:before="72" w:beforeLines="30" w:after="72" w:afterLines="30"/>
                    <w:jc w:val="center"/>
                    <w:rPr>
                      <w:rFonts w:hint="eastAsia" w:eastAsia="宋体"/>
                      <w:color w:val="auto"/>
                      <w:sz w:val="21"/>
                      <w:szCs w:val="21"/>
                      <w:highlight w:val="none"/>
                      <w:lang w:eastAsia="zh-CN"/>
                    </w:rPr>
                  </w:pPr>
                  <w:r>
                    <w:rPr>
                      <w:color w:val="auto"/>
                      <w:sz w:val="21"/>
                      <w:szCs w:val="21"/>
                      <w:highlight w:val="none"/>
                    </w:rPr>
                    <w:t>禁止新建、扩建不符合国家产能置换要求的严重过剩产能行业的项目</w:t>
                  </w:r>
                  <w:r>
                    <w:rPr>
                      <w:rFonts w:hint="eastAsia"/>
                      <w:color w:val="auto"/>
                      <w:sz w:val="21"/>
                      <w:szCs w:val="21"/>
                      <w:highlight w:val="none"/>
                      <w:lang w:eastAsia="zh-CN"/>
                    </w:rPr>
                    <w:t>。</w:t>
                  </w:r>
                </w:p>
              </w:tc>
              <w:tc>
                <w:tcPr>
                  <w:tcW w:w="1721" w:type="pct"/>
                  <w:tcMar>
                    <w:top w:w="0" w:type="dxa"/>
                    <w:left w:w="0" w:type="dxa"/>
                    <w:bottom w:w="0" w:type="dxa"/>
                    <w:right w:w="0" w:type="dxa"/>
                  </w:tcMar>
                  <w:vAlign w:val="center"/>
                </w:tcPr>
                <w:p>
                  <w:pPr>
                    <w:spacing w:before="72" w:beforeLines="30" w:after="72" w:afterLines="30"/>
                    <w:jc w:val="center"/>
                    <w:rPr>
                      <w:rFonts w:hint="eastAsia" w:eastAsia="宋体"/>
                      <w:color w:val="auto"/>
                      <w:sz w:val="21"/>
                      <w:szCs w:val="21"/>
                      <w:highlight w:val="none"/>
                      <w:lang w:eastAsia="zh-CN"/>
                    </w:rPr>
                  </w:pPr>
                  <w:r>
                    <w:rPr>
                      <w:color w:val="auto"/>
                      <w:sz w:val="21"/>
                      <w:szCs w:val="21"/>
                      <w:highlight w:val="none"/>
                    </w:rPr>
                    <w:t>本项目不属于严重过剩产能行业</w:t>
                  </w:r>
                  <w:r>
                    <w:rPr>
                      <w:rFonts w:hint="eastAsia"/>
                      <w:color w:val="auto"/>
                      <w:sz w:val="21"/>
                      <w:szCs w:val="21"/>
                      <w:highlight w:val="none"/>
                      <w:lang w:eastAsia="zh-CN"/>
                    </w:rPr>
                    <w:t>。</w:t>
                  </w:r>
                </w:p>
              </w:tc>
              <w:tc>
                <w:tcPr>
                  <w:tcW w:w="545" w:type="pct"/>
                  <w:tcMar>
                    <w:top w:w="0" w:type="dxa"/>
                    <w:left w:w="0" w:type="dxa"/>
                    <w:bottom w:w="0" w:type="dxa"/>
                    <w:right w:w="0" w:type="dxa"/>
                  </w:tcMar>
                  <w:vAlign w:val="center"/>
                </w:tcPr>
                <w:p>
                  <w:pPr>
                    <w:spacing w:before="72" w:beforeLines="30" w:after="72" w:afterLines="30"/>
                    <w:jc w:val="center"/>
                    <w:rPr>
                      <w:color w:val="auto"/>
                      <w:sz w:val="21"/>
                      <w:szCs w:val="21"/>
                      <w:highlight w:val="none"/>
                    </w:rPr>
                  </w:pPr>
                  <w:r>
                    <w:rPr>
                      <w:color w:val="auto"/>
                      <w:sz w:val="21"/>
                      <w:szCs w:val="21"/>
                      <w:highlight w:val="none"/>
                    </w:rPr>
                    <w:t>相符</w:t>
                  </w:r>
                </w:p>
              </w:tc>
            </w:tr>
          </w:tbl>
          <w:p>
            <w:pPr>
              <w:pStyle w:val="39"/>
              <w:adjustRightInd w:val="0"/>
              <w:snapToGrid w:val="0"/>
              <w:ind w:firstLine="480"/>
              <w:rPr>
                <w:color w:val="auto"/>
                <w:kern w:val="2"/>
                <w:sz w:val="21"/>
                <w:szCs w:val="21"/>
                <w:highlight w:val="none"/>
              </w:rPr>
            </w:pPr>
            <w:r>
              <w:rPr>
                <w:color w:val="auto"/>
                <w:kern w:val="2"/>
                <w:sz w:val="21"/>
                <w:szCs w:val="21"/>
                <w:highlight w:val="none"/>
              </w:rPr>
              <w:t>综上，本项目建设满足“三线一单”的要求</w:t>
            </w:r>
            <w:r>
              <w:rPr>
                <w:color w:val="auto"/>
                <w:spacing w:val="-6"/>
                <w:sz w:val="21"/>
                <w:szCs w:val="21"/>
                <w:highlight w:val="none"/>
              </w:rPr>
              <w:t>。</w:t>
            </w:r>
          </w:p>
          <w:p>
            <w:pPr>
              <w:adjustRightInd w:val="0"/>
              <w:spacing w:line="360" w:lineRule="auto"/>
              <w:ind w:firstLine="398" w:firstLineChars="200"/>
              <w:rPr>
                <w:b/>
                <w:bCs/>
                <w:color w:val="auto"/>
                <w:spacing w:val="-6"/>
                <w:sz w:val="21"/>
                <w:szCs w:val="21"/>
                <w:highlight w:val="none"/>
              </w:rPr>
            </w:pPr>
            <w:r>
              <w:rPr>
                <w:b/>
                <w:bCs/>
                <w:color w:val="auto"/>
                <w:spacing w:val="-6"/>
                <w:sz w:val="21"/>
                <w:szCs w:val="21"/>
                <w:highlight w:val="none"/>
              </w:rPr>
              <w:t>4、与地方相关文件的相符性分析</w:t>
            </w:r>
          </w:p>
          <w:p>
            <w:pPr>
              <w:ind w:firstLine="482"/>
              <w:jc w:val="center"/>
              <w:rPr>
                <w:b/>
                <w:color w:val="auto"/>
                <w:sz w:val="21"/>
                <w:szCs w:val="21"/>
                <w:highlight w:val="none"/>
              </w:rPr>
            </w:pPr>
            <w:r>
              <w:rPr>
                <w:b/>
                <w:color w:val="auto"/>
                <w:sz w:val="21"/>
                <w:szCs w:val="21"/>
                <w:highlight w:val="none"/>
              </w:rPr>
              <w:t>表1-</w:t>
            </w:r>
            <w:r>
              <w:rPr>
                <w:rFonts w:hint="eastAsia"/>
                <w:b/>
                <w:color w:val="auto"/>
                <w:sz w:val="21"/>
                <w:szCs w:val="21"/>
                <w:highlight w:val="none"/>
                <w:lang w:val="en-US" w:eastAsia="zh-CN"/>
              </w:rPr>
              <w:t xml:space="preserve">7 </w:t>
            </w:r>
            <w:r>
              <w:rPr>
                <w:b/>
                <w:color w:val="auto"/>
                <w:sz w:val="21"/>
                <w:szCs w:val="21"/>
                <w:highlight w:val="none"/>
              </w:rPr>
              <w:t>本项目与地方相关文件的相符性分析</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02"/>
              <w:gridCol w:w="3130"/>
              <w:gridCol w:w="2445"/>
              <w:gridCol w:w="68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Align w:val="center"/>
                </w:tcPr>
                <w:p>
                  <w:pPr>
                    <w:pStyle w:val="42"/>
                    <w:adjustRightInd w:val="0"/>
                    <w:snapToGrid w:val="0"/>
                    <w:spacing w:line="240" w:lineRule="auto"/>
                    <w:rPr>
                      <w:rFonts w:eastAsia="宋体"/>
                      <w:b/>
                      <w:color w:val="auto"/>
                      <w:sz w:val="21"/>
                      <w:szCs w:val="21"/>
                      <w:highlight w:val="none"/>
                    </w:rPr>
                  </w:pPr>
                  <w:r>
                    <w:rPr>
                      <w:rFonts w:eastAsia="宋体"/>
                      <w:b/>
                      <w:color w:val="auto"/>
                      <w:sz w:val="21"/>
                      <w:szCs w:val="21"/>
                      <w:highlight w:val="none"/>
                    </w:rPr>
                    <w:t>文件</w:t>
                  </w:r>
                </w:p>
              </w:tc>
              <w:tc>
                <w:tcPr>
                  <w:tcW w:w="2069" w:type="pct"/>
                  <w:vAlign w:val="center"/>
                </w:tcPr>
                <w:p>
                  <w:pPr>
                    <w:pStyle w:val="42"/>
                    <w:adjustRightInd w:val="0"/>
                    <w:snapToGrid w:val="0"/>
                    <w:spacing w:line="240" w:lineRule="auto"/>
                    <w:rPr>
                      <w:rFonts w:eastAsia="宋体"/>
                      <w:b/>
                      <w:color w:val="auto"/>
                      <w:sz w:val="21"/>
                      <w:szCs w:val="21"/>
                      <w:highlight w:val="none"/>
                    </w:rPr>
                  </w:pPr>
                  <w:r>
                    <w:rPr>
                      <w:rFonts w:eastAsia="宋体"/>
                      <w:b/>
                      <w:color w:val="auto"/>
                      <w:sz w:val="21"/>
                      <w:szCs w:val="21"/>
                      <w:highlight w:val="none"/>
                    </w:rPr>
                    <w:t>与项目相关要求</w:t>
                  </w:r>
                </w:p>
              </w:tc>
              <w:tc>
                <w:tcPr>
                  <w:tcW w:w="1616" w:type="pct"/>
                  <w:vAlign w:val="center"/>
                </w:tcPr>
                <w:p>
                  <w:pPr>
                    <w:pStyle w:val="42"/>
                    <w:adjustRightInd w:val="0"/>
                    <w:snapToGrid w:val="0"/>
                    <w:spacing w:line="240" w:lineRule="auto"/>
                    <w:rPr>
                      <w:rFonts w:eastAsia="宋体"/>
                      <w:b/>
                      <w:color w:val="auto"/>
                      <w:sz w:val="21"/>
                      <w:szCs w:val="21"/>
                      <w:highlight w:val="none"/>
                    </w:rPr>
                  </w:pPr>
                  <w:r>
                    <w:rPr>
                      <w:rFonts w:eastAsia="宋体"/>
                      <w:b/>
                      <w:color w:val="auto"/>
                      <w:sz w:val="21"/>
                      <w:szCs w:val="21"/>
                      <w:highlight w:val="none"/>
                    </w:rPr>
                    <w:t>本项目相符性分析</w:t>
                  </w:r>
                </w:p>
              </w:tc>
              <w:tc>
                <w:tcPr>
                  <w:tcW w:w="454" w:type="pct"/>
                  <w:vAlign w:val="center"/>
                </w:tcPr>
                <w:p>
                  <w:pPr>
                    <w:pStyle w:val="42"/>
                    <w:adjustRightInd w:val="0"/>
                    <w:snapToGrid w:val="0"/>
                    <w:spacing w:line="240" w:lineRule="auto"/>
                    <w:rPr>
                      <w:rFonts w:eastAsia="宋体"/>
                      <w:b/>
                      <w:color w:val="auto"/>
                      <w:sz w:val="21"/>
                      <w:szCs w:val="21"/>
                      <w:highlight w:val="none"/>
                    </w:rPr>
                  </w:pPr>
                  <w:r>
                    <w:rPr>
                      <w:rFonts w:eastAsia="宋体"/>
                      <w:b/>
                      <w:color w:val="auto"/>
                      <w:sz w:val="21"/>
                      <w:szCs w:val="21"/>
                      <w:highlight w:val="none"/>
                    </w:rPr>
                    <w:t>是否相符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92" w:hRule="atLeast"/>
                <w:jc w:val="center"/>
              </w:trPr>
              <w:tc>
                <w:tcPr>
                  <w:tcW w:w="860" w:type="pct"/>
                  <w:vMerge w:val="restart"/>
                  <w:vAlign w:val="center"/>
                </w:tcPr>
                <w:p>
                  <w:pPr>
                    <w:pStyle w:val="42"/>
                    <w:adjustRightInd w:val="0"/>
                    <w:snapToGrid w:val="0"/>
                    <w:spacing w:line="240" w:lineRule="auto"/>
                    <w:rPr>
                      <w:rFonts w:eastAsia="宋体"/>
                      <w:b/>
                      <w:color w:val="auto"/>
                      <w:sz w:val="21"/>
                      <w:szCs w:val="21"/>
                      <w:highlight w:val="none"/>
                    </w:rPr>
                  </w:pPr>
                  <w:r>
                    <w:rPr>
                      <w:rFonts w:hint="eastAsia" w:eastAsia="宋体"/>
                      <w:b/>
                      <w:color w:val="auto"/>
                      <w:sz w:val="21"/>
                      <w:szCs w:val="21"/>
                      <w:highlight w:val="none"/>
                    </w:rPr>
                    <w:t>《</w:t>
                  </w:r>
                  <w:r>
                    <w:rPr>
                      <w:rFonts w:eastAsia="宋体"/>
                      <w:b/>
                      <w:color w:val="auto"/>
                      <w:sz w:val="21"/>
                      <w:szCs w:val="21"/>
                      <w:highlight w:val="none"/>
                    </w:rPr>
                    <w:t>江苏省大气污染物防治条例</w:t>
                  </w:r>
                  <w:r>
                    <w:rPr>
                      <w:rFonts w:hint="eastAsia" w:eastAsia="宋体"/>
                      <w:b/>
                      <w:color w:val="auto"/>
                      <w:sz w:val="21"/>
                      <w:szCs w:val="21"/>
                      <w:highlight w:val="none"/>
                    </w:rPr>
                    <w:t>》</w:t>
                  </w:r>
                </w:p>
              </w:tc>
              <w:tc>
                <w:tcPr>
                  <w:tcW w:w="2069" w:type="pct"/>
                  <w:vAlign w:val="center"/>
                </w:tcPr>
                <w:p>
                  <w:pPr>
                    <w:pStyle w:val="42"/>
                    <w:adjustRightInd w:val="0"/>
                    <w:snapToGrid w:val="0"/>
                    <w:spacing w:line="240" w:lineRule="auto"/>
                    <w:rPr>
                      <w:rFonts w:eastAsia="宋体"/>
                      <w:color w:val="auto"/>
                      <w:sz w:val="21"/>
                      <w:szCs w:val="21"/>
                      <w:highlight w:val="none"/>
                    </w:rPr>
                  </w:pPr>
                  <w:r>
                    <w:rPr>
                      <w:rFonts w:eastAsia="宋体"/>
                      <w:color w:val="auto"/>
                      <w:sz w:val="21"/>
                      <w:szCs w:val="21"/>
                      <w:highlight w:val="none"/>
                    </w:rPr>
                    <w:t>禁止使用列入淘汰名录的高污染工艺设备。淘汰的高污染工艺设备，企业不得转让给他人使用</w:t>
                  </w:r>
                  <w:r>
                    <w:rPr>
                      <w:rFonts w:hint="eastAsia" w:eastAsia="宋体"/>
                      <w:color w:val="auto"/>
                      <w:sz w:val="21"/>
                      <w:szCs w:val="21"/>
                      <w:highlight w:val="none"/>
                    </w:rPr>
                    <w:t>。</w:t>
                  </w:r>
                </w:p>
              </w:tc>
              <w:tc>
                <w:tcPr>
                  <w:tcW w:w="1616" w:type="pct"/>
                  <w:vAlign w:val="center"/>
                </w:tcPr>
                <w:p>
                  <w:pPr>
                    <w:pStyle w:val="42"/>
                    <w:adjustRightInd w:val="0"/>
                    <w:snapToGrid w:val="0"/>
                    <w:spacing w:line="240" w:lineRule="auto"/>
                    <w:rPr>
                      <w:rFonts w:hint="eastAsia" w:eastAsia="宋体"/>
                      <w:color w:val="auto"/>
                      <w:sz w:val="21"/>
                      <w:szCs w:val="21"/>
                      <w:highlight w:val="none"/>
                      <w:lang w:eastAsia="zh-CN"/>
                    </w:rPr>
                  </w:pPr>
                  <w:r>
                    <w:rPr>
                      <w:rFonts w:eastAsia="宋体"/>
                      <w:color w:val="auto"/>
                      <w:sz w:val="21"/>
                      <w:szCs w:val="21"/>
                      <w:highlight w:val="none"/>
                    </w:rPr>
                    <w:t>项目不使用淘汰的高污染工艺设备</w:t>
                  </w:r>
                  <w:r>
                    <w:rPr>
                      <w:rFonts w:hint="eastAsia" w:eastAsia="宋体"/>
                      <w:color w:val="auto"/>
                      <w:sz w:val="21"/>
                      <w:szCs w:val="21"/>
                      <w:highlight w:val="none"/>
                      <w:lang w:eastAsia="zh-CN"/>
                    </w:rPr>
                    <w:t>。</w:t>
                  </w:r>
                </w:p>
              </w:tc>
              <w:tc>
                <w:tcPr>
                  <w:tcW w:w="454" w:type="pct"/>
                  <w:vAlign w:val="center"/>
                </w:tcPr>
                <w:p>
                  <w:pPr>
                    <w:pStyle w:val="42"/>
                    <w:adjustRightInd w:val="0"/>
                    <w:snapToGrid w:val="0"/>
                    <w:spacing w:line="240" w:lineRule="auto"/>
                    <w:rPr>
                      <w:rFonts w:eastAsia="宋体"/>
                      <w:color w:val="auto"/>
                      <w:sz w:val="21"/>
                      <w:szCs w:val="21"/>
                      <w:highlight w:val="none"/>
                    </w:rPr>
                  </w:pPr>
                  <w:r>
                    <w:rPr>
                      <w:rFonts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0" w:type="pct"/>
                  <w:vMerge w:val="continue"/>
                  <w:vAlign w:val="center"/>
                </w:tcPr>
                <w:p>
                  <w:pPr>
                    <w:pStyle w:val="42"/>
                    <w:adjustRightInd w:val="0"/>
                    <w:snapToGrid w:val="0"/>
                    <w:spacing w:line="240" w:lineRule="auto"/>
                    <w:rPr>
                      <w:rFonts w:eastAsia="宋体"/>
                      <w:b/>
                      <w:color w:val="auto"/>
                      <w:sz w:val="21"/>
                      <w:szCs w:val="21"/>
                      <w:highlight w:val="none"/>
                    </w:rPr>
                  </w:pPr>
                </w:p>
              </w:tc>
              <w:tc>
                <w:tcPr>
                  <w:tcW w:w="2069" w:type="pct"/>
                  <w:vAlign w:val="center"/>
                </w:tcPr>
                <w:p>
                  <w:pPr>
                    <w:pStyle w:val="42"/>
                    <w:adjustRightInd w:val="0"/>
                    <w:snapToGrid w:val="0"/>
                    <w:spacing w:line="240" w:lineRule="auto"/>
                    <w:rPr>
                      <w:rFonts w:eastAsia="宋体"/>
                      <w:color w:val="auto"/>
                      <w:sz w:val="21"/>
                      <w:szCs w:val="21"/>
                      <w:highlight w:val="none"/>
                    </w:rPr>
                  </w:pPr>
                  <w:r>
                    <w:rPr>
                      <w:rFonts w:eastAsia="宋体"/>
                      <w:color w:val="auto"/>
                      <w:sz w:val="21"/>
                      <w:szCs w:val="21"/>
                      <w:highlight w:val="none"/>
                    </w:rPr>
                    <w:t>企业应当使用资源利用率高、污染物排放量少的工艺、设备，采用最佳实用大气污染控制技术，减少大气污染物的产生</w:t>
                  </w:r>
                  <w:r>
                    <w:rPr>
                      <w:rFonts w:hint="eastAsia" w:eastAsia="宋体"/>
                      <w:color w:val="auto"/>
                      <w:sz w:val="21"/>
                      <w:szCs w:val="21"/>
                      <w:highlight w:val="none"/>
                    </w:rPr>
                    <w:t>。</w:t>
                  </w:r>
                </w:p>
              </w:tc>
              <w:tc>
                <w:tcPr>
                  <w:tcW w:w="1616" w:type="pct"/>
                  <w:vAlign w:val="center"/>
                </w:tcPr>
                <w:p>
                  <w:pPr>
                    <w:pStyle w:val="42"/>
                    <w:adjustRightInd w:val="0"/>
                    <w:snapToGrid w:val="0"/>
                    <w:spacing w:line="240" w:lineRule="auto"/>
                    <w:rPr>
                      <w:rFonts w:eastAsia="宋体"/>
                      <w:color w:val="auto"/>
                      <w:sz w:val="21"/>
                      <w:szCs w:val="21"/>
                      <w:highlight w:val="none"/>
                    </w:rPr>
                  </w:pPr>
                  <w:r>
                    <w:rPr>
                      <w:rFonts w:eastAsia="宋体"/>
                      <w:color w:val="auto"/>
                      <w:sz w:val="21"/>
                      <w:szCs w:val="21"/>
                      <w:highlight w:val="none"/>
                    </w:rPr>
                    <w:t>项目</w:t>
                  </w:r>
                  <w:r>
                    <w:rPr>
                      <w:rFonts w:hint="eastAsia" w:eastAsia="宋体"/>
                      <w:color w:val="auto"/>
                      <w:sz w:val="21"/>
                      <w:szCs w:val="21"/>
                      <w:highlight w:val="none"/>
                      <w:lang w:val="en-US" w:eastAsia="zh-CN"/>
                    </w:rPr>
                    <w:t>挤出</w:t>
                  </w:r>
                  <w:r>
                    <w:rPr>
                      <w:rFonts w:eastAsia="宋体"/>
                      <w:color w:val="auto"/>
                      <w:sz w:val="21"/>
                      <w:szCs w:val="21"/>
                      <w:highlight w:val="none"/>
                    </w:rPr>
                    <w:t>成型有机废气经半密闭集气罩收集，收集后的有机废气采用二级活性炭吸附装置处理后通过18m高排气筒（DA001）达标排放，</w:t>
                  </w:r>
                  <w:r>
                    <w:rPr>
                      <w:rFonts w:hint="eastAsia" w:eastAsia="宋体"/>
                      <w:color w:val="auto"/>
                      <w:sz w:val="21"/>
                      <w:szCs w:val="21"/>
                      <w:highlight w:val="none"/>
                      <w:lang w:val="en-US" w:eastAsia="zh-CN"/>
                    </w:rPr>
                    <w:t>投料及破碎粉尘经移动式布袋除尘器处理后呈无组织排放，</w:t>
                  </w:r>
                  <w:r>
                    <w:rPr>
                      <w:rFonts w:eastAsia="宋体"/>
                      <w:color w:val="auto"/>
                      <w:sz w:val="21"/>
                      <w:szCs w:val="21"/>
                      <w:highlight w:val="none"/>
                    </w:rPr>
                    <w:t>且排放量较小。</w:t>
                  </w:r>
                </w:p>
              </w:tc>
              <w:tc>
                <w:tcPr>
                  <w:tcW w:w="454" w:type="pct"/>
                  <w:vAlign w:val="center"/>
                </w:tcPr>
                <w:p>
                  <w:pPr>
                    <w:adjustRightInd w:val="0"/>
                    <w:snapToGrid w:val="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0" w:type="pct"/>
                  <w:vMerge w:val="continue"/>
                  <w:vAlign w:val="center"/>
                </w:tcPr>
                <w:p>
                  <w:pPr>
                    <w:pStyle w:val="42"/>
                    <w:adjustRightInd w:val="0"/>
                    <w:snapToGrid w:val="0"/>
                    <w:spacing w:line="240" w:lineRule="auto"/>
                    <w:rPr>
                      <w:rFonts w:eastAsia="宋体"/>
                      <w:b/>
                      <w:color w:val="auto"/>
                      <w:sz w:val="21"/>
                      <w:szCs w:val="21"/>
                      <w:highlight w:val="none"/>
                    </w:rPr>
                  </w:pPr>
                </w:p>
              </w:tc>
              <w:tc>
                <w:tcPr>
                  <w:tcW w:w="2069" w:type="pct"/>
                  <w:vAlign w:val="center"/>
                </w:tcPr>
                <w:p>
                  <w:pPr>
                    <w:pStyle w:val="42"/>
                    <w:adjustRightInd w:val="0"/>
                    <w:snapToGrid w:val="0"/>
                    <w:spacing w:line="240" w:lineRule="auto"/>
                    <w:rPr>
                      <w:rFonts w:eastAsia="宋体"/>
                      <w:color w:val="auto"/>
                      <w:sz w:val="21"/>
                      <w:szCs w:val="21"/>
                      <w:highlight w:val="none"/>
                    </w:rPr>
                  </w:pPr>
                  <w:r>
                    <w:rPr>
                      <w:rFonts w:eastAsia="宋体"/>
                      <w:color w:val="auto"/>
                      <w:sz w:val="21"/>
                      <w:szCs w:val="21"/>
                      <w:highlight w:val="none"/>
                    </w:rPr>
                    <w:t>产生挥发性有机物废气的生产经营活动，应当在密闭空间或者设备中进行，并设置废气收集和处理系统等污染防治设施，保持其正常使用</w:t>
                  </w:r>
                </w:p>
              </w:tc>
              <w:tc>
                <w:tcPr>
                  <w:tcW w:w="1616" w:type="pct"/>
                  <w:vAlign w:val="center"/>
                </w:tcPr>
                <w:p>
                  <w:pPr>
                    <w:pStyle w:val="42"/>
                    <w:adjustRightInd w:val="0"/>
                    <w:snapToGrid w:val="0"/>
                    <w:spacing w:line="240" w:lineRule="auto"/>
                    <w:rPr>
                      <w:rFonts w:hint="eastAsia" w:eastAsia="宋体"/>
                      <w:color w:val="auto"/>
                      <w:sz w:val="21"/>
                      <w:szCs w:val="21"/>
                      <w:highlight w:val="none"/>
                      <w:lang w:eastAsia="zh-CN"/>
                    </w:rPr>
                  </w:pPr>
                  <w:r>
                    <w:rPr>
                      <w:rFonts w:eastAsia="宋体"/>
                      <w:color w:val="auto"/>
                      <w:sz w:val="21"/>
                      <w:szCs w:val="21"/>
                      <w:highlight w:val="none"/>
                    </w:rPr>
                    <w:t>项目</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eastAsia="宋体"/>
                      <w:color w:val="auto"/>
                      <w:sz w:val="21"/>
                      <w:szCs w:val="21"/>
                      <w:highlight w:val="none"/>
                    </w:rPr>
                    <w:t>有机废气经半密闭集气罩收集，收集后的有机废气经过二级活性炭吸附装置处理，生产过程中</w:t>
                  </w:r>
                  <w:r>
                    <w:rPr>
                      <w:rFonts w:eastAsia="宋体"/>
                      <w:color w:val="auto"/>
                      <w:sz w:val="21"/>
                      <w:szCs w:val="21"/>
                      <w:highlight w:val="none"/>
                    </w:rPr>
                    <w:t>污染防治设施正常使用</w:t>
                  </w:r>
                  <w:r>
                    <w:rPr>
                      <w:rFonts w:hint="eastAsia" w:eastAsia="宋体"/>
                      <w:color w:val="auto"/>
                      <w:sz w:val="21"/>
                      <w:szCs w:val="21"/>
                      <w:highlight w:val="none"/>
                      <w:lang w:eastAsia="zh-CN"/>
                    </w:rPr>
                    <w:t>。</w:t>
                  </w:r>
                </w:p>
              </w:tc>
              <w:tc>
                <w:tcPr>
                  <w:tcW w:w="454" w:type="pct"/>
                  <w:vAlign w:val="center"/>
                </w:tcPr>
                <w:p>
                  <w:pPr>
                    <w:adjustRightInd w:val="0"/>
                    <w:snapToGrid w:val="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Align w:val="center"/>
                </w:tcPr>
                <w:p>
                  <w:pPr>
                    <w:pStyle w:val="42"/>
                    <w:adjustRightInd w:val="0"/>
                    <w:snapToGrid w:val="0"/>
                    <w:spacing w:line="240" w:lineRule="auto"/>
                    <w:rPr>
                      <w:rFonts w:eastAsia="宋体"/>
                      <w:b/>
                      <w:color w:val="auto"/>
                      <w:sz w:val="21"/>
                      <w:szCs w:val="21"/>
                      <w:highlight w:val="none"/>
                    </w:rPr>
                  </w:pPr>
                  <w:r>
                    <w:rPr>
                      <w:rFonts w:eastAsia="宋体"/>
                      <w:b/>
                      <w:color w:val="auto"/>
                      <w:sz w:val="21"/>
                      <w:szCs w:val="21"/>
                      <w:highlight w:val="none"/>
                    </w:rPr>
                    <w:t>《江苏省重点行业挥发性有机物污染控制指南》</w:t>
                  </w:r>
                </w:p>
              </w:tc>
              <w:tc>
                <w:tcPr>
                  <w:tcW w:w="2069" w:type="pct"/>
                  <w:vAlign w:val="center"/>
                </w:tcPr>
                <w:p>
                  <w:pPr>
                    <w:pStyle w:val="42"/>
                    <w:adjustRightInd w:val="0"/>
                    <w:snapToGrid w:val="0"/>
                    <w:spacing w:line="240" w:lineRule="auto"/>
                    <w:rPr>
                      <w:rFonts w:eastAsia="宋体"/>
                      <w:color w:val="auto"/>
                      <w:sz w:val="21"/>
                      <w:szCs w:val="21"/>
                      <w:highlight w:val="none"/>
                    </w:rPr>
                  </w:pPr>
                  <w:r>
                    <w:rPr>
                      <w:rFonts w:eastAsia="宋体"/>
                      <w:color w:val="auto"/>
                      <w:sz w:val="21"/>
                      <w:szCs w:val="21"/>
                      <w:highlight w:val="none"/>
                    </w:rPr>
                    <w:t>对浓度、性状差异较大的废气应分类收集，并采用适宜的方式进行有效处理，确保VOCs总去除效率满足管理要求，其中有机化工、医药化工、橡胶和塑料制品（有溶剂浸胶工艺）、溶剂型涂料表面涂装、包装印刷业的VOCs总收集、净化处理率均不低于90%，其他行业原则上不低于75%。</w:t>
                  </w:r>
                </w:p>
              </w:tc>
              <w:tc>
                <w:tcPr>
                  <w:tcW w:w="1616" w:type="pct"/>
                  <w:vAlign w:val="center"/>
                </w:tcPr>
                <w:p>
                  <w:pPr>
                    <w:pStyle w:val="42"/>
                    <w:adjustRightInd w:val="0"/>
                    <w:snapToGrid w:val="0"/>
                    <w:spacing w:line="240" w:lineRule="auto"/>
                    <w:rPr>
                      <w:rFonts w:hint="eastAsia" w:eastAsia="宋体"/>
                      <w:color w:val="auto"/>
                      <w:sz w:val="21"/>
                      <w:szCs w:val="21"/>
                      <w:highlight w:val="none"/>
                      <w:lang w:eastAsia="zh-CN"/>
                    </w:rPr>
                  </w:pPr>
                  <w:r>
                    <w:rPr>
                      <w:rFonts w:eastAsia="宋体"/>
                      <w:color w:val="auto"/>
                      <w:sz w:val="21"/>
                      <w:szCs w:val="21"/>
                      <w:highlight w:val="none"/>
                    </w:rPr>
                    <w:t>项目</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eastAsia="宋体"/>
                      <w:color w:val="auto"/>
                      <w:sz w:val="21"/>
                      <w:szCs w:val="21"/>
                      <w:highlight w:val="none"/>
                    </w:rPr>
                    <w:t>有机废气经半密闭集气罩收集（收集效率9</w:t>
                  </w:r>
                  <w:r>
                    <w:rPr>
                      <w:rFonts w:hint="eastAsia" w:eastAsia="宋体"/>
                      <w:color w:val="auto"/>
                      <w:sz w:val="21"/>
                      <w:szCs w:val="21"/>
                      <w:highlight w:val="none"/>
                      <w:lang w:val="en-US" w:eastAsia="zh-CN"/>
                    </w:rPr>
                    <w:t>0</w:t>
                  </w:r>
                  <w:r>
                    <w:rPr>
                      <w:rFonts w:hint="eastAsia" w:eastAsia="宋体"/>
                      <w:color w:val="auto"/>
                      <w:sz w:val="21"/>
                      <w:szCs w:val="21"/>
                      <w:highlight w:val="none"/>
                    </w:rPr>
                    <w:t>%），收集后的有机废气经过二级活性炭吸附装置处理（处理效率9</w:t>
                  </w:r>
                  <w:r>
                    <w:rPr>
                      <w:rFonts w:hint="eastAsia" w:eastAsia="宋体"/>
                      <w:color w:val="auto"/>
                      <w:sz w:val="21"/>
                      <w:szCs w:val="21"/>
                      <w:highlight w:val="none"/>
                      <w:lang w:val="en-US" w:eastAsia="zh-CN"/>
                    </w:rPr>
                    <w:t>0</w:t>
                  </w:r>
                  <w:r>
                    <w:rPr>
                      <w:rFonts w:hint="eastAsia" w:eastAsia="宋体"/>
                      <w:color w:val="auto"/>
                      <w:sz w:val="21"/>
                      <w:szCs w:val="21"/>
                      <w:highlight w:val="none"/>
                    </w:rPr>
                    <w:t>%＞75%），项目无</w:t>
                  </w:r>
                  <w:r>
                    <w:rPr>
                      <w:rFonts w:eastAsia="宋体"/>
                      <w:color w:val="auto"/>
                      <w:sz w:val="21"/>
                      <w:szCs w:val="21"/>
                      <w:highlight w:val="none"/>
                    </w:rPr>
                    <w:t>溶剂浸胶工艺</w:t>
                  </w:r>
                  <w:r>
                    <w:rPr>
                      <w:rFonts w:hint="eastAsia" w:eastAsia="宋体"/>
                      <w:color w:val="auto"/>
                      <w:sz w:val="21"/>
                      <w:szCs w:val="21"/>
                      <w:highlight w:val="none"/>
                    </w:rPr>
                    <w:t>，不使用溶剂型涂料，因此满足相应要求</w:t>
                  </w:r>
                  <w:r>
                    <w:rPr>
                      <w:rFonts w:hint="eastAsia" w:eastAsia="宋体"/>
                      <w:color w:val="auto"/>
                      <w:sz w:val="21"/>
                      <w:szCs w:val="21"/>
                      <w:highlight w:val="none"/>
                      <w:lang w:eastAsia="zh-CN"/>
                    </w:rPr>
                    <w:t>。</w:t>
                  </w:r>
                </w:p>
              </w:tc>
              <w:tc>
                <w:tcPr>
                  <w:tcW w:w="454" w:type="pct"/>
                  <w:vAlign w:val="center"/>
                </w:tcPr>
                <w:p>
                  <w:pPr>
                    <w:pStyle w:val="42"/>
                    <w:adjustRightInd w:val="0"/>
                    <w:snapToGrid w:val="0"/>
                    <w:spacing w:line="240" w:lineRule="auto"/>
                    <w:rPr>
                      <w:rFonts w:eastAsia="宋体"/>
                      <w:color w:val="auto"/>
                      <w:sz w:val="21"/>
                      <w:szCs w:val="21"/>
                      <w:highlight w:val="none"/>
                    </w:rPr>
                  </w:pPr>
                  <w:r>
                    <w:rPr>
                      <w:rFonts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Align w:val="center"/>
                </w:tcPr>
                <w:p>
                  <w:pPr>
                    <w:pStyle w:val="42"/>
                    <w:adjustRightInd w:val="0"/>
                    <w:snapToGrid w:val="0"/>
                    <w:spacing w:line="240" w:lineRule="auto"/>
                    <w:rPr>
                      <w:rFonts w:eastAsia="宋体"/>
                      <w:b/>
                      <w:color w:val="auto"/>
                      <w:sz w:val="21"/>
                      <w:szCs w:val="21"/>
                      <w:highlight w:val="none"/>
                    </w:rPr>
                  </w:pPr>
                  <w:r>
                    <w:rPr>
                      <w:rFonts w:eastAsia="宋体"/>
                      <w:b/>
                      <w:bCs/>
                      <w:color w:val="auto"/>
                      <w:sz w:val="21"/>
                      <w:szCs w:val="21"/>
                      <w:highlight w:val="none"/>
                    </w:rPr>
                    <w:t>《重点行业挥发性有机物综合治理方案》</w:t>
                  </w:r>
                </w:p>
              </w:tc>
              <w:tc>
                <w:tcPr>
                  <w:tcW w:w="2069" w:type="pct"/>
                  <w:vAlign w:val="center"/>
                </w:tcPr>
                <w:p>
                  <w:pPr>
                    <w:pStyle w:val="42"/>
                    <w:adjustRightInd w:val="0"/>
                    <w:snapToGrid w:val="0"/>
                    <w:spacing w:line="240" w:lineRule="auto"/>
                    <w:rPr>
                      <w:rFonts w:eastAsia="宋体"/>
                      <w:color w:val="auto"/>
                      <w:sz w:val="21"/>
                      <w:szCs w:val="21"/>
                      <w:highlight w:val="none"/>
                    </w:rPr>
                  </w:pPr>
                  <w:r>
                    <w:rPr>
                      <w:rFonts w:hint="eastAsia" w:eastAsia="宋体"/>
                      <w:color w:val="auto"/>
                      <w:sz w:val="21"/>
                      <w:szCs w:val="21"/>
                      <w:highlight w:val="none"/>
                    </w:rPr>
                    <w:t>遵循“应收尽收、分质收集”的原则，科学设计废气收集系统，将无组织排放转变为有组织排放进行控制。</w:t>
                  </w:r>
                </w:p>
              </w:tc>
              <w:tc>
                <w:tcPr>
                  <w:tcW w:w="1616" w:type="pct"/>
                  <w:vAlign w:val="center"/>
                </w:tcPr>
                <w:p>
                  <w:pPr>
                    <w:pStyle w:val="42"/>
                    <w:adjustRightInd w:val="0"/>
                    <w:snapToGrid w:val="0"/>
                    <w:spacing w:line="240" w:lineRule="auto"/>
                    <w:rPr>
                      <w:rFonts w:hint="eastAsia" w:eastAsia="宋体"/>
                      <w:color w:val="auto"/>
                      <w:sz w:val="21"/>
                      <w:szCs w:val="21"/>
                      <w:highlight w:val="none"/>
                      <w:lang w:eastAsia="zh-CN"/>
                    </w:rPr>
                  </w:pPr>
                  <w:r>
                    <w:rPr>
                      <w:rFonts w:eastAsia="宋体"/>
                      <w:color w:val="auto"/>
                      <w:sz w:val="21"/>
                      <w:szCs w:val="21"/>
                      <w:highlight w:val="none"/>
                    </w:rPr>
                    <w:t>项目</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eastAsia="宋体"/>
                      <w:color w:val="auto"/>
                      <w:sz w:val="21"/>
                      <w:szCs w:val="21"/>
                      <w:highlight w:val="none"/>
                    </w:rPr>
                    <w:t>废气经半密闭集气罩收集，收集后的有机废气经过二级活性炭吸附装置处理后通过18m排气筒（DA001）达标排放，尽量减少无组织废气的排放</w:t>
                  </w:r>
                  <w:r>
                    <w:rPr>
                      <w:rFonts w:hint="eastAsia" w:eastAsia="宋体"/>
                      <w:color w:val="auto"/>
                      <w:sz w:val="21"/>
                      <w:szCs w:val="21"/>
                      <w:highlight w:val="none"/>
                      <w:lang w:eastAsia="zh-CN"/>
                    </w:rPr>
                    <w:t>。</w:t>
                  </w:r>
                </w:p>
              </w:tc>
              <w:tc>
                <w:tcPr>
                  <w:tcW w:w="454" w:type="pct"/>
                  <w:vAlign w:val="center"/>
                </w:tcPr>
                <w:p>
                  <w:pPr>
                    <w:pStyle w:val="42"/>
                    <w:adjustRightInd w:val="0"/>
                    <w:snapToGrid w:val="0"/>
                    <w:spacing w:line="240" w:lineRule="auto"/>
                    <w:rPr>
                      <w:rFonts w:eastAsia="宋体"/>
                      <w:color w:val="auto"/>
                      <w:sz w:val="21"/>
                      <w:szCs w:val="21"/>
                      <w:highlight w:val="none"/>
                    </w:rPr>
                  </w:pPr>
                  <w:r>
                    <w:rPr>
                      <w:rFonts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860" w:type="pct"/>
                  <w:vAlign w:val="center"/>
                </w:tcPr>
                <w:p>
                  <w:pPr>
                    <w:pStyle w:val="42"/>
                    <w:adjustRightInd w:val="0"/>
                    <w:snapToGrid w:val="0"/>
                    <w:spacing w:line="240" w:lineRule="auto"/>
                    <w:rPr>
                      <w:rFonts w:eastAsia="宋体"/>
                      <w:b/>
                      <w:bCs/>
                      <w:color w:val="auto"/>
                      <w:sz w:val="21"/>
                      <w:szCs w:val="21"/>
                      <w:highlight w:val="none"/>
                    </w:rPr>
                  </w:pPr>
                  <w:r>
                    <w:rPr>
                      <w:rFonts w:hint="eastAsia" w:eastAsia="宋体"/>
                      <w:b/>
                      <w:bCs/>
                      <w:color w:val="auto"/>
                      <w:sz w:val="21"/>
                      <w:szCs w:val="21"/>
                      <w:highlight w:val="none"/>
                    </w:rPr>
                    <w:t>《江苏省挥发性有机物清洁原料替代工作方案》</w:t>
                  </w:r>
                </w:p>
              </w:tc>
              <w:tc>
                <w:tcPr>
                  <w:tcW w:w="2069" w:type="pct"/>
                  <w:vAlign w:val="center"/>
                </w:tcPr>
                <w:p>
                  <w:pPr>
                    <w:pStyle w:val="42"/>
                    <w:adjustRightInd w:val="0"/>
                    <w:snapToGrid w:val="0"/>
                    <w:spacing w:line="240" w:lineRule="auto"/>
                    <w:rPr>
                      <w:rFonts w:eastAsia="宋体"/>
                      <w:color w:val="auto"/>
                      <w:sz w:val="21"/>
                      <w:szCs w:val="21"/>
                      <w:highlight w:val="none"/>
                    </w:rPr>
                  </w:pPr>
                  <w:r>
                    <w:rPr>
                      <w:rFonts w:hint="eastAsia" w:eastAsia="宋体"/>
                      <w:color w:val="auto"/>
                      <w:sz w:val="21"/>
                      <w:szCs w:val="21"/>
                      <w:highlight w:val="none"/>
                    </w:rPr>
                    <w:t>禁止建设生产和使用高VOCs含量的涂料、油墨、胶黏剂等项目。</w:t>
                  </w:r>
                </w:p>
              </w:tc>
              <w:tc>
                <w:tcPr>
                  <w:tcW w:w="1616" w:type="pct"/>
                  <w:vAlign w:val="center"/>
                </w:tcPr>
                <w:p>
                  <w:pPr>
                    <w:pStyle w:val="42"/>
                    <w:adjustRightInd w:val="0"/>
                    <w:snapToGrid w:val="0"/>
                    <w:spacing w:line="240" w:lineRule="auto"/>
                    <w:rPr>
                      <w:rFonts w:hint="eastAsia" w:eastAsia="宋体"/>
                      <w:color w:val="auto"/>
                      <w:sz w:val="21"/>
                      <w:szCs w:val="21"/>
                      <w:highlight w:val="none"/>
                      <w:lang w:eastAsia="zh-CN"/>
                    </w:rPr>
                  </w:pPr>
                  <w:r>
                    <w:rPr>
                      <w:rFonts w:hint="eastAsia" w:eastAsia="宋体"/>
                      <w:color w:val="auto"/>
                      <w:sz w:val="21"/>
                      <w:szCs w:val="21"/>
                      <w:highlight w:val="none"/>
                    </w:rPr>
                    <w:t>项目建设不涉及生产和使用高VOCs含量的涂料、油墨、胶黏剂</w:t>
                  </w:r>
                  <w:r>
                    <w:rPr>
                      <w:rFonts w:hint="eastAsia" w:eastAsia="宋体"/>
                      <w:color w:val="auto"/>
                      <w:sz w:val="21"/>
                      <w:szCs w:val="21"/>
                      <w:highlight w:val="none"/>
                      <w:lang w:eastAsia="zh-CN"/>
                    </w:rPr>
                    <w:t>。</w:t>
                  </w:r>
                </w:p>
              </w:tc>
              <w:tc>
                <w:tcPr>
                  <w:tcW w:w="454" w:type="pct"/>
                  <w:vAlign w:val="center"/>
                </w:tcPr>
                <w:p>
                  <w:pPr>
                    <w:pStyle w:val="42"/>
                    <w:adjustRightInd w:val="0"/>
                    <w:snapToGrid w:val="0"/>
                    <w:spacing w:line="240" w:lineRule="auto"/>
                    <w:rPr>
                      <w:rFonts w:eastAsia="宋体"/>
                      <w:color w:val="auto"/>
                      <w:sz w:val="21"/>
                      <w:szCs w:val="21"/>
                      <w:highlight w:val="none"/>
                    </w:rPr>
                  </w:pPr>
                  <w:r>
                    <w:rPr>
                      <w:rFonts w:hint="eastAsia"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Merge w:val="restart"/>
                  <w:vAlign w:val="center"/>
                </w:tcPr>
                <w:p>
                  <w:pPr>
                    <w:pStyle w:val="42"/>
                    <w:adjustRightInd w:val="0"/>
                    <w:snapToGrid w:val="0"/>
                    <w:spacing w:line="240" w:lineRule="auto"/>
                    <w:rPr>
                      <w:rFonts w:eastAsia="宋体"/>
                      <w:b/>
                      <w:bCs/>
                      <w:color w:val="auto"/>
                      <w:sz w:val="21"/>
                      <w:szCs w:val="21"/>
                      <w:highlight w:val="none"/>
                    </w:rPr>
                  </w:pPr>
                  <w:r>
                    <w:rPr>
                      <w:rFonts w:hint="eastAsia" w:eastAsia="宋体"/>
                      <w:b/>
                      <w:bCs/>
                      <w:color w:val="auto"/>
                      <w:sz w:val="21"/>
                      <w:szCs w:val="21"/>
                      <w:highlight w:val="none"/>
                    </w:rPr>
                    <w:t>《2021年常州市深入打好污染防治攻坚战工作方案》</w:t>
                  </w:r>
                </w:p>
              </w:tc>
              <w:tc>
                <w:tcPr>
                  <w:tcW w:w="2069" w:type="pct"/>
                  <w:vAlign w:val="center"/>
                </w:tcPr>
                <w:p>
                  <w:pPr>
                    <w:pStyle w:val="42"/>
                    <w:adjustRightInd w:val="0"/>
                    <w:snapToGrid w:val="0"/>
                    <w:spacing w:line="240" w:lineRule="auto"/>
                    <w:rPr>
                      <w:rFonts w:eastAsia="宋体"/>
                      <w:color w:val="auto"/>
                      <w:sz w:val="21"/>
                      <w:szCs w:val="21"/>
                      <w:highlight w:val="none"/>
                    </w:rPr>
                  </w:pPr>
                  <w:r>
                    <w:rPr>
                      <w:rFonts w:hint="eastAsia" w:eastAsia="宋体"/>
                      <w:color w:val="auto"/>
                      <w:sz w:val="21"/>
                      <w:szCs w:val="21"/>
                      <w:highlight w:val="none"/>
                    </w:rPr>
                    <w:t>推广实施《低挥发性有机化合物含量涂料产品技术要求》（GB/T38597-2020），完成低挥发性有机物等原辅料源头替代项目50个以上。</w:t>
                  </w:r>
                </w:p>
              </w:tc>
              <w:tc>
                <w:tcPr>
                  <w:tcW w:w="1616" w:type="pct"/>
                  <w:vAlign w:val="center"/>
                </w:tcPr>
                <w:p>
                  <w:pPr>
                    <w:pStyle w:val="42"/>
                    <w:adjustRightInd w:val="0"/>
                    <w:snapToGrid w:val="0"/>
                    <w:spacing w:line="240" w:lineRule="auto"/>
                    <w:rPr>
                      <w:rFonts w:hint="eastAsia" w:eastAsia="宋体"/>
                      <w:color w:val="auto"/>
                      <w:sz w:val="21"/>
                      <w:szCs w:val="21"/>
                      <w:highlight w:val="none"/>
                      <w:lang w:eastAsia="zh-CN"/>
                    </w:rPr>
                  </w:pPr>
                  <w:r>
                    <w:rPr>
                      <w:rFonts w:hint="eastAsia" w:eastAsia="宋体"/>
                      <w:color w:val="auto"/>
                      <w:sz w:val="21"/>
                      <w:szCs w:val="21"/>
                      <w:highlight w:val="none"/>
                    </w:rPr>
                    <w:t>本项目不使用涂料</w:t>
                  </w:r>
                  <w:r>
                    <w:rPr>
                      <w:rFonts w:hint="eastAsia" w:eastAsia="宋体"/>
                      <w:color w:val="auto"/>
                      <w:sz w:val="21"/>
                      <w:szCs w:val="21"/>
                      <w:highlight w:val="none"/>
                      <w:lang w:eastAsia="zh-CN"/>
                    </w:rPr>
                    <w:t>。</w:t>
                  </w:r>
                </w:p>
              </w:tc>
              <w:tc>
                <w:tcPr>
                  <w:tcW w:w="454" w:type="pct"/>
                  <w:vAlign w:val="center"/>
                </w:tcPr>
                <w:p>
                  <w:pPr>
                    <w:pStyle w:val="42"/>
                    <w:adjustRightInd w:val="0"/>
                    <w:snapToGrid w:val="0"/>
                    <w:spacing w:line="240" w:lineRule="auto"/>
                    <w:rPr>
                      <w:rFonts w:eastAsia="宋体"/>
                      <w:color w:val="auto"/>
                      <w:sz w:val="21"/>
                      <w:szCs w:val="21"/>
                      <w:highlight w:val="none"/>
                    </w:rPr>
                  </w:pPr>
                  <w:r>
                    <w:rPr>
                      <w:rFonts w:hint="eastAsia"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Merge w:val="continue"/>
                  <w:vAlign w:val="center"/>
                </w:tcPr>
                <w:p>
                  <w:pPr>
                    <w:pStyle w:val="42"/>
                    <w:adjustRightInd w:val="0"/>
                    <w:snapToGrid w:val="0"/>
                    <w:spacing w:line="240" w:lineRule="auto"/>
                    <w:rPr>
                      <w:rFonts w:eastAsia="宋体"/>
                      <w:b/>
                      <w:bCs/>
                      <w:color w:val="auto"/>
                      <w:sz w:val="21"/>
                      <w:szCs w:val="21"/>
                      <w:highlight w:val="none"/>
                    </w:rPr>
                  </w:pPr>
                </w:p>
              </w:tc>
              <w:tc>
                <w:tcPr>
                  <w:tcW w:w="2069" w:type="pct"/>
                  <w:vAlign w:val="center"/>
                </w:tcPr>
                <w:p>
                  <w:pPr>
                    <w:pStyle w:val="42"/>
                    <w:adjustRightInd w:val="0"/>
                    <w:snapToGrid w:val="0"/>
                    <w:spacing w:line="240" w:lineRule="auto"/>
                    <w:rPr>
                      <w:rFonts w:eastAsia="宋体"/>
                      <w:color w:val="auto"/>
                      <w:sz w:val="21"/>
                      <w:szCs w:val="21"/>
                      <w:highlight w:val="none"/>
                    </w:rPr>
                  </w:pPr>
                  <w:r>
                    <w:rPr>
                      <w:rFonts w:hint="eastAsia" w:eastAsia="宋体"/>
                      <w:color w:val="auto"/>
                      <w:sz w:val="21"/>
                      <w:szCs w:val="21"/>
                      <w:highlight w:val="none"/>
                    </w:rPr>
                    <w:t>工业园区和重点行业企业污水稳定达标排放，实现雨污分流、清污分流。</w:t>
                  </w:r>
                </w:p>
              </w:tc>
              <w:tc>
                <w:tcPr>
                  <w:tcW w:w="1616" w:type="pct"/>
                  <w:vAlign w:val="center"/>
                </w:tcPr>
                <w:p>
                  <w:pPr>
                    <w:pStyle w:val="42"/>
                    <w:adjustRightInd w:val="0"/>
                    <w:snapToGrid w:val="0"/>
                    <w:spacing w:line="240" w:lineRule="auto"/>
                    <w:rPr>
                      <w:rFonts w:hint="eastAsia" w:eastAsia="宋体"/>
                      <w:color w:val="auto"/>
                      <w:sz w:val="21"/>
                      <w:szCs w:val="21"/>
                      <w:highlight w:val="none"/>
                      <w:lang w:eastAsia="zh-CN"/>
                    </w:rPr>
                  </w:pPr>
                  <w:r>
                    <w:rPr>
                      <w:rFonts w:hint="eastAsia" w:eastAsia="宋体"/>
                      <w:color w:val="auto"/>
                      <w:sz w:val="21"/>
                      <w:szCs w:val="21"/>
                      <w:highlight w:val="none"/>
                    </w:rPr>
                    <w:t>项目所在金坛经济开发区已实施雨污分流、清污分流</w:t>
                  </w:r>
                  <w:r>
                    <w:rPr>
                      <w:rFonts w:hint="eastAsia" w:eastAsia="宋体"/>
                      <w:color w:val="auto"/>
                      <w:sz w:val="21"/>
                      <w:szCs w:val="21"/>
                      <w:highlight w:val="none"/>
                      <w:lang w:eastAsia="zh-CN"/>
                    </w:rPr>
                    <w:t>。</w:t>
                  </w:r>
                </w:p>
              </w:tc>
              <w:tc>
                <w:tcPr>
                  <w:tcW w:w="454" w:type="pct"/>
                  <w:vAlign w:val="center"/>
                </w:tcPr>
                <w:p>
                  <w:pPr>
                    <w:pStyle w:val="42"/>
                    <w:adjustRightInd w:val="0"/>
                    <w:snapToGrid w:val="0"/>
                    <w:spacing w:line="240" w:lineRule="auto"/>
                    <w:rPr>
                      <w:rFonts w:eastAsia="宋体"/>
                      <w:color w:val="auto"/>
                      <w:sz w:val="21"/>
                      <w:szCs w:val="21"/>
                      <w:highlight w:val="none"/>
                    </w:rPr>
                  </w:pPr>
                  <w:r>
                    <w:rPr>
                      <w:rFonts w:hint="eastAsia"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Merge w:val="continue"/>
                  <w:vAlign w:val="center"/>
                </w:tcPr>
                <w:p>
                  <w:pPr>
                    <w:pStyle w:val="42"/>
                    <w:adjustRightInd w:val="0"/>
                    <w:snapToGrid w:val="0"/>
                    <w:spacing w:line="240" w:lineRule="auto"/>
                    <w:rPr>
                      <w:rFonts w:eastAsia="宋体"/>
                      <w:b/>
                      <w:bCs/>
                      <w:color w:val="auto"/>
                      <w:sz w:val="21"/>
                      <w:szCs w:val="21"/>
                      <w:highlight w:val="none"/>
                    </w:rPr>
                  </w:pPr>
                </w:p>
              </w:tc>
              <w:tc>
                <w:tcPr>
                  <w:tcW w:w="2069" w:type="pct"/>
                  <w:vAlign w:val="center"/>
                </w:tcPr>
                <w:p>
                  <w:pPr>
                    <w:pStyle w:val="42"/>
                    <w:adjustRightInd w:val="0"/>
                    <w:snapToGrid w:val="0"/>
                    <w:spacing w:line="240" w:lineRule="auto"/>
                    <w:rPr>
                      <w:rFonts w:eastAsia="宋体"/>
                      <w:color w:val="auto"/>
                      <w:sz w:val="21"/>
                      <w:szCs w:val="21"/>
                      <w:highlight w:val="none"/>
                    </w:rPr>
                  </w:pPr>
                  <w:r>
                    <w:rPr>
                      <w:rFonts w:hint="eastAsia" w:eastAsia="宋体"/>
                      <w:color w:val="auto"/>
                      <w:sz w:val="21"/>
                      <w:szCs w:val="21"/>
                      <w:highlight w:val="none"/>
                    </w:rPr>
                    <w:t>深入打击和遏制危险废物非法转移倾倒等环境违法犯罪行为，建立问题清单，实行销号管理。</w:t>
                  </w:r>
                </w:p>
              </w:tc>
              <w:tc>
                <w:tcPr>
                  <w:tcW w:w="1616" w:type="pct"/>
                  <w:vAlign w:val="center"/>
                </w:tcPr>
                <w:p>
                  <w:pPr>
                    <w:pStyle w:val="42"/>
                    <w:adjustRightInd w:val="0"/>
                    <w:snapToGrid w:val="0"/>
                    <w:spacing w:line="240" w:lineRule="auto"/>
                    <w:rPr>
                      <w:rFonts w:hint="eastAsia" w:eastAsia="宋体"/>
                      <w:color w:val="auto"/>
                      <w:sz w:val="21"/>
                      <w:szCs w:val="21"/>
                      <w:highlight w:val="none"/>
                      <w:lang w:eastAsia="zh-CN"/>
                    </w:rPr>
                  </w:pPr>
                  <w:r>
                    <w:rPr>
                      <w:rFonts w:hint="eastAsia" w:eastAsia="宋体"/>
                      <w:color w:val="auto"/>
                      <w:sz w:val="21"/>
                      <w:szCs w:val="21"/>
                      <w:highlight w:val="none"/>
                    </w:rPr>
                    <w:t>项目产生的危险废物收集后暂存于危险废物仓库，定期委托有资质单位处置</w:t>
                  </w:r>
                  <w:r>
                    <w:rPr>
                      <w:rFonts w:hint="eastAsia" w:eastAsia="宋体"/>
                      <w:color w:val="auto"/>
                      <w:sz w:val="21"/>
                      <w:szCs w:val="21"/>
                      <w:highlight w:val="none"/>
                      <w:lang w:eastAsia="zh-CN"/>
                    </w:rPr>
                    <w:t>。</w:t>
                  </w:r>
                </w:p>
              </w:tc>
              <w:tc>
                <w:tcPr>
                  <w:tcW w:w="454" w:type="pct"/>
                  <w:vAlign w:val="center"/>
                </w:tcPr>
                <w:p>
                  <w:pPr>
                    <w:pStyle w:val="42"/>
                    <w:adjustRightInd w:val="0"/>
                    <w:snapToGrid w:val="0"/>
                    <w:spacing w:line="240" w:lineRule="auto"/>
                    <w:rPr>
                      <w:rFonts w:eastAsia="宋体"/>
                      <w:color w:val="auto"/>
                      <w:sz w:val="21"/>
                      <w:szCs w:val="21"/>
                      <w:highlight w:val="none"/>
                    </w:rPr>
                  </w:pPr>
                  <w:r>
                    <w:rPr>
                      <w:rFonts w:hint="eastAsia"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Align w:val="center"/>
                </w:tcPr>
                <w:p>
                  <w:pPr>
                    <w:pStyle w:val="42"/>
                    <w:adjustRightInd w:val="0"/>
                    <w:snapToGrid w:val="0"/>
                    <w:spacing w:line="240" w:lineRule="auto"/>
                    <w:rPr>
                      <w:rFonts w:eastAsia="宋体"/>
                      <w:b/>
                      <w:bCs/>
                      <w:color w:val="auto"/>
                      <w:sz w:val="21"/>
                      <w:szCs w:val="21"/>
                      <w:highlight w:val="none"/>
                    </w:rPr>
                  </w:pPr>
                  <w:r>
                    <w:rPr>
                      <w:rFonts w:hint="eastAsia" w:eastAsia="宋体"/>
                      <w:b/>
                      <w:bCs/>
                      <w:color w:val="auto"/>
                      <w:sz w:val="21"/>
                      <w:szCs w:val="21"/>
                      <w:highlight w:val="none"/>
                    </w:rPr>
                    <w:t>《关于印发常州市挥发性有机物清洁原料替代工作方案的通知》（常污防攻坚指办〔2021〕32号）</w:t>
                  </w:r>
                </w:p>
              </w:tc>
              <w:tc>
                <w:tcPr>
                  <w:tcW w:w="2069" w:type="pct"/>
                  <w:vAlign w:val="center"/>
                </w:tcPr>
                <w:p>
                  <w:pPr>
                    <w:pStyle w:val="42"/>
                    <w:adjustRightInd w:val="0"/>
                    <w:snapToGrid w:val="0"/>
                    <w:spacing w:line="240" w:lineRule="auto"/>
                    <w:rPr>
                      <w:rFonts w:eastAsia="宋体"/>
                      <w:color w:val="auto"/>
                      <w:sz w:val="21"/>
                      <w:szCs w:val="21"/>
                      <w:highlight w:val="none"/>
                    </w:rPr>
                  </w:pPr>
                  <w:r>
                    <w:rPr>
                      <w:rFonts w:hint="eastAsia" w:eastAsia="宋体"/>
                      <w:color w:val="auto"/>
                      <w:szCs w:val="21"/>
                    </w:rPr>
                    <w:t>加快推进182家企业清洁原料替代工作。实施替代的企业要使用符合《低挥发性有机化合物含量涂料产品技术要求》（GB/T38597-2020）规定的粉末、水性、无溶剂、辐射固化涂料产品；符合《油墨中可挥发性有机化合物（VOCs）含量的限值》（GB38507-2020）规定的水性油墨和能量固化油墨产品；符合《清洗剂挥发性有机化合物含量限值》（GB 38508-2020）规定的水基、半水基清洗剂产品；符合《胶粘剂挥发性有机化合物限量》（GB 33372-2020）规定的水基型、本体型胶粘剂产品。若确实无法达到上述要求，应提供相应的论证说明，相关涂料、油墨、清洗剂、胶粘剂等产品应符合相关标准中VOCs含量的限值要求。</w:t>
                  </w:r>
                </w:p>
              </w:tc>
              <w:tc>
                <w:tcPr>
                  <w:tcW w:w="1616" w:type="pct"/>
                  <w:vAlign w:val="center"/>
                </w:tcPr>
                <w:p>
                  <w:pPr>
                    <w:pStyle w:val="42"/>
                    <w:adjustRightInd w:val="0"/>
                    <w:snapToGrid w:val="0"/>
                    <w:spacing w:line="240" w:lineRule="auto"/>
                    <w:rPr>
                      <w:rFonts w:hint="eastAsia" w:eastAsia="宋体"/>
                      <w:color w:val="auto"/>
                      <w:sz w:val="21"/>
                      <w:szCs w:val="21"/>
                      <w:highlight w:val="none"/>
                      <w:lang w:eastAsia="zh-CN"/>
                    </w:rPr>
                  </w:pPr>
                  <w:r>
                    <w:rPr>
                      <w:rFonts w:hint="eastAsia" w:eastAsia="宋体"/>
                      <w:color w:val="auto"/>
                      <w:sz w:val="21"/>
                      <w:szCs w:val="21"/>
                      <w:highlight w:val="none"/>
                    </w:rPr>
                    <w:t>项目不使用</w:t>
                  </w:r>
                  <w:r>
                    <w:rPr>
                      <w:rFonts w:hint="eastAsia" w:eastAsia="宋体"/>
                      <w:color w:val="auto"/>
                      <w:sz w:val="21"/>
                      <w:szCs w:val="21"/>
                      <w:highlight w:val="none"/>
                      <w:lang w:val="en-US" w:eastAsia="zh-CN"/>
                    </w:rPr>
                    <w:t>涂料、油墨、清洗剂和</w:t>
                  </w:r>
                  <w:r>
                    <w:rPr>
                      <w:rFonts w:hint="eastAsia" w:eastAsia="宋体"/>
                      <w:color w:val="auto"/>
                      <w:sz w:val="21"/>
                      <w:szCs w:val="21"/>
                      <w:highlight w:val="none"/>
                    </w:rPr>
                    <w:t>胶黏剂</w:t>
                  </w:r>
                  <w:r>
                    <w:rPr>
                      <w:rFonts w:hint="eastAsia" w:eastAsia="宋体"/>
                      <w:color w:val="auto"/>
                      <w:sz w:val="21"/>
                      <w:szCs w:val="21"/>
                      <w:highlight w:val="none"/>
                      <w:lang w:eastAsia="zh-CN"/>
                    </w:rPr>
                    <w:t>。</w:t>
                  </w:r>
                </w:p>
              </w:tc>
              <w:tc>
                <w:tcPr>
                  <w:tcW w:w="454" w:type="pct"/>
                  <w:vAlign w:val="center"/>
                </w:tcPr>
                <w:p>
                  <w:pPr>
                    <w:pStyle w:val="42"/>
                    <w:adjustRightInd w:val="0"/>
                    <w:snapToGrid w:val="0"/>
                    <w:spacing w:line="240" w:lineRule="auto"/>
                    <w:rPr>
                      <w:rFonts w:eastAsia="宋体"/>
                      <w:color w:val="auto"/>
                      <w:sz w:val="21"/>
                      <w:szCs w:val="21"/>
                      <w:highlight w:val="none"/>
                    </w:rPr>
                  </w:pPr>
                  <w:r>
                    <w:rPr>
                      <w:rFonts w:hint="eastAsia"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Merge w:val="restart"/>
                  <w:vAlign w:val="center"/>
                </w:tcPr>
                <w:p>
                  <w:pPr>
                    <w:pStyle w:val="42"/>
                    <w:adjustRightInd w:val="0"/>
                    <w:snapToGrid w:val="0"/>
                    <w:spacing w:line="240" w:lineRule="auto"/>
                    <w:rPr>
                      <w:rFonts w:eastAsia="宋体"/>
                      <w:b/>
                      <w:color w:val="auto"/>
                      <w:sz w:val="21"/>
                      <w:szCs w:val="21"/>
                      <w:highlight w:val="none"/>
                    </w:rPr>
                  </w:pPr>
                  <w:r>
                    <w:rPr>
                      <w:rFonts w:hint="eastAsia" w:eastAsia="宋体"/>
                      <w:b/>
                      <w:color w:val="auto"/>
                      <w:sz w:val="21"/>
                      <w:szCs w:val="21"/>
                      <w:highlight w:val="none"/>
                    </w:rPr>
                    <w:t>《</w:t>
                  </w:r>
                  <w:r>
                    <w:rPr>
                      <w:rFonts w:eastAsia="宋体"/>
                      <w:b/>
                      <w:color w:val="auto"/>
                      <w:sz w:val="21"/>
                      <w:szCs w:val="21"/>
                      <w:highlight w:val="none"/>
                    </w:rPr>
                    <w:t>太湖流域管理条例</w:t>
                  </w:r>
                  <w:r>
                    <w:rPr>
                      <w:rFonts w:hint="eastAsia" w:eastAsia="宋体"/>
                      <w:b/>
                      <w:color w:val="auto"/>
                      <w:sz w:val="21"/>
                      <w:szCs w:val="21"/>
                      <w:highlight w:val="none"/>
                    </w:rPr>
                    <w:t>》</w:t>
                  </w:r>
                </w:p>
              </w:tc>
              <w:tc>
                <w:tcPr>
                  <w:tcW w:w="2069" w:type="pct"/>
                  <w:vAlign w:val="center"/>
                </w:tcPr>
                <w:p>
                  <w:pPr>
                    <w:adjustRightInd w:val="0"/>
                    <w:snapToGrid w:val="0"/>
                    <w:jc w:val="center"/>
                    <w:rPr>
                      <w:color w:val="auto"/>
                      <w:sz w:val="21"/>
                      <w:szCs w:val="21"/>
                      <w:highlight w:val="none"/>
                    </w:rPr>
                  </w:pPr>
                  <w:r>
                    <w:rPr>
                      <w:color w:val="auto"/>
                      <w:sz w:val="21"/>
                      <w:szCs w:val="21"/>
                      <w:highlight w:val="none"/>
                    </w:rPr>
                    <w:t>排污单位排放水污染物，不得超过经核定的水污染物排放总量，并应当按照规定设置便于检查、采样的规范化排污口，悬挂标志牌；不得私设暗管或者采取其他规避监管的方式排放水污染物。</w:t>
                  </w:r>
                </w:p>
              </w:tc>
              <w:tc>
                <w:tcPr>
                  <w:tcW w:w="1616" w:type="pct"/>
                  <w:vAlign w:val="center"/>
                </w:tcPr>
                <w:p>
                  <w:pPr>
                    <w:adjustRightInd w:val="0"/>
                    <w:snapToGrid w:val="0"/>
                    <w:jc w:val="center"/>
                    <w:rPr>
                      <w:rFonts w:hint="eastAsia" w:eastAsia="宋体"/>
                      <w:color w:val="auto"/>
                      <w:sz w:val="21"/>
                      <w:szCs w:val="21"/>
                      <w:highlight w:val="none"/>
                      <w:lang w:eastAsia="zh-CN"/>
                    </w:rPr>
                  </w:pPr>
                  <w:r>
                    <w:rPr>
                      <w:color w:val="auto"/>
                      <w:sz w:val="21"/>
                      <w:szCs w:val="21"/>
                      <w:highlight w:val="none"/>
                    </w:rPr>
                    <w:t>本次环评要求建设单位申请</w:t>
                  </w:r>
                  <w:r>
                    <w:rPr>
                      <w:rFonts w:hint="eastAsia"/>
                      <w:color w:val="auto"/>
                      <w:sz w:val="21"/>
                      <w:szCs w:val="21"/>
                      <w:highlight w:val="none"/>
                    </w:rPr>
                    <w:t>水污染物排放</w:t>
                  </w:r>
                  <w:r>
                    <w:rPr>
                      <w:color w:val="auto"/>
                      <w:sz w:val="21"/>
                      <w:szCs w:val="21"/>
                      <w:highlight w:val="none"/>
                    </w:rPr>
                    <w:t>总量，按照规定设置便于检查、采样的规范化排放口，悬挂标志牌；</w:t>
                  </w:r>
                  <w:r>
                    <w:rPr>
                      <w:rFonts w:hint="eastAsia"/>
                      <w:color w:val="auto"/>
                      <w:sz w:val="21"/>
                      <w:szCs w:val="21"/>
                      <w:highlight w:val="none"/>
                    </w:rPr>
                    <w:t>建设单位</w:t>
                  </w:r>
                  <w:r>
                    <w:rPr>
                      <w:color w:val="auto"/>
                      <w:sz w:val="21"/>
                      <w:szCs w:val="21"/>
                      <w:highlight w:val="none"/>
                    </w:rPr>
                    <w:t>不得私设暗管或者采取其他规范监管的方式排放水污染物</w:t>
                  </w:r>
                  <w:r>
                    <w:rPr>
                      <w:rFonts w:hint="eastAsia"/>
                      <w:color w:val="auto"/>
                      <w:sz w:val="21"/>
                      <w:szCs w:val="21"/>
                      <w:highlight w:val="none"/>
                      <w:lang w:eastAsia="zh-CN"/>
                    </w:rPr>
                    <w:t>。</w:t>
                  </w:r>
                </w:p>
              </w:tc>
              <w:tc>
                <w:tcPr>
                  <w:tcW w:w="454" w:type="pct"/>
                  <w:vAlign w:val="center"/>
                </w:tcPr>
                <w:p>
                  <w:pPr>
                    <w:pStyle w:val="42"/>
                    <w:adjustRightInd w:val="0"/>
                    <w:snapToGrid w:val="0"/>
                    <w:spacing w:line="240" w:lineRule="auto"/>
                    <w:rPr>
                      <w:rFonts w:eastAsia="宋体"/>
                      <w:color w:val="auto"/>
                      <w:sz w:val="21"/>
                      <w:szCs w:val="21"/>
                      <w:highlight w:val="none"/>
                    </w:rPr>
                  </w:pPr>
                  <w:r>
                    <w:rPr>
                      <w:rFonts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Merge w:val="continue"/>
                  <w:vAlign w:val="center"/>
                </w:tcPr>
                <w:p>
                  <w:pPr>
                    <w:adjustRightInd w:val="0"/>
                    <w:snapToGrid w:val="0"/>
                    <w:jc w:val="center"/>
                    <w:rPr>
                      <w:color w:val="auto"/>
                      <w:sz w:val="21"/>
                      <w:szCs w:val="21"/>
                      <w:highlight w:val="none"/>
                    </w:rPr>
                  </w:pPr>
                </w:p>
              </w:tc>
              <w:tc>
                <w:tcPr>
                  <w:tcW w:w="2069" w:type="pct"/>
                  <w:vAlign w:val="center"/>
                </w:tcPr>
                <w:p>
                  <w:pPr>
                    <w:adjustRightInd w:val="0"/>
                    <w:snapToGrid w:val="0"/>
                    <w:jc w:val="center"/>
                    <w:rPr>
                      <w:color w:val="auto"/>
                      <w:sz w:val="21"/>
                      <w:szCs w:val="21"/>
                      <w:highlight w:val="none"/>
                    </w:rPr>
                  </w:pPr>
                  <w:r>
                    <w:rPr>
                      <w:color w:val="auto"/>
                      <w:sz w:val="21"/>
                      <w:szCs w:val="21"/>
                      <w:highlight w:val="none"/>
                    </w:rPr>
                    <w:t>禁止在太湖流域设置不符合国家产业政策和水环境综合治理要求的造纸、制革、酒精、淀粉、冶金、酿造、</w:t>
                  </w:r>
                  <w:r>
                    <w:rPr>
                      <w:rFonts w:hint="eastAsia"/>
                      <w:color w:val="auto"/>
                      <w:sz w:val="21"/>
                      <w:szCs w:val="21"/>
                      <w:highlight w:val="none"/>
                    </w:rPr>
                    <w:t>印</w:t>
                  </w:r>
                  <w:r>
                    <w:rPr>
                      <w:color w:val="auto"/>
                      <w:sz w:val="21"/>
                      <w:szCs w:val="21"/>
                      <w:highlight w:val="none"/>
                    </w:rPr>
                    <w:cr/>
                  </w:r>
                  <w:r>
                    <w:rPr>
                      <w:color w:val="auto"/>
                      <w:sz w:val="21"/>
                      <w:szCs w:val="21"/>
                      <w:highlight w:val="none"/>
                    </w:rPr>
                    <w:t>染、电镀等排放水污染物的生产项目，现有生产项目不能实现达标排放的，应当依法关闭</w:t>
                  </w:r>
                  <w:r>
                    <w:rPr>
                      <w:rFonts w:hint="eastAsia"/>
                      <w:color w:val="auto"/>
                      <w:sz w:val="21"/>
                      <w:szCs w:val="21"/>
                      <w:highlight w:val="none"/>
                    </w:rPr>
                    <w:t>。</w:t>
                  </w:r>
                </w:p>
              </w:tc>
              <w:tc>
                <w:tcPr>
                  <w:tcW w:w="1616" w:type="pct"/>
                  <w:vAlign w:val="center"/>
                </w:tcPr>
                <w:p>
                  <w:pPr>
                    <w:adjustRightInd w:val="0"/>
                    <w:snapToGrid w:val="0"/>
                    <w:jc w:val="center"/>
                    <w:rPr>
                      <w:rFonts w:hint="eastAsia" w:eastAsia="宋体"/>
                      <w:color w:val="auto"/>
                      <w:sz w:val="21"/>
                      <w:szCs w:val="21"/>
                      <w:highlight w:val="none"/>
                      <w:lang w:eastAsia="zh-CN"/>
                    </w:rPr>
                  </w:pPr>
                  <w:r>
                    <w:rPr>
                      <w:color w:val="auto"/>
                      <w:sz w:val="21"/>
                      <w:szCs w:val="21"/>
                      <w:highlight w:val="none"/>
                    </w:rPr>
                    <w:t>本项目从事</w:t>
                  </w:r>
                  <w:r>
                    <w:rPr>
                      <w:rFonts w:hint="eastAsia"/>
                      <w:color w:val="auto"/>
                      <w:sz w:val="21"/>
                      <w:szCs w:val="21"/>
                      <w:highlight w:val="none"/>
                    </w:rPr>
                    <w:t>包装材料的生产</w:t>
                  </w:r>
                  <w:r>
                    <w:rPr>
                      <w:color w:val="auto"/>
                      <w:sz w:val="21"/>
                      <w:szCs w:val="21"/>
                      <w:highlight w:val="none"/>
                    </w:rPr>
                    <w:t>，不属于禁止类项目</w:t>
                  </w:r>
                  <w:r>
                    <w:rPr>
                      <w:rFonts w:hint="eastAsia"/>
                      <w:color w:val="auto"/>
                      <w:sz w:val="21"/>
                      <w:szCs w:val="21"/>
                      <w:highlight w:val="none"/>
                      <w:lang w:eastAsia="zh-CN"/>
                    </w:rPr>
                    <w:t>。</w:t>
                  </w:r>
                </w:p>
              </w:tc>
              <w:tc>
                <w:tcPr>
                  <w:tcW w:w="454" w:type="pct"/>
                  <w:vAlign w:val="center"/>
                </w:tcPr>
                <w:p>
                  <w:pPr>
                    <w:pStyle w:val="42"/>
                    <w:adjustRightInd w:val="0"/>
                    <w:snapToGrid w:val="0"/>
                    <w:spacing w:line="240" w:lineRule="auto"/>
                    <w:rPr>
                      <w:rFonts w:eastAsia="宋体"/>
                      <w:color w:val="auto"/>
                      <w:sz w:val="21"/>
                      <w:szCs w:val="21"/>
                      <w:highlight w:val="none"/>
                    </w:rPr>
                  </w:pPr>
                  <w:r>
                    <w:rPr>
                      <w:rFonts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860" w:type="pct"/>
                  <w:vMerge w:val="continue"/>
                  <w:vAlign w:val="center"/>
                </w:tcPr>
                <w:p>
                  <w:pPr>
                    <w:adjustRightInd w:val="0"/>
                    <w:snapToGrid w:val="0"/>
                    <w:jc w:val="center"/>
                    <w:rPr>
                      <w:color w:val="auto"/>
                      <w:sz w:val="21"/>
                      <w:szCs w:val="21"/>
                      <w:highlight w:val="none"/>
                    </w:rPr>
                  </w:pPr>
                </w:p>
              </w:tc>
              <w:tc>
                <w:tcPr>
                  <w:tcW w:w="2069" w:type="pct"/>
                  <w:vAlign w:val="center"/>
                </w:tcPr>
                <w:p>
                  <w:pPr>
                    <w:adjustRightInd w:val="0"/>
                    <w:snapToGrid w:val="0"/>
                    <w:jc w:val="center"/>
                    <w:rPr>
                      <w:color w:val="auto"/>
                      <w:sz w:val="21"/>
                      <w:szCs w:val="21"/>
                      <w:highlight w:val="none"/>
                    </w:rPr>
                  </w:pPr>
                  <w:r>
                    <w:rPr>
                      <w:color w:val="auto"/>
                      <w:sz w:val="21"/>
                      <w:szCs w:val="21"/>
                      <w:highlight w:val="none"/>
                    </w:rPr>
                    <w:t>在太湖流域新设企业应当符合国家规定的清洁生产要求，现有的企业尚未达到清洁生产要求的</w:t>
                  </w:r>
                  <w:r>
                    <w:rPr>
                      <w:rFonts w:hint="eastAsia"/>
                      <w:color w:val="auto"/>
                      <w:sz w:val="21"/>
                      <w:szCs w:val="21"/>
                      <w:highlight w:val="none"/>
                    </w:rPr>
                    <w:t>，</w:t>
                  </w:r>
                  <w:r>
                    <w:rPr>
                      <w:color w:val="auto"/>
                      <w:sz w:val="21"/>
                      <w:szCs w:val="21"/>
                      <w:highlight w:val="none"/>
                    </w:rPr>
                    <w:cr/>
                  </w:r>
                  <w:r>
                    <w:rPr>
                      <w:rFonts w:hint="eastAsia"/>
                      <w:color w:val="auto"/>
                      <w:sz w:val="21"/>
                      <w:szCs w:val="21"/>
                      <w:highlight w:val="none"/>
                    </w:rPr>
                    <w:t>应当</w:t>
                  </w:r>
                  <w:r>
                    <w:rPr>
                      <w:color w:val="auto"/>
                      <w:sz w:val="21"/>
                      <w:szCs w:val="21"/>
                      <w:highlight w:val="none"/>
                    </w:rPr>
                    <w:t>按照清洁生产规划要求进行技术改造，两省一市人民政府应当加强监督检查</w:t>
                  </w:r>
                  <w:r>
                    <w:rPr>
                      <w:rFonts w:hint="eastAsia"/>
                      <w:color w:val="auto"/>
                      <w:sz w:val="21"/>
                      <w:szCs w:val="21"/>
                      <w:highlight w:val="none"/>
                    </w:rPr>
                    <w:t>。</w:t>
                  </w:r>
                </w:p>
              </w:tc>
              <w:tc>
                <w:tcPr>
                  <w:tcW w:w="1616" w:type="pct"/>
                  <w:vAlign w:val="center"/>
                </w:tcPr>
                <w:p>
                  <w:pPr>
                    <w:adjustRightInd w:val="0"/>
                    <w:snapToGrid w:val="0"/>
                    <w:jc w:val="center"/>
                    <w:rPr>
                      <w:rFonts w:hint="eastAsia" w:eastAsia="宋体"/>
                      <w:color w:val="auto"/>
                      <w:sz w:val="21"/>
                      <w:szCs w:val="21"/>
                      <w:highlight w:val="none"/>
                      <w:lang w:eastAsia="zh-CN"/>
                    </w:rPr>
                  </w:pPr>
                  <w:r>
                    <w:rPr>
                      <w:rFonts w:hint="eastAsia"/>
                      <w:color w:val="auto"/>
                      <w:sz w:val="21"/>
                      <w:szCs w:val="21"/>
                      <w:highlight w:val="none"/>
                    </w:rPr>
                    <w:t>项目为新建项目，将使用</w:t>
                  </w:r>
                  <w:r>
                    <w:rPr>
                      <w:color w:val="auto"/>
                      <w:sz w:val="21"/>
                      <w:szCs w:val="21"/>
                      <w:highlight w:val="none"/>
                    </w:rPr>
                    <w:t>符合国家规定的清洁生产要求</w:t>
                  </w:r>
                  <w:r>
                    <w:rPr>
                      <w:rFonts w:hint="eastAsia"/>
                      <w:color w:val="auto"/>
                      <w:sz w:val="21"/>
                      <w:szCs w:val="21"/>
                      <w:highlight w:val="none"/>
                    </w:rPr>
                    <w:t>的生产工艺和设备</w:t>
                  </w:r>
                  <w:r>
                    <w:rPr>
                      <w:rFonts w:hint="eastAsia"/>
                      <w:color w:val="auto"/>
                      <w:sz w:val="21"/>
                      <w:szCs w:val="21"/>
                      <w:highlight w:val="none"/>
                      <w:lang w:eastAsia="zh-CN"/>
                    </w:rPr>
                    <w:t>。</w:t>
                  </w:r>
                </w:p>
              </w:tc>
              <w:tc>
                <w:tcPr>
                  <w:tcW w:w="454" w:type="pct"/>
                  <w:vAlign w:val="center"/>
                </w:tcPr>
                <w:p>
                  <w:pPr>
                    <w:pStyle w:val="42"/>
                    <w:adjustRightInd w:val="0"/>
                    <w:snapToGrid w:val="0"/>
                    <w:spacing w:line="240" w:lineRule="auto"/>
                    <w:rPr>
                      <w:rFonts w:eastAsia="宋体"/>
                      <w:color w:val="auto"/>
                      <w:sz w:val="21"/>
                      <w:szCs w:val="21"/>
                      <w:highlight w:val="none"/>
                    </w:rPr>
                  </w:pPr>
                  <w:r>
                    <w:rPr>
                      <w:rFonts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Merge w:val="restart"/>
                  <w:vAlign w:val="center"/>
                </w:tcPr>
                <w:p>
                  <w:pPr>
                    <w:pStyle w:val="42"/>
                    <w:adjustRightInd w:val="0"/>
                    <w:snapToGrid w:val="0"/>
                    <w:spacing w:line="240" w:lineRule="auto"/>
                    <w:jc w:val="center"/>
                    <w:rPr>
                      <w:rFonts w:eastAsia="宋体"/>
                      <w:b/>
                      <w:color w:val="auto"/>
                      <w:sz w:val="21"/>
                      <w:szCs w:val="21"/>
                      <w:highlight w:val="none"/>
                    </w:rPr>
                  </w:pPr>
                  <w:r>
                    <w:rPr>
                      <w:rFonts w:hint="eastAsia" w:eastAsia="宋体"/>
                      <w:b/>
                      <w:color w:val="auto"/>
                      <w:sz w:val="21"/>
                      <w:szCs w:val="21"/>
                      <w:highlight w:val="none"/>
                    </w:rPr>
                    <w:t>《</w:t>
                  </w:r>
                  <w:r>
                    <w:rPr>
                      <w:rFonts w:eastAsia="宋体"/>
                      <w:b/>
                      <w:color w:val="auto"/>
                      <w:sz w:val="21"/>
                      <w:szCs w:val="21"/>
                      <w:highlight w:val="none"/>
                    </w:rPr>
                    <w:t>江苏省太湖水污染防治条例</w:t>
                  </w:r>
                  <w:r>
                    <w:rPr>
                      <w:rFonts w:hint="eastAsia" w:eastAsia="宋体"/>
                      <w:b/>
                      <w:color w:val="auto"/>
                      <w:sz w:val="21"/>
                      <w:szCs w:val="21"/>
                      <w:highlight w:val="none"/>
                    </w:rPr>
                    <w:t>》</w:t>
                  </w:r>
                </w:p>
              </w:tc>
              <w:tc>
                <w:tcPr>
                  <w:tcW w:w="2069" w:type="pct"/>
                  <w:vAlign w:val="center"/>
                </w:tcPr>
                <w:p>
                  <w:pPr>
                    <w:adjustRightInd w:val="0"/>
                    <w:snapToGrid w:val="0"/>
                    <w:jc w:val="center"/>
                    <w:rPr>
                      <w:color w:val="auto"/>
                      <w:sz w:val="21"/>
                      <w:szCs w:val="21"/>
                      <w:highlight w:val="none"/>
                    </w:rPr>
                  </w:pPr>
                  <w:r>
                    <w:rPr>
                      <w:color w:val="auto"/>
                      <w:sz w:val="21"/>
                      <w:szCs w:val="21"/>
                      <w:highlight w:val="none"/>
                    </w:rPr>
                    <w:t>在太湖流域新建、改建、扩建可能产生水污染的建设项目应当依法进行环境影响评价。</w:t>
                  </w:r>
                </w:p>
              </w:tc>
              <w:tc>
                <w:tcPr>
                  <w:tcW w:w="1616" w:type="pct"/>
                  <w:vAlign w:val="center"/>
                </w:tcPr>
                <w:p>
                  <w:pPr>
                    <w:adjustRightInd w:val="0"/>
                    <w:snapToGrid w:val="0"/>
                    <w:jc w:val="center"/>
                    <w:rPr>
                      <w:rFonts w:hint="eastAsia" w:eastAsia="宋体"/>
                      <w:color w:val="auto"/>
                      <w:sz w:val="21"/>
                      <w:szCs w:val="21"/>
                      <w:highlight w:val="none"/>
                      <w:lang w:eastAsia="zh-CN"/>
                    </w:rPr>
                  </w:pPr>
                  <w:r>
                    <w:rPr>
                      <w:color w:val="auto"/>
                      <w:sz w:val="21"/>
                      <w:szCs w:val="21"/>
                      <w:highlight w:val="none"/>
                    </w:rPr>
                    <w:t>本项目目前正在进行环境影响评价</w:t>
                  </w:r>
                  <w:r>
                    <w:rPr>
                      <w:rFonts w:hint="eastAsia"/>
                      <w:color w:val="auto"/>
                      <w:sz w:val="21"/>
                      <w:szCs w:val="21"/>
                      <w:highlight w:val="none"/>
                      <w:lang w:eastAsia="zh-CN"/>
                    </w:rPr>
                    <w:t>。</w:t>
                  </w:r>
                </w:p>
              </w:tc>
              <w:tc>
                <w:tcPr>
                  <w:tcW w:w="454" w:type="pct"/>
                  <w:vAlign w:val="center"/>
                </w:tcPr>
                <w:p>
                  <w:pPr>
                    <w:pStyle w:val="42"/>
                    <w:adjustRightInd w:val="0"/>
                    <w:snapToGrid w:val="0"/>
                    <w:spacing w:line="240" w:lineRule="auto"/>
                    <w:jc w:val="center"/>
                    <w:rPr>
                      <w:rFonts w:eastAsia="宋体"/>
                      <w:color w:val="auto"/>
                      <w:sz w:val="21"/>
                      <w:szCs w:val="21"/>
                      <w:highlight w:val="none"/>
                    </w:rPr>
                  </w:pPr>
                  <w:r>
                    <w:rPr>
                      <w:rFonts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Merge w:val="continue"/>
                  <w:vAlign w:val="center"/>
                </w:tcPr>
                <w:p>
                  <w:pPr>
                    <w:adjustRightInd w:val="0"/>
                    <w:snapToGrid w:val="0"/>
                    <w:jc w:val="center"/>
                    <w:rPr>
                      <w:color w:val="auto"/>
                      <w:sz w:val="21"/>
                      <w:szCs w:val="21"/>
                      <w:highlight w:val="none"/>
                    </w:rPr>
                  </w:pPr>
                </w:p>
              </w:tc>
              <w:tc>
                <w:tcPr>
                  <w:tcW w:w="2069" w:type="pct"/>
                  <w:vAlign w:val="center"/>
                </w:tcPr>
                <w:p>
                  <w:pPr>
                    <w:adjustRightInd w:val="0"/>
                    <w:snapToGrid w:val="0"/>
                    <w:jc w:val="center"/>
                    <w:rPr>
                      <w:color w:val="auto"/>
                      <w:sz w:val="21"/>
                      <w:szCs w:val="21"/>
                      <w:highlight w:val="none"/>
                    </w:rPr>
                  </w:pPr>
                  <w:r>
                    <w:rPr>
                      <w:color w:val="auto"/>
                      <w:sz w:val="21"/>
                      <w:szCs w:val="21"/>
                      <w:highlight w:val="none"/>
                    </w:rPr>
                    <w:t>建设</w:t>
                  </w:r>
                  <w:r>
                    <w:rPr>
                      <w:rFonts w:hint="eastAsia"/>
                      <w:color w:val="auto"/>
                      <w:sz w:val="21"/>
                      <w:szCs w:val="21"/>
                      <w:highlight w:val="none"/>
                    </w:rPr>
                    <w:t>项目中防治水污染的设施</w:t>
                  </w:r>
                  <w:r>
                    <w:rPr>
                      <w:color w:val="auto"/>
                      <w:sz w:val="21"/>
                      <w:szCs w:val="21"/>
                      <w:highlight w:val="none"/>
                    </w:rPr>
                    <w:t>，应当与主体工程同时设计、同时</w:t>
                  </w:r>
                  <w:r>
                    <w:rPr>
                      <w:color w:val="auto"/>
                      <w:sz w:val="21"/>
                      <w:szCs w:val="21"/>
                      <w:highlight w:val="none"/>
                    </w:rPr>
                    <w:cr/>
                  </w:r>
                  <w:r>
                    <w:rPr>
                      <w:color w:val="auto"/>
                      <w:sz w:val="21"/>
                      <w:szCs w:val="21"/>
                      <w:highlight w:val="none"/>
                    </w:rPr>
                    <w:t>施工、同时</w:t>
                  </w:r>
                  <w:r>
                    <w:rPr>
                      <w:rFonts w:hint="eastAsia"/>
                      <w:color w:val="auto"/>
                      <w:sz w:val="21"/>
                      <w:szCs w:val="21"/>
                      <w:highlight w:val="none"/>
                    </w:rPr>
                    <w:t>投产</w:t>
                  </w:r>
                  <w:r>
                    <w:rPr>
                      <w:color w:val="auto"/>
                      <w:sz w:val="21"/>
                      <w:szCs w:val="21"/>
                      <w:highlight w:val="none"/>
                    </w:rPr>
                    <w:t>使用</w:t>
                  </w:r>
                  <w:r>
                    <w:rPr>
                      <w:rFonts w:hint="eastAsia"/>
                      <w:color w:val="auto"/>
                      <w:sz w:val="21"/>
                      <w:szCs w:val="21"/>
                      <w:highlight w:val="none"/>
                    </w:rPr>
                    <w:t>。</w:t>
                  </w:r>
                </w:p>
              </w:tc>
              <w:tc>
                <w:tcPr>
                  <w:tcW w:w="1616" w:type="pct"/>
                  <w:vAlign w:val="center"/>
                </w:tcPr>
                <w:p>
                  <w:pPr>
                    <w:jc w:val="center"/>
                    <w:rPr>
                      <w:rFonts w:hint="eastAsia" w:eastAsia="宋体"/>
                      <w:color w:val="auto"/>
                      <w:sz w:val="21"/>
                      <w:szCs w:val="21"/>
                      <w:highlight w:val="none"/>
                      <w:lang w:eastAsia="zh-CN"/>
                    </w:rPr>
                  </w:pPr>
                  <w:r>
                    <w:rPr>
                      <w:rFonts w:hint="eastAsia"/>
                      <w:color w:val="auto"/>
                      <w:sz w:val="21"/>
                      <w:szCs w:val="21"/>
                      <w:highlight w:val="none"/>
                    </w:rPr>
                    <w:t>本次废水仅为生活污水，依托租赁方排水管网进入市政污水管网，不会对太湖流域造成污染</w:t>
                  </w:r>
                  <w:r>
                    <w:rPr>
                      <w:rFonts w:hint="eastAsia"/>
                      <w:color w:val="auto"/>
                      <w:sz w:val="21"/>
                      <w:szCs w:val="21"/>
                      <w:highlight w:val="none"/>
                      <w:lang w:eastAsia="zh-CN"/>
                    </w:rPr>
                    <w:t>。</w:t>
                  </w:r>
                </w:p>
              </w:tc>
              <w:tc>
                <w:tcPr>
                  <w:tcW w:w="454" w:type="pct"/>
                  <w:vAlign w:val="center"/>
                </w:tcPr>
                <w:p>
                  <w:pPr>
                    <w:pStyle w:val="42"/>
                    <w:adjustRightInd w:val="0"/>
                    <w:snapToGrid w:val="0"/>
                    <w:spacing w:line="240" w:lineRule="auto"/>
                    <w:jc w:val="center"/>
                    <w:rPr>
                      <w:rFonts w:eastAsia="宋体"/>
                      <w:color w:val="auto"/>
                      <w:sz w:val="21"/>
                      <w:szCs w:val="21"/>
                      <w:highlight w:val="none"/>
                    </w:rPr>
                  </w:pPr>
                  <w:r>
                    <w:rPr>
                      <w:rFonts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Merge w:val="continue"/>
                  <w:vAlign w:val="center"/>
                </w:tcPr>
                <w:p>
                  <w:pPr>
                    <w:adjustRightInd w:val="0"/>
                    <w:snapToGrid w:val="0"/>
                    <w:jc w:val="center"/>
                    <w:rPr>
                      <w:color w:val="auto"/>
                      <w:sz w:val="21"/>
                      <w:szCs w:val="21"/>
                      <w:highlight w:val="none"/>
                    </w:rPr>
                  </w:pPr>
                </w:p>
              </w:tc>
              <w:tc>
                <w:tcPr>
                  <w:tcW w:w="2069" w:type="pct"/>
                  <w:vAlign w:val="center"/>
                </w:tcPr>
                <w:p>
                  <w:pPr>
                    <w:adjustRightInd w:val="0"/>
                    <w:snapToGrid w:val="0"/>
                    <w:jc w:val="center"/>
                    <w:rPr>
                      <w:color w:val="auto"/>
                      <w:sz w:val="21"/>
                      <w:szCs w:val="21"/>
                      <w:highlight w:val="none"/>
                    </w:rPr>
                  </w:pPr>
                  <w:r>
                    <w:rPr>
                      <w:color w:val="auto"/>
                      <w:sz w:val="21"/>
                      <w:szCs w:val="21"/>
                      <w:highlight w:val="none"/>
                    </w:rPr>
                    <w:t>直接或者间接向水体排放污染物的企业事业单位和其他生产经营者应当按照国家和省有关规定设置排污口。禁止私设排污口</w:t>
                  </w:r>
                  <w:r>
                    <w:rPr>
                      <w:rFonts w:hint="eastAsia"/>
                      <w:color w:val="auto"/>
                      <w:sz w:val="21"/>
                      <w:szCs w:val="21"/>
                      <w:highlight w:val="none"/>
                    </w:rPr>
                    <w:t>。</w:t>
                  </w:r>
                </w:p>
              </w:tc>
              <w:tc>
                <w:tcPr>
                  <w:tcW w:w="1616" w:type="pct"/>
                  <w:vAlign w:val="center"/>
                </w:tcPr>
                <w:p>
                  <w:pPr>
                    <w:adjustRightInd w:val="0"/>
                    <w:snapToGrid w:val="0"/>
                    <w:jc w:val="center"/>
                    <w:rPr>
                      <w:rFonts w:hint="eastAsia" w:eastAsia="宋体"/>
                      <w:color w:val="auto"/>
                      <w:sz w:val="21"/>
                      <w:szCs w:val="21"/>
                      <w:highlight w:val="none"/>
                      <w:lang w:eastAsia="zh-CN"/>
                    </w:rPr>
                  </w:pPr>
                  <w:r>
                    <w:rPr>
                      <w:rFonts w:hint="eastAsia"/>
                      <w:color w:val="auto"/>
                      <w:sz w:val="21"/>
                      <w:szCs w:val="21"/>
                      <w:highlight w:val="none"/>
                    </w:rPr>
                    <w:t>项目生活污水依托租赁方排污口，建设单位不私设排污口</w:t>
                  </w:r>
                  <w:r>
                    <w:rPr>
                      <w:rFonts w:hint="eastAsia"/>
                      <w:color w:val="auto"/>
                      <w:sz w:val="21"/>
                      <w:szCs w:val="21"/>
                      <w:highlight w:val="none"/>
                      <w:lang w:eastAsia="zh-CN"/>
                    </w:rPr>
                    <w:t>。</w:t>
                  </w:r>
                </w:p>
              </w:tc>
              <w:tc>
                <w:tcPr>
                  <w:tcW w:w="454" w:type="pct"/>
                  <w:vAlign w:val="center"/>
                </w:tcPr>
                <w:p>
                  <w:pPr>
                    <w:pStyle w:val="42"/>
                    <w:adjustRightInd w:val="0"/>
                    <w:snapToGrid w:val="0"/>
                    <w:spacing w:line="240" w:lineRule="auto"/>
                    <w:jc w:val="center"/>
                    <w:rPr>
                      <w:rFonts w:eastAsia="宋体"/>
                      <w:color w:val="auto"/>
                      <w:sz w:val="21"/>
                      <w:szCs w:val="21"/>
                      <w:highlight w:val="none"/>
                    </w:rPr>
                  </w:pPr>
                  <w:r>
                    <w:rPr>
                      <w:rFonts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Merge w:val="continue"/>
                  <w:vAlign w:val="center"/>
                </w:tcPr>
                <w:p>
                  <w:pPr>
                    <w:adjustRightInd w:val="0"/>
                    <w:snapToGrid w:val="0"/>
                    <w:jc w:val="center"/>
                    <w:rPr>
                      <w:color w:val="auto"/>
                      <w:sz w:val="21"/>
                      <w:szCs w:val="21"/>
                      <w:highlight w:val="none"/>
                    </w:rPr>
                  </w:pPr>
                </w:p>
              </w:tc>
              <w:tc>
                <w:tcPr>
                  <w:tcW w:w="2069" w:type="pct"/>
                  <w:vAlign w:val="center"/>
                </w:tcPr>
                <w:p>
                  <w:pPr>
                    <w:adjustRightInd w:val="0"/>
                    <w:snapToGrid w:val="0"/>
                    <w:jc w:val="center"/>
                    <w:rPr>
                      <w:color w:val="auto"/>
                      <w:sz w:val="21"/>
                      <w:szCs w:val="21"/>
                      <w:highlight w:val="none"/>
                    </w:rPr>
                  </w:pPr>
                  <w:r>
                    <w:rPr>
                      <w:color w:val="auto"/>
                      <w:sz w:val="21"/>
                      <w:szCs w:val="21"/>
                      <w:highlight w:val="none"/>
                    </w:rPr>
                    <w:t>各类污水处理设施产生的污泥应当进行安全处置，不得随意堆放和弃置，不得排入水体；属于危险废物的，应当委托有资质的单位处置。污泥的收集、贮存应当符合国家相关规定和标准</w:t>
                  </w:r>
                  <w:r>
                    <w:rPr>
                      <w:rFonts w:hint="eastAsia"/>
                      <w:color w:val="auto"/>
                      <w:sz w:val="21"/>
                      <w:szCs w:val="21"/>
                      <w:highlight w:val="none"/>
                    </w:rPr>
                    <w:t>。</w:t>
                  </w:r>
                </w:p>
              </w:tc>
              <w:tc>
                <w:tcPr>
                  <w:tcW w:w="1616" w:type="pct"/>
                  <w:vAlign w:val="center"/>
                </w:tcPr>
                <w:p>
                  <w:pPr>
                    <w:adjustRightInd w:val="0"/>
                    <w:snapToGrid w:val="0"/>
                    <w:jc w:val="center"/>
                    <w:rPr>
                      <w:rFonts w:hint="eastAsia" w:eastAsia="宋体"/>
                      <w:color w:val="auto"/>
                      <w:sz w:val="21"/>
                      <w:szCs w:val="21"/>
                      <w:highlight w:val="none"/>
                      <w:lang w:eastAsia="zh-CN"/>
                    </w:rPr>
                  </w:pPr>
                  <w:r>
                    <w:rPr>
                      <w:rFonts w:hint="eastAsia"/>
                      <w:color w:val="auto"/>
                      <w:sz w:val="21"/>
                      <w:szCs w:val="21"/>
                      <w:highlight w:val="none"/>
                    </w:rPr>
                    <w:t>项目无污水处理设施，无污泥产生</w:t>
                  </w:r>
                  <w:r>
                    <w:rPr>
                      <w:rFonts w:hint="eastAsia"/>
                      <w:color w:val="auto"/>
                      <w:sz w:val="21"/>
                      <w:szCs w:val="21"/>
                      <w:highlight w:val="none"/>
                      <w:lang w:eastAsia="zh-CN"/>
                    </w:rPr>
                    <w:t>。</w:t>
                  </w:r>
                </w:p>
              </w:tc>
              <w:tc>
                <w:tcPr>
                  <w:tcW w:w="454" w:type="pct"/>
                  <w:vAlign w:val="center"/>
                </w:tcPr>
                <w:p>
                  <w:pPr>
                    <w:pStyle w:val="42"/>
                    <w:adjustRightInd w:val="0"/>
                    <w:snapToGrid w:val="0"/>
                    <w:spacing w:line="240" w:lineRule="auto"/>
                    <w:jc w:val="center"/>
                    <w:rPr>
                      <w:rFonts w:eastAsia="宋体"/>
                      <w:color w:val="auto"/>
                      <w:sz w:val="21"/>
                      <w:szCs w:val="21"/>
                      <w:highlight w:val="none"/>
                    </w:rPr>
                  </w:pPr>
                  <w:r>
                    <w:rPr>
                      <w:rFonts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Merge w:val="continue"/>
                  <w:vAlign w:val="center"/>
                </w:tcPr>
                <w:p>
                  <w:pPr>
                    <w:adjustRightInd w:val="0"/>
                    <w:snapToGrid w:val="0"/>
                    <w:jc w:val="center"/>
                    <w:rPr>
                      <w:color w:val="auto"/>
                      <w:sz w:val="21"/>
                      <w:szCs w:val="21"/>
                      <w:highlight w:val="none"/>
                    </w:rPr>
                  </w:pPr>
                </w:p>
              </w:tc>
              <w:tc>
                <w:tcPr>
                  <w:tcW w:w="2069" w:type="pct"/>
                  <w:vAlign w:val="center"/>
                </w:tcPr>
                <w:p>
                  <w:pPr>
                    <w:adjustRightInd w:val="0"/>
                    <w:snapToGrid w:val="0"/>
                    <w:jc w:val="center"/>
                    <w:rPr>
                      <w:color w:val="auto"/>
                      <w:sz w:val="21"/>
                      <w:szCs w:val="21"/>
                      <w:highlight w:val="none"/>
                    </w:rPr>
                  </w:pPr>
                  <w:r>
                    <w:rPr>
                      <w:color w:val="auto"/>
                      <w:sz w:val="21"/>
                      <w:szCs w:val="21"/>
                      <w:highlight w:val="none"/>
                    </w:rPr>
                    <w:t>太湖流域一、二、三级保护区禁止下列行为：（一）新建、改建、扩建化学制浆造纸、制革、酿造、染料、印染、电镀以及其他排放含磷、氮等污染物的企业和项目，城镇污水集中处理等环境基础设施项目和第四十六条规定的情形除外；（二）销售、使用含磷洗涤用品；（三）向水体排放或者倾倒油类、酸液、碱液、剧毒废渣废液、含放射性废渣废液、含病原体污水、工业废渣以及其他废弃物</w:t>
                  </w:r>
                  <w:r>
                    <w:rPr>
                      <w:rFonts w:hint="eastAsia"/>
                      <w:color w:val="auto"/>
                      <w:sz w:val="21"/>
                      <w:szCs w:val="21"/>
                      <w:highlight w:val="none"/>
                    </w:rPr>
                    <w:t>。</w:t>
                  </w:r>
                </w:p>
              </w:tc>
              <w:tc>
                <w:tcPr>
                  <w:tcW w:w="1616" w:type="pct"/>
                  <w:vAlign w:val="center"/>
                </w:tcPr>
                <w:p>
                  <w:pPr>
                    <w:adjustRightInd w:val="0"/>
                    <w:snapToGrid w:val="0"/>
                    <w:jc w:val="center"/>
                    <w:rPr>
                      <w:color w:val="auto"/>
                      <w:sz w:val="21"/>
                      <w:szCs w:val="21"/>
                      <w:highlight w:val="none"/>
                    </w:rPr>
                  </w:pPr>
                  <w:r>
                    <w:rPr>
                      <w:color w:val="auto"/>
                      <w:sz w:val="21"/>
                      <w:szCs w:val="21"/>
                      <w:highlight w:val="none"/>
                    </w:rPr>
                    <w:t>（一）本项目</w:t>
                  </w:r>
                  <w:r>
                    <w:rPr>
                      <w:rFonts w:hint="eastAsia"/>
                      <w:color w:val="auto"/>
                      <w:sz w:val="21"/>
                      <w:szCs w:val="21"/>
                      <w:highlight w:val="none"/>
                    </w:rPr>
                    <w:t>不属于禁止类项目</w:t>
                  </w:r>
                  <w:r>
                    <w:rPr>
                      <w:color w:val="auto"/>
                      <w:sz w:val="21"/>
                      <w:szCs w:val="21"/>
                      <w:highlight w:val="none"/>
                    </w:rPr>
                    <w:t>；</w:t>
                  </w:r>
                </w:p>
                <w:p>
                  <w:pPr>
                    <w:adjustRightInd w:val="0"/>
                    <w:snapToGrid w:val="0"/>
                    <w:jc w:val="center"/>
                    <w:rPr>
                      <w:color w:val="auto"/>
                      <w:sz w:val="21"/>
                      <w:szCs w:val="21"/>
                      <w:highlight w:val="none"/>
                    </w:rPr>
                  </w:pPr>
                  <w:r>
                    <w:rPr>
                      <w:color w:val="auto"/>
                      <w:sz w:val="21"/>
                      <w:szCs w:val="21"/>
                      <w:highlight w:val="none"/>
                    </w:rPr>
                    <w:t>（二）本项目不销售、使用含磷洗涤用品；</w:t>
                  </w:r>
                </w:p>
                <w:p>
                  <w:pPr>
                    <w:adjustRightInd w:val="0"/>
                    <w:snapToGrid w:val="0"/>
                    <w:jc w:val="center"/>
                    <w:rPr>
                      <w:rFonts w:hint="eastAsia" w:eastAsia="宋体"/>
                      <w:color w:val="auto"/>
                      <w:sz w:val="21"/>
                      <w:szCs w:val="21"/>
                      <w:highlight w:val="none"/>
                      <w:lang w:eastAsia="zh-CN"/>
                    </w:rPr>
                  </w:pPr>
                  <w:r>
                    <w:rPr>
                      <w:color w:val="auto"/>
                      <w:sz w:val="21"/>
                      <w:szCs w:val="21"/>
                      <w:highlight w:val="none"/>
                    </w:rPr>
                    <w:t>（三）项目</w:t>
                  </w:r>
                  <w:r>
                    <w:rPr>
                      <w:rFonts w:hint="eastAsia"/>
                      <w:color w:val="auto"/>
                      <w:sz w:val="21"/>
                      <w:szCs w:val="21"/>
                      <w:highlight w:val="none"/>
                    </w:rPr>
                    <w:t>不产生生产废水，不向水体排放或倾倒废水、废渣及其他废弃物</w:t>
                  </w:r>
                  <w:r>
                    <w:rPr>
                      <w:rFonts w:hint="eastAsia"/>
                      <w:color w:val="auto"/>
                      <w:sz w:val="21"/>
                      <w:szCs w:val="21"/>
                      <w:highlight w:val="none"/>
                      <w:lang w:eastAsia="zh-CN"/>
                    </w:rPr>
                    <w:t>。</w:t>
                  </w:r>
                </w:p>
              </w:tc>
              <w:tc>
                <w:tcPr>
                  <w:tcW w:w="454" w:type="pct"/>
                  <w:vAlign w:val="center"/>
                </w:tcPr>
                <w:p>
                  <w:pPr>
                    <w:pStyle w:val="42"/>
                    <w:adjustRightInd w:val="0"/>
                    <w:snapToGrid w:val="0"/>
                    <w:spacing w:line="240" w:lineRule="auto"/>
                    <w:jc w:val="center"/>
                    <w:rPr>
                      <w:rFonts w:eastAsia="宋体"/>
                      <w:color w:val="auto"/>
                      <w:sz w:val="21"/>
                      <w:szCs w:val="21"/>
                      <w:highlight w:val="none"/>
                    </w:rPr>
                  </w:pPr>
                  <w:r>
                    <w:rPr>
                      <w:rFonts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Align w:val="center"/>
                </w:tcPr>
                <w:p>
                  <w:pPr>
                    <w:adjustRightInd w:val="0"/>
                    <w:snapToGrid w:val="0"/>
                    <w:jc w:val="center"/>
                    <w:rPr>
                      <w:b/>
                      <w:bCs/>
                      <w:color w:val="auto"/>
                      <w:sz w:val="21"/>
                      <w:szCs w:val="21"/>
                      <w:highlight w:val="none"/>
                    </w:rPr>
                  </w:pPr>
                  <w:r>
                    <w:rPr>
                      <w:rFonts w:hint="eastAsia"/>
                      <w:b/>
                      <w:bCs/>
                      <w:color w:val="auto"/>
                      <w:sz w:val="21"/>
                      <w:szCs w:val="21"/>
                      <w:highlight w:val="none"/>
                    </w:rPr>
                    <w:t>常州市金坛区人民政府关于印发《2022年常州市金</w:t>
                  </w:r>
                </w:p>
                <w:p>
                  <w:pPr>
                    <w:adjustRightInd w:val="0"/>
                    <w:snapToGrid w:val="0"/>
                    <w:jc w:val="center"/>
                    <w:rPr>
                      <w:color w:val="auto"/>
                      <w:sz w:val="21"/>
                      <w:szCs w:val="21"/>
                      <w:highlight w:val="none"/>
                    </w:rPr>
                  </w:pPr>
                  <w:r>
                    <w:rPr>
                      <w:rFonts w:hint="eastAsia"/>
                      <w:b/>
                      <w:bCs/>
                      <w:color w:val="auto"/>
                      <w:sz w:val="21"/>
                      <w:szCs w:val="21"/>
                      <w:highlight w:val="none"/>
                    </w:rPr>
                    <w:t>坛区深入打好污染防治攻坚战工作方案》的通知</w:t>
                  </w:r>
                </w:p>
              </w:tc>
              <w:tc>
                <w:tcPr>
                  <w:tcW w:w="2069" w:type="pct"/>
                  <w:vAlign w:val="center"/>
                </w:tcPr>
                <w:p>
                  <w:pPr>
                    <w:adjustRightInd w:val="0"/>
                    <w:snapToGrid w:val="0"/>
                    <w:jc w:val="center"/>
                    <w:rPr>
                      <w:color w:val="auto"/>
                      <w:sz w:val="21"/>
                      <w:szCs w:val="21"/>
                      <w:highlight w:val="none"/>
                    </w:rPr>
                  </w:pPr>
                  <w:r>
                    <w:rPr>
                      <w:rFonts w:hint="eastAsia"/>
                      <w:color w:val="auto"/>
                      <w:sz w:val="21"/>
                      <w:szCs w:val="21"/>
                      <w:highlight w:val="none"/>
                    </w:rPr>
                    <w:t>大力推进低（无）VOCs含量原辅材料替代。对照国家产品质量标准，加大对各类涂料、油墨、胶黏剂、清洗剂等产品</w:t>
                  </w:r>
                </w:p>
                <w:p>
                  <w:pPr>
                    <w:adjustRightInd w:val="0"/>
                    <w:snapToGrid w:val="0"/>
                    <w:jc w:val="center"/>
                    <w:rPr>
                      <w:color w:val="auto"/>
                      <w:sz w:val="21"/>
                      <w:szCs w:val="21"/>
                      <w:highlight w:val="none"/>
                    </w:rPr>
                  </w:pPr>
                  <w:r>
                    <w:rPr>
                      <w:rFonts w:hint="eastAsia"/>
                      <w:color w:val="auto"/>
                      <w:sz w:val="21"/>
                      <w:szCs w:val="21"/>
                      <w:highlight w:val="none"/>
                    </w:rPr>
                    <w:t>生产、销售、使用环节的监督管理。以化工、涂装、医药、包装印刷、油品储运销等行业领域为重点，实施原辅材料和产品源头替代工程。完成12家重点企业VOCs清洁原料替代，优先推动使用溶剂型原辅材料且治理设施低效的企业先行开展清洁原料替代；对替代技术尚不成熟的，推动开展论证核实，并加强现场监管，确保VOCs无组织排放有效控制，废气排放口达标排放。结</w:t>
                  </w:r>
                </w:p>
                <w:p>
                  <w:pPr>
                    <w:adjustRightInd w:val="0"/>
                    <w:snapToGrid w:val="0"/>
                    <w:jc w:val="center"/>
                    <w:rPr>
                      <w:color w:val="auto"/>
                      <w:sz w:val="21"/>
                      <w:szCs w:val="21"/>
                      <w:highlight w:val="none"/>
                    </w:rPr>
                  </w:pPr>
                  <w:r>
                    <w:rPr>
                      <w:rFonts w:hint="eastAsia"/>
                      <w:color w:val="auto"/>
                      <w:sz w:val="21"/>
                      <w:szCs w:val="21"/>
                      <w:highlight w:val="none"/>
                    </w:rPr>
                    <w:t>合产业特点，培育2家以上源头替代示范型企业。推动钢结构、包装印刷行业实施低（无）VOCs含量的涂料、油墨、胶粘剂等原辅材料源头替代。</w:t>
                  </w:r>
                </w:p>
              </w:tc>
              <w:tc>
                <w:tcPr>
                  <w:tcW w:w="1616" w:type="pct"/>
                  <w:vAlign w:val="center"/>
                </w:tcPr>
                <w:p>
                  <w:pPr>
                    <w:adjustRightInd w:val="0"/>
                    <w:snapToGrid w:val="0"/>
                    <w:jc w:val="center"/>
                    <w:rPr>
                      <w:rFonts w:hint="eastAsia" w:eastAsia="宋体"/>
                      <w:color w:val="auto"/>
                      <w:sz w:val="21"/>
                      <w:szCs w:val="21"/>
                      <w:highlight w:val="none"/>
                      <w:lang w:eastAsia="zh-CN"/>
                    </w:rPr>
                  </w:pPr>
                  <w:r>
                    <w:rPr>
                      <w:rFonts w:hint="eastAsia"/>
                      <w:color w:val="auto"/>
                      <w:sz w:val="21"/>
                      <w:szCs w:val="21"/>
                      <w:highlight w:val="none"/>
                    </w:rPr>
                    <w:t>项目不使用涂料、油墨、胶黏剂、清洗剂等原辅材料</w:t>
                  </w:r>
                  <w:r>
                    <w:rPr>
                      <w:rFonts w:hint="eastAsia"/>
                      <w:color w:val="auto"/>
                      <w:sz w:val="21"/>
                      <w:szCs w:val="21"/>
                      <w:highlight w:val="none"/>
                      <w:lang w:eastAsia="zh-CN"/>
                    </w:rPr>
                    <w:t>。</w:t>
                  </w:r>
                </w:p>
              </w:tc>
              <w:tc>
                <w:tcPr>
                  <w:tcW w:w="454" w:type="pct"/>
                  <w:vAlign w:val="center"/>
                </w:tcPr>
                <w:p>
                  <w:pPr>
                    <w:pStyle w:val="42"/>
                    <w:adjustRightInd w:val="0"/>
                    <w:snapToGrid w:val="0"/>
                    <w:spacing w:line="240" w:lineRule="auto"/>
                    <w:jc w:val="center"/>
                    <w:rPr>
                      <w:rFonts w:eastAsia="宋体"/>
                      <w:color w:val="auto"/>
                      <w:sz w:val="21"/>
                      <w:szCs w:val="21"/>
                      <w:highlight w:val="none"/>
                    </w:rPr>
                  </w:pPr>
                  <w:r>
                    <w:rPr>
                      <w:rFonts w:eastAsia="宋体"/>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Align w:val="center"/>
                </w:tcPr>
                <w:p>
                  <w:pPr>
                    <w:adjustRightInd w:val="0"/>
                    <w:snapToGrid w:val="0"/>
                    <w:spacing w:line="240" w:lineRule="auto"/>
                    <w:jc w:val="center"/>
                    <w:rPr>
                      <w:rFonts w:hint="eastAsia" w:ascii="Times New Roman" w:hAnsi="Times New Roman" w:eastAsia="宋体" w:cs="Times New Roman"/>
                      <w:b/>
                      <w:bCs/>
                      <w:color w:val="auto"/>
                      <w:kern w:val="2"/>
                      <w:sz w:val="21"/>
                      <w:szCs w:val="21"/>
                      <w:highlight w:val="none"/>
                      <w:lang w:val="en-US" w:eastAsia="zh-CN" w:bidi="ar-SA"/>
                    </w:rPr>
                  </w:pPr>
                  <w:r>
                    <w:rPr>
                      <w:rFonts w:hint="eastAsia"/>
                      <w:b/>
                      <w:bCs/>
                      <w:color w:val="auto"/>
                      <w:szCs w:val="21"/>
                      <w:highlight w:val="none"/>
                      <w:lang w:val="en-US" w:eastAsia="zh-CN"/>
                    </w:rPr>
                    <w:t>《省生态环境厅关于印发江苏省环境影响评价文件环境应急相关内容编制要点的通知》（苏环办[2022]338）号</w:t>
                  </w:r>
                </w:p>
              </w:tc>
              <w:tc>
                <w:tcPr>
                  <w:tcW w:w="2069" w:type="pct"/>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建设项目的编制要点适用于环境影响报告书、环境影响报告表所附环境风险专项的环境应急内容编制。</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1、</w:t>
                  </w:r>
                  <w:r>
                    <w:rPr>
                      <w:rFonts w:hint="default" w:ascii="Times New Roman" w:hAnsi="Times New Roman" w:eastAsia="宋体" w:cs="Times New Roman"/>
                      <w:color w:val="auto"/>
                      <w:highlight w:val="none"/>
                      <w:lang w:val="en-US" w:eastAsia="zh-CN"/>
                    </w:rPr>
                    <w:t>建设项目的编制要点适用于环境影响报告书、环境影响报告表所附环境风险专项的环境应急内容编制。</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val="en-US" w:eastAsia="zh-CN"/>
                    </w:rPr>
                    <w:t>2</w:t>
                  </w:r>
                  <w:r>
                    <w:rPr>
                      <w:rFonts w:hint="default" w:ascii="Times New Roman" w:hAnsi="Times New Roman" w:eastAsia="宋体" w:cs="Times New Roman"/>
                      <w:color w:val="auto"/>
                      <w:highlight w:val="none"/>
                      <w:lang w:val="en-US" w:eastAsia="zh-CN"/>
                    </w:rPr>
                    <w:t>、</w:t>
                  </w:r>
                  <w:r>
                    <w:rPr>
                      <w:rFonts w:hint="default" w:ascii="Times New Roman" w:hAnsi="Times New Roman" w:eastAsia="宋体" w:cs="Times New Roman"/>
                      <w:color w:val="auto"/>
                      <w:highlight w:val="none"/>
                    </w:rPr>
                    <w:t>科学判定环境风险评价工作等级和评价范围，系统识别环境风险。合理分析代表性风险事故情形</w:t>
                  </w:r>
                  <w:r>
                    <w:rPr>
                      <w:rFonts w:hint="eastAsia"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rPr>
                    <w:t>预测其影响范围与程度</w:t>
                  </w:r>
                  <w:r>
                    <w:rPr>
                      <w:rFonts w:hint="default" w:ascii="Times New Roman" w:hAnsi="Times New Roman" w:eastAsia="宋体" w:cs="Times New Roman"/>
                      <w:color w:val="auto"/>
                      <w:highlight w:val="none"/>
                      <w:lang w:eastAsia="zh-CN"/>
                    </w:rPr>
                    <w:t>；</w:t>
                  </w:r>
                </w:p>
                <w:p>
                  <w:pPr>
                    <w:pStyle w:val="6"/>
                    <w:keepNext w:val="0"/>
                    <w:keepLines w:val="0"/>
                    <w:pageBreakBefore w:val="0"/>
                    <w:widowControl w:val="0"/>
                    <w:kinsoku/>
                    <w:wordWrap/>
                    <w:overflowPunct/>
                    <w:topLinePunct w:val="0"/>
                    <w:autoSpaceDE/>
                    <w:autoSpaceDN/>
                    <w:bidi w:val="0"/>
                    <w:snapToGrid w:val="0"/>
                    <w:spacing w:line="240" w:lineRule="auto"/>
                    <w:ind w:left="0" w:leftChars="0" w:firstLine="0" w:firstLineChars="0"/>
                    <w:jc w:val="center"/>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w:t>
                  </w:r>
                  <w:r>
                    <w:rPr>
                      <w:rFonts w:hint="default" w:ascii="Times New Roman" w:hAnsi="Times New Roman" w:eastAsia="宋体" w:cs="Times New Roman"/>
                      <w:color w:val="auto"/>
                      <w:highlight w:val="none"/>
                      <w:lang w:val="en-US" w:eastAsia="zh-CN"/>
                    </w:rPr>
                    <w:t>、明确环境风险防范措施的建设任务。大气环境风险防范应</w:t>
                  </w:r>
                </w:p>
                <w:p>
                  <w:pPr>
                    <w:pStyle w:val="6"/>
                    <w:keepNext w:val="0"/>
                    <w:keepLines w:val="0"/>
                    <w:pageBreakBefore w:val="0"/>
                    <w:widowControl w:val="0"/>
                    <w:kinsoku/>
                    <w:wordWrap/>
                    <w:overflowPunct/>
                    <w:topLinePunct w:val="0"/>
                    <w:autoSpaceDE/>
                    <w:autoSpaceDN/>
                    <w:bidi w:val="0"/>
                    <w:snapToGrid w:val="0"/>
                    <w:spacing w:line="240" w:lineRule="auto"/>
                    <w:ind w:left="0" w:leftChars="0" w:firstLine="0" w:firstLineChars="0"/>
                    <w:jc w:val="center"/>
                    <w:textAlignment w:val="auto"/>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lang w:eastAsia="zh-CN"/>
                    </w:rPr>
                    <w:t>结合风险源实际状况明确环境风险的防范、减缓措施，提出环境凤险监控要求，特别是有毒有害气体厂界监控预警措施，并提供事故状态下区域人员疏散通道和安置场所位置图。事故废水环境风险防范应按照“单元-厂区-园区/区域”环境风险防控体系的要求，结合环境风险事故情形和预测结果，提出必要的应急设施（包括围堰、防火堤、应急池、雨污水排口闸阀及配套管网设施等)建设要求，并明确事故废水有效收集和妥善处理方式，以防进入外环境。要提供雨污水、事故废水收集排放管网示意图、环境应急设施分布图等防止事故废水进入外环境的控制、封堵系统图。明确企业与所在园区/区域的环境风险防控体系、设施的衔接和配套。</w:t>
                  </w:r>
                </w:p>
                <w:p>
                  <w:pPr>
                    <w:pStyle w:val="6"/>
                    <w:keepNext w:val="0"/>
                    <w:keepLines w:val="0"/>
                    <w:pageBreakBefore w:val="0"/>
                    <w:widowControl w:val="0"/>
                    <w:kinsoku/>
                    <w:wordWrap/>
                    <w:overflowPunct/>
                    <w:topLinePunct w:val="0"/>
                    <w:autoSpaceDE/>
                    <w:autoSpaceDN/>
                    <w:bidi w:val="0"/>
                    <w:snapToGrid w:val="0"/>
                    <w:spacing w:line="240" w:lineRule="auto"/>
                    <w:ind w:left="0" w:leftChars="0" w:firstLine="0" w:firstLineChars="0"/>
                    <w:jc w:val="center"/>
                    <w:textAlignment w:val="auto"/>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lang w:eastAsia="zh-CN"/>
                    </w:rPr>
                    <w:t>3、明确环境应急管理制度内容。包括</w:t>
                  </w:r>
                  <w:r>
                    <w:rPr>
                      <w:rFonts w:hint="eastAsia"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eastAsia="zh-CN"/>
                    </w:rPr>
                    <w:t>①突发环境事件应急预案的编制、修订和备案要求;②明确事故状态下的特征污染因子和应急监测能力</w:t>
                  </w:r>
                  <w:r>
                    <w:rPr>
                      <w:rFonts w:hint="eastAsia"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eastAsia="zh-CN"/>
                    </w:rPr>
                    <w:t>③参照相关规范明确环境应急物资装备配备要求</w:t>
                  </w:r>
                  <w:r>
                    <w:rPr>
                      <w:rFonts w:hint="eastAsia"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eastAsia="zh-CN"/>
                    </w:rPr>
                    <w:t>④建立突发环境事件隐患排查治理制度要求，明确隐患排查内容、方式和频次</w:t>
                  </w:r>
                  <w:r>
                    <w:rPr>
                      <w:rFonts w:hint="eastAsia"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eastAsia="zh-CN"/>
                    </w:rPr>
                    <w:t>⑤明确环境应急培训和演练内容、方式、频次和台账记录要求</w:t>
                  </w:r>
                  <w:r>
                    <w:rPr>
                      <w:rFonts w:hint="eastAsia"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eastAsia="zh-CN"/>
                    </w:rPr>
                    <w:t>⑥提出设置环境风险防范设施及环境应急处置卡标识标牌等相关要求。</w:t>
                  </w:r>
                </w:p>
                <w:p>
                  <w:pPr>
                    <w:pStyle w:val="6"/>
                    <w:keepNext w:val="0"/>
                    <w:keepLines w:val="0"/>
                    <w:pageBreakBefore w:val="0"/>
                    <w:widowControl w:val="0"/>
                    <w:kinsoku/>
                    <w:wordWrap/>
                    <w:overflowPunct/>
                    <w:topLinePunct w:val="0"/>
                    <w:autoSpaceDE/>
                    <w:autoSpaceDN/>
                    <w:bidi w:val="0"/>
                    <w:snapToGrid w:val="0"/>
                    <w:spacing w:line="240" w:lineRule="auto"/>
                    <w:ind w:left="0" w:leftChars="0" w:firstLine="0" w:firstLineChars="0"/>
                    <w:jc w:val="center"/>
                    <w:textAlignment w:val="auto"/>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lang w:val="en-US" w:eastAsia="zh-CN"/>
                    </w:rPr>
                    <w:t>4</w:t>
                  </w:r>
                  <w:r>
                    <w:rPr>
                      <w:rFonts w:hint="default" w:ascii="Times New Roman" w:hAnsi="Times New Roman" w:eastAsia="宋体" w:cs="Times New Roman"/>
                      <w:color w:val="auto"/>
                      <w:highlight w:val="none"/>
                      <w:lang w:eastAsia="zh-CN"/>
                    </w:rPr>
                    <w:t>、环境风险防范措施“三同时”要求。环境风险防范措施应纳入环保投资和建设项目竣工环保验收内容。</w:t>
                  </w:r>
                </w:p>
                <w:p>
                  <w:pPr>
                    <w:pStyle w:val="6"/>
                    <w:keepNext w:val="0"/>
                    <w:keepLines w:val="0"/>
                    <w:pageBreakBefore w:val="0"/>
                    <w:widowControl w:val="0"/>
                    <w:kinsoku/>
                    <w:wordWrap/>
                    <w:overflowPunct/>
                    <w:topLinePunct w:val="0"/>
                    <w:autoSpaceDE/>
                    <w:autoSpaceDN/>
                    <w:bidi w:val="0"/>
                    <w:snapToGrid w:val="0"/>
                    <w:spacing w:line="240" w:lineRule="auto"/>
                    <w:ind w:left="0" w:leftChars="0" w:firstLine="0" w:firstLineChars="0"/>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highlight w:val="none"/>
                      <w:lang w:val="en-US" w:eastAsia="zh-CN"/>
                    </w:rPr>
                    <w:t>5、</w:t>
                  </w:r>
                  <w:r>
                    <w:rPr>
                      <w:rFonts w:hint="default" w:ascii="Times New Roman" w:hAnsi="Times New Roman" w:eastAsia="宋体" w:cs="Times New Roman"/>
                      <w:color w:val="auto"/>
                      <w:highlight w:val="none"/>
                      <w:lang w:eastAsia="zh-CN"/>
                    </w:rPr>
                    <w:t>明确环境风险评价结论。根据项目危险因素、环境敏感性及风险事故分析结果</w:t>
                  </w:r>
                  <w:r>
                    <w:rPr>
                      <w:rFonts w:hint="eastAsia"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eastAsia="zh-CN"/>
                    </w:rPr>
                    <w:t>结合环境风险防范措施和应急管理建设内容，明确给出建设项目环境风险是否可防控的结论。</w:t>
                  </w:r>
                </w:p>
              </w:tc>
              <w:tc>
                <w:tcPr>
                  <w:tcW w:w="1616" w:type="pct"/>
                  <w:vAlign w:val="center"/>
                </w:tcPr>
                <w:p>
                  <w:pPr>
                    <w:pStyle w:val="42"/>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eastAsia="宋体"/>
                      <w:color w:val="auto"/>
                      <w:szCs w:val="21"/>
                      <w:highlight w:val="none"/>
                      <w:lang w:val="en-US" w:eastAsia="zh-CN"/>
                    </w:rPr>
                    <w:t>本项目为环境影响报告表，无需设置风险专项内容，本环评仅对环境风险及应急内容提出简要要求，</w:t>
                  </w:r>
                  <w:r>
                    <w:rPr>
                      <w:rFonts w:hint="default" w:ascii="Times New Roman" w:hAnsi="Times New Roman" w:eastAsia="宋体" w:cs="Times New Roman"/>
                      <w:color w:val="auto"/>
                      <w:highlight w:val="none"/>
                      <w:lang w:eastAsia="zh-CN"/>
                    </w:rPr>
                    <w:t>环境风险防范措施</w:t>
                  </w:r>
                  <w:r>
                    <w:rPr>
                      <w:rFonts w:hint="eastAsia" w:eastAsia="宋体" w:cs="Times New Roman"/>
                      <w:color w:val="auto"/>
                      <w:highlight w:val="none"/>
                      <w:lang w:val="en-US" w:eastAsia="zh-CN"/>
                    </w:rPr>
                    <w:t>已</w:t>
                  </w:r>
                  <w:r>
                    <w:rPr>
                      <w:rFonts w:hint="default" w:ascii="Times New Roman" w:hAnsi="Times New Roman" w:eastAsia="宋体" w:cs="Times New Roman"/>
                      <w:color w:val="auto"/>
                      <w:highlight w:val="none"/>
                      <w:lang w:eastAsia="zh-CN"/>
                    </w:rPr>
                    <w:t>纳入环保投资和建设项目竣工环保验收内容。</w:t>
                  </w:r>
                  <w:r>
                    <w:rPr>
                      <w:rFonts w:hint="eastAsia" w:eastAsia="宋体" w:cs="Times New Roman"/>
                      <w:color w:val="auto"/>
                      <w:highlight w:val="none"/>
                      <w:lang w:val="en-US" w:eastAsia="zh-CN"/>
                    </w:rPr>
                    <w:t>已</w:t>
                  </w:r>
                  <w:r>
                    <w:rPr>
                      <w:rFonts w:hint="default" w:ascii="Times New Roman" w:hAnsi="Times New Roman" w:eastAsia="宋体" w:cs="Times New Roman"/>
                      <w:color w:val="auto"/>
                      <w:highlight w:val="none"/>
                      <w:lang w:eastAsia="zh-CN"/>
                    </w:rPr>
                    <w:t>明确给出建设项目环境风险是可防控的结论。</w:t>
                  </w:r>
                  <w:r>
                    <w:rPr>
                      <w:rFonts w:hint="eastAsia" w:eastAsia="宋体"/>
                      <w:color w:val="auto"/>
                      <w:szCs w:val="21"/>
                      <w:highlight w:val="none"/>
                      <w:lang w:val="en-US" w:eastAsia="zh-CN"/>
                    </w:rPr>
                    <w:t>项目详细的应急预案编制要点要求、</w:t>
                  </w:r>
                  <w:r>
                    <w:rPr>
                      <w:rFonts w:hint="default" w:ascii="Times New Roman" w:hAnsi="Times New Roman" w:eastAsia="宋体" w:cs="Times New Roman"/>
                      <w:color w:val="auto"/>
                      <w:highlight w:val="none"/>
                      <w:lang w:val="en-US" w:eastAsia="zh-CN"/>
                    </w:rPr>
                    <w:t>环境风险防范措施</w:t>
                  </w:r>
                  <w:r>
                    <w:rPr>
                      <w:rFonts w:hint="eastAsia" w:eastAsia="宋体" w:cs="Times New Roman"/>
                      <w:color w:val="auto"/>
                      <w:highlight w:val="none"/>
                      <w:lang w:val="en-US" w:eastAsia="zh-CN"/>
                    </w:rPr>
                    <w:t>等将纳入后期的突发环境事件应急预案中。</w:t>
                  </w:r>
                </w:p>
              </w:tc>
              <w:tc>
                <w:tcPr>
                  <w:tcW w:w="454" w:type="pct"/>
                  <w:vAlign w:val="center"/>
                </w:tcPr>
                <w:p>
                  <w:pPr>
                    <w:pStyle w:val="42"/>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eastAsia="宋体"/>
                      <w:color w:val="auto"/>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0" w:type="pct"/>
                  <w:vAlign w:val="center"/>
                </w:tcPr>
                <w:p>
                  <w:pPr>
                    <w:adjustRightInd w:val="0"/>
                    <w:snapToGrid w:val="0"/>
                    <w:spacing w:line="240" w:lineRule="auto"/>
                    <w:jc w:val="center"/>
                    <w:rPr>
                      <w:rFonts w:hint="eastAsia" w:ascii="Times New Roman" w:hAnsi="Times New Roman" w:eastAsia="宋体" w:cs="Times New Roman"/>
                      <w:b/>
                      <w:bCs/>
                      <w:color w:val="auto"/>
                      <w:kern w:val="2"/>
                      <w:sz w:val="21"/>
                      <w:szCs w:val="21"/>
                      <w:highlight w:val="none"/>
                      <w:lang w:val="en-US" w:eastAsia="zh-CN" w:bidi="ar-SA"/>
                    </w:rPr>
                  </w:pPr>
                  <w:r>
                    <w:rPr>
                      <w:rFonts w:hint="eastAsia"/>
                      <w:b/>
                      <w:bCs/>
                      <w:color w:val="auto"/>
                      <w:szCs w:val="21"/>
                      <w:highlight w:val="none"/>
                      <w:lang w:val="en-US" w:eastAsia="zh-CN"/>
                    </w:rPr>
                    <w:t>《关于做好生态环境和应急管理部门联动工作的意见》（苏环办[2020]101号）</w:t>
                  </w:r>
                </w:p>
              </w:tc>
              <w:tc>
                <w:tcPr>
                  <w:tcW w:w="2069" w:type="pct"/>
                  <w:vAlign w:val="center"/>
                </w:tcPr>
                <w:p>
                  <w:pPr>
                    <w:pStyle w:val="6"/>
                    <w:keepNext w:val="0"/>
                    <w:keepLines w:val="0"/>
                    <w:pageBreakBefore w:val="0"/>
                    <w:widowControl w:val="0"/>
                    <w:kinsoku/>
                    <w:wordWrap/>
                    <w:overflowPunct/>
                    <w:topLinePunct w:val="0"/>
                    <w:autoSpaceDE/>
                    <w:autoSpaceDN/>
                    <w:bidi w:val="0"/>
                    <w:snapToGrid w:val="0"/>
                    <w:spacing w:line="240" w:lineRule="auto"/>
                    <w:ind w:left="0" w:leftChars="0" w:firstLine="0" w:firstLineChars="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s="Times New Roman"/>
                      <w:color w:val="auto"/>
                      <w:highlight w:val="none"/>
                      <w:lang w:val="en-US" w:eastAsia="zh-CN"/>
                    </w:rPr>
                    <w:t>企业要对脱硫脱硝、煤改气、挥发性有机物回收、污水处理、粉尘治理、RTO焚烧炉等六类环境治理设施开展安全风险辨识管控，要健全内部污染防治设施稳定运行和管理责任制度，严格依据标准规范建设环境治理设施，确保环境治理设施安全、稳定、有效运行。</w:t>
                  </w:r>
                </w:p>
              </w:tc>
              <w:tc>
                <w:tcPr>
                  <w:tcW w:w="1616" w:type="pct"/>
                  <w:vAlign w:val="center"/>
                </w:tcPr>
                <w:p>
                  <w:pPr>
                    <w:pStyle w:val="42"/>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eastAsia="宋体"/>
                      <w:color w:val="auto"/>
                      <w:szCs w:val="21"/>
                      <w:highlight w:val="none"/>
                      <w:lang w:val="en-US" w:eastAsia="zh-CN"/>
                    </w:rPr>
                    <w:t>企业需按照要求对</w:t>
                  </w:r>
                  <w:r>
                    <w:rPr>
                      <w:rFonts w:hint="eastAsia" w:eastAsia="宋体" w:cs="Times New Roman"/>
                      <w:color w:val="auto"/>
                      <w:sz w:val="21"/>
                      <w:szCs w:val="21"/>
                      <w:lang w:val="en-US" w:eastAsia="zh-CN"/>
                    </w:rPr>
                    <w:t>二级活性炭</w:t>
                  </w:r>
                  <w:r>
                    <w:rPr>
                      <w:rFonts w:hint="default" w:ascii="Times New Roman" w:hAnsi="Times New Roman" w:eastAsia="宋体" w:cs="Times New Roman"/>
                      <w:b w:val="0"/>
                      <w:bCs/>
                      <w:color w:val="auto"/>
                      <w:sz w:val="21"/>
                      <w:szCs w:val="21"/>
                      <w:lang w:val="en-US" w:eastAsia="zh-CN"/>
                    </w:rPr>
                    <w:t>设备</w:t>
                  </w:r>
                  <w:r>
                    <w:rPr>
                      <w:rFonts w:hint="eastAsia" w:ascii="Times New Roman" w:hAnsi="Times New Roman" w:eastAsia="宋体" w:cs="Times New Roman"/>
                      <w:b w:val="0"/>
                      <w:bCs/>
                      <w:color w:val="auto"/>
                      <w:sz w:val="21"/>
                      <w:szCs w:val="21"/>
                      <w:lang w:val="en-US" w:eastAsia="zh-CN"/>
                    </w:rPr>
                    <w:t>、</w:t>
                  </w:r>
                  <w:r>
                    <w:rPr>
                      <w:rFonts w:hint="eastAsia" w:eastAsia="宋体" w:cs="Times New Roman"/>
                      <w:color w:val="auto"/>
                      <w:sz w:val="21"/>
                      <w:szCs w:val="21"/>
                      <w:lang w:val="en-US" w:eastAsia="zh-CN"/>
                    </w:rPr>
                    <w:t>布袋</w:t>
                  </w:r>
                  <w:r>
                    <w:rPr>
                      <w:rFonts w:hint="default" w:ascii="Times New Roman" w:hAnsi="Times New Roman" w:eastAsia="宋体" w:cs="Times New Roman"/>
                      <w:color w:val="auto"/>
                      <w:sz w:val="21"/>
                      <w:szCs w:val="21"/>
                      <w:lang w:val="en-US" w:eastAsia="zh-CN"/>
                    </w:rPr>
                    <w:t>除尘器</w:t>
                  </w:r>
                  <w:r>
                    <w:rPr>
                      <w:rFonts w:hint="eastAsia" w:eastAsia="宋体"/>
                      <w:color w:val="auto"/>
                      <w:szCs w:val="21"/>
                      <w:highlight w:val="none"/>
                      <w:lang w:val="en-US" w:eastAsia="zh-CN"/>
                    </w:rPr>
                    <w:t>设备开展安全风险辨识，确保各环境治理设施安全、稳定、有效运行。</w:t>
                  </w:r>
                </w:p>
              </w:tc>
              <w:tc>
                <w:tcPr>
                  <w:tcW w:w="454" w:type="pct"/>
                  <w:vAlign w:val="center"/>
                </w:tcPr>
                <w:p>
                  <w:pPr>
                    <w:pStyle w:val="42"/>
                    <w:adjustRightInd w:val="0"/>
                    <w:snapToGrid w:val="0"/>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eastAsia="宋体"/>
                      <w:color w:val="auto"/>
                      <w:szCs w:val="21"/>
                      <w:highlight w:val="none"/>
                      <w:lang w:val="en-US" w:eastAsia="zh-CN"/>
                    </w:rPr>
                    <w:t>相符</w:t>
                  </w:r>
                </w:p>
              </w:tc>
            </w:tr>
          </w:tbl>
          <w:p>
            <w:pPr>
              <w:pStyle w:val="39"/>
              <w:keepNext w:val="0"/>
              <w:keepLines w:val="0"/>
              <w:pageBreakBefore w:val="0"/>
              <w:widowControl w:val="0"/>
              <w:numPr>
                <w:ilvl w:val="0"/>
                <w:numId w:val="3"/>
              </w:numPr>
              <w:kinsoku/>
              <w:wordWrap/>
              <w:overflowPunct/>
              <w:topLinePunct w:val="0"/>
              <w:autoSpaceDE/>
              <w:autoSpaceDN/>
              <w:bidi w:val="0"/>
              <w:adjustRightInd w:val="0"/>
              <w:snapToGrid w:val="0"/>
              <w:spacing w:before="157" w:beforeLines="50"/>
              <w:ind w:firstLine="482"/>
              <w:textAlignment w:val="auto"/>
              <w:rPr>
                <w:b/>
                <w:bCs/>
                <w:color w:val="auto"/>
                <w:kern w:val="2"/>
                <w:sz w:val="21"/>
                <w:szCs w:val="21"/>
                <w:highlight w:val="none"/>
              </w:rPr>
            </w:pPr>
            <w:r>
              <w:rPr>
                <w:b/>
                <w:bCs/>
                <w:color w:val="auto"/>
                <w:kern w:val="2"/>
                <w:sz w:val="21"/>
                <w:szCs w:val="21"/>
                <w:highlight w:val="none"/>
              </w:rPr>
              <w:t>与《江苏省“三线一单”生态环境分区管控方案》（苏政发〔2020〕49号）、《关于印发常州市“三线一单”生态环境分区管控实施方案的通知》（常环[2020]95号）相符性分析</w:t>
            </w:r>
          </w:p>
          <w:p>
            <w:pPr>
              <w:pStyle w:val="6"/>
              <w:adjustRightInd w:val="0"/>
              <w:snapToGrid w:val="0"/>
              <w:spacing w:line="360" w:lineRule="auto"/>
              <w:ind w:firstLine="480"/>
              <w:rPr>
                <w:color w:val="auto"/>
                <w:sz w:val="21"/>
                <w:szCs w:val="21"/>
                <w:highlight w:val="none"/>
              </w:rPr>
            </w:pPr>
            <w:r>
              <w:rPr>
                <w:rFonts w:hint="eastAsia"/>
                <w:color w:val="auto"/>
                <w:sz w:val="21"/>
                <w:szCs w:val="21"/>
                <w:highlight w:val="none"/>
              </w:rPr>
              <w:t>对照《江苏省“三线一单”生态环境分区管控方案》（苏政发[2020]49号）及《常州市“三线一单”生态环境分区管控实施方案》（常环[2020]95号）环境管控单元图，本项目属于重点管控单元，相符性分析见表1-</w:t>
            </w:r>
            <w:r>
              <w:rPr>
                <w:rFonts w:hint="eastAsia"/>
                <w:color w:val="auto"/>
                <w:sz w:val="21"/>
                <w:szCs w:val="21"/>
                <w:highlight w:val="none"/>
                <w:lang w:val="en-US" w:eastAsia="zh-CN"/>
              </w:rPr>
              <w:t>8</w:t>
            </w:r>
            <w:r>
              <w:rPr>
                <w:rFonts w:hint="eastAsia"/>
                <w:color w:val="auto"/>
                <w:sz w:val="21"/>
                <w:szCs w:val="21"/>
                <w:highlight w:val="none"/>
              </w:rPr>
              <w:t>及表1-</w:t>
            </w:r>
            <w:r>
              <w:rPr>
                <w:rFonts w:hint="eastAsia"/>
                <w:color w:val="auto"/>
                <w:sz w:val="21"/>
                <w:szCs w:val="21"/>
                <w:highlight w:val="none"/>
                <w:lang w:val="en-US" w:eastAsia="zh-CN"/>
              </w:rPr>
              <w:t>9</w:t>
            </w:r>
            <w:r>
              <w:rPr>
                <w:rFonts w:hint="eastAsia"/>
                <w:color w:val="auto"/>
                <w:sz w:val="21"/>
                <w:szCs w:val="21"/>
                <w:highlight w:val="none"/>
              </w:rPr>
              <w:t>。</w:t>
            </w:r>
          </w:p>
          <w:p>
            <w:pPr>
              <w:pStyle w:val="6"/>
              <w:adjustRightInd w:val="0"/>
              <w:snapToGrid w:val="0"/>
              <w:ind w:firstLine="0" w:firstLineChars="0"/>
              <w:jc w:val="center"/>
              <w:rPr>
                <w:b/>
                <w:bCs/>
                <w:color w:val="auto"/>
                <w:sz w:val="21"/>
                <w:szCs w:val="21"/>
                <w:highlight w:val="none"/>
              </w:rPr>
            </w:pPr>
            <w:r>
              <w:rPr>
                <w:rFonts w:hint="eastAsia"/>
                <w:b/>
                <w:bCs/>
                <w:color w:val="auto"/>
                <w:sz w:val="21"/>
                <w:szCs w:val="21"/>
                <w:highlight w:val="none"/>
              </w:rPr>
              <w:t>表1-</w:t>
            </w:r>
            <w:r>
              <w:rPr>
                <w:rFonts w:hint="eastAsia"/>
                <w:b/>
                <w:bCs/>
                <w:color w:val="auto"/>
                <w:sz w:val="21"/>
                <w:szCs w:val="21"/>
                <w:highlight w:val="none"/>
                <w:lang w:val="en-US" w:eastAsia="zh-CN"/>
              </w:rPr>
              <w:t>8</w:t>
            </w:r>
            <w:r>
              <w:rPr>
                <w:rFonts w:hint="eastAsia"/>
                <w:b/>
                <w:bCs/>
                <w:color w:val="auto"/>
                <w:sz w:val="21"/>
                <w:szCs w:val="21"/>
                <w:highlight w:val="none"/>
              </w:rPr>
              <w:t xml:space="preserve"> 与江苏省“三线一单”生态环境分区管控实施方案相符性</w:t>
            </w:r>
          </w:p>
          <w:tbl>
            <w:tblPr>
              <w:tblStyle w:val="25"/>
              <w:tblW w:w="4999"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696"/>
              <w:gridCol w:w="2959"/>
              <w:gridCol w:w="2614"/>
              <w:gridCol w:w="73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1" w:type="pc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序号</w:t>
                  </w:r>
                </w:p>
              </w:tc>
              <w:tc>
                <w:tcPr>
                  <w:tcW w:w="2415" w:type="pct"/>
                  <w:gridSpan w:val="2"/>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管控要求</w:t>
                  </w:r>
                </w:p>
              </w:tc>
              <w:tc>
                <w:tcPr>
                  <w:tcW w:w="1727" w:type="pc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color w:val="auto"/>
                      <w:sz w:val="21"/>
                      <w:szCs w:val="21"/>
                      <w:highlight w:val="none"/>
                    </w:rPr>
                    <w:t>本项目相关内容</w:t>
                  </w:r>
                </w:p>
              </w:tc>
              <w:tc>
                <w:tcPr>
                  <w:tcW w:w="485" w:type="pc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1" w:type="pct"/>
                  <w:vMerge w:val="restar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1</w:t>
                  </w:r>
                </w:p>
              </w:tc>
              <w:tc>
                <w:tcPr>
                  <w:tcW w:w="460" w:type="pct"/>
                  <w:vMerge w:val="restar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空间布局约束</w:t>
                  </w:r>
                </w:p>
              </w:tc>
              <w:tc>
                <w:tcPr>
                  <w:tcW w:w="195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严守生态保护红线，实行最严格的生态空间管控制度，确保全省生态功能不降低、面积不减少、性质不改变，切实维护生态安全</w:t>
                  </w:r>
                </w:p>
              </w:tc>
              <w:tc>
                <w:tcPr>
                  <w:tcW w:w="172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项目不在国家级生态保护红线和</w:t>
                  </w:r>
                  <w:r>
                    <w:rPr>
                      <w:rFonts w:hint="eastAsia"/>
                      <w:color w:val="auto"/>
                      <w:sz w:val="21"/>
                      <w:szCs w:val="21"/>
                      <w:highlight w:val="none"/>
                    </w:rPr>
                    <w:t>江苏省</w:t>
                  </w:r>
                  <w:r>
                    <w:rPr>
                      <w:color w:val="auto"/>
                      <w:sz w:val="21"/>
                      <w:szCs w:val="21"/>
                      <w:highlight w:val="none"/>
                    </w:rPr>
                    <w:t>生态空间管控区内，项目的建设不会使生态功能降低、不会影响生态空间面积、不会改变生态空间性质</w:t>
                  </w:r>
                </w:p>
              </w:tc>
              <w:tc>
                <w:tcPr>
                  <w:tcW w:w="48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1"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460"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195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太湖流域需满足江苏省太湖水污染防治条例要求</w:t>
                  </w:r>
                </w:p>
              </w:tc>
              <w:tc>
                <w:tcPr>
                  <w:tcW w:w="172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项目满足江苏省太湖水污染防治条例要求</w:t>
                  </w:r>
                </w:p>
              </w:tc>
              <w:tc>
                <w:tcPr>
                  <w:tcW w:w="48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1" w:type="pct"/>
                  <w:vMerge w:val="restar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2</w:t>
                  </w:r>
                </w:p>
              </w:tc>
              <w:tc>
                <w:tcPr>
                  <w:tcW w:w="460" w:type="pct"/>
                  <w:vMerge w:val="restar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污染物排放管控</w:t>
                  </w:r>
                </w:p>
              </w:tc>
              <w:tc>
                <w:tcPr>
                  <w:tcW w:w="195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坚持生态环境质量只能更好、不能变坏，实施污染物总量控制，以环境容量定产业、定项目、定规模，确保开发建设行为不突破生态环境承载力</w:t>
                  </w:r>
                  <w:r>
                    <w:rPr>
                      <w:rFonts w:hint="eastAsia"/>
                      <w:color w:val="auto"/>
                      <w:sz w:val="21"/>
                      <w:szCs w:val="21"/>
                      <w:highlight w:val="none"/>
                    </w:rPr>
                    <w:t>。</w:t>
                  </w:r>
                </w:p>
              </w:tc>
              <w:tc>
                <w:tcPr>
                  <w:tcW w:w="172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rFonts w:hint="eastAsia"/>
                      <w:color w:val="auto"/>
                      <w:sz w:val="21"/>
                      <w:szCs w:val="21"/>
                      <w:highlight w:val="none"/>
                    </w:rPr>
                    <w:t>建设项目将根据要求向</w:t>
                  </w:r>
                  <w:r>
                    <w:rPr>
                      <w:color w:val="auto"/>
                      <w:sz w:val="21"/>
                      <w:szCs w:val="21"/>
                      <w:highlight w:val="none"/>
                    </w:rPr>
                    <w:t>常州市金坛生态环境局申请总量</w:t>
                  </w:r>
                </w:p>
              </w:tc>
              <w:tc>
                <w:tcPr>
                  <w:tcW w:w="48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1"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460"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195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城镇污水处理厂、纺织工业、化学工业、造纸工业、钢铁工业、电镀工业和食品工业的污水处理设施执行《太湖地区城镇污水处理厂及重点工业行业主要水污染物排放限值》。</w:t>
                  </w:r>
                </w:p>
              </w:tc>
              <w:tc>
                <w:tcPr>
                  <w:tcW w:w="172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项目</w:t>
                  </w:r>
                  <w:r>
                    <w:rPr>
                      <w:rFonts w:hint="eastAsia"/>
                      <w:color w:val="auto"/>
                      <w:sz w:val="21"/>
                      <w:szCs w:val="21"/>
                      <w:highlight w:val="none"/>
                    </w:rPr>
                    <w:t>不属于上述行业，且</w:t>
                  </w:r>
                  <w:r>
                    <w:rPr>
                      <w:color w:val="auto"/>
                      <w:sz w:val="21"/>
                      <w:szCs w:val="21"/>
                      <w:highlight w:val="none"/>
                    </w:rPr>
                    <w:t>无生产废水产生及排放</w:t>
                  </w:r>
                  <w:r>
                    <w:rPr>
                      <w:rFonts w:hint="eastAsia"/>
                      <w:color w:val="auto"/>
                      <w:sz w:val="21"/>
                      <w:szCs w:val="21"/>
                      <w:highlight w:val="none"/>
                    </w:rPr>
                    <w:t>，无污水处理设施</w:t>
                  </w:r>
                </w:p>
              </w:tc>
              <w:tc>
                <w:tcPr>
                  <w:tcW w:w="48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1" w:type="pct"/>
                  <w:vMerge w:val="restar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3</w:t>
                  </w:r>
                </w:p>
              </w:tc>
              <w:tc>
                <w:tcPr>
                  <w:tcW w:w="460" w:type="pct"/>
                  <w:vMerge w:val="restar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环境风险防控</w:t>
                  </w:r>
                </w:p>
              </w:tc>
              <w:tc>
                <w:tcPr>
                  <w:tcW w:w="195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强化环境事故应急管理、强化环境风险防控能力建设</w:t>
                  </w:r>
                </w:p>
              </w:tc>
              <w:tc>
                <w:tcPr>
                  <w:tcW w:w="172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本项目设置风险防范措施；项目实施后，按要求编制应急预案</w:t>
                  </w:r>
                </w:p>
              </w:tc>
              <w:tc>
                <w:tcPr>
                  <w:tcW w:w="48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1"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460"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195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禁止向太湖流域水体排放或者倾倒油类、酸液、碱液、剧毒废渣废液、含放射性废渣废液、含病原体污水、工业废渣以及其他废弃物</w:t>
                  </w:r>
                </w:p>
              </w:tc>
              <w:tc>
                <w:tcPr>
                  <w:tcW w:w="172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项目</w:t>
                  </w:r>
                  <w:r>
                    <w:rPr>
                      <w:rFonts w:hint="eastAsia"/>
                      <w:color w:val="auto"/>
                      <w:sz w:val="21"/>
                      <w:szCs w:val="21"/>
                      <w:highlight w:val="none"/>
                    </w:rPr>
                    <w:t>无生产废水产生及排放，不向太湖流域水体排放或倾倒废水、废渣及其他废弃物</w:t>
                  </w:r>
                </w:p>
              </w:tc>
              <w:tc>
                <w:tcPr>
                  <w:tcW w:w="48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1"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4</w:t>
                  </w:r>
                </w:p>
              </w:tc>
              <w:tc>
                <w:tcPr>
                  <w:tcW w:w="460"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资源利用效率要求</w:t>
                  </w:r>
                </w:p>
              </w:tc>
              <w:tc>
                <w:tcPr>
                  <w:tcW w:w="195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rFonts w:hint="eastAsia"/>
                      <w:color w:val="auto"/>
                      <w:sz w:val="21"/>
                      <w:szCs w:val="21"/>
                      <w:highlight w:val="none"/>
                    </w:rPr>
                    <w:t>高耗水行业达到先进额定标准，</w:t>
                  </w:r>
                  <w:r>
                    <w:rPr>
                      <w:color w:val="auto"/>
                      <w:sz w:val="21"/>
                      <w:szCs w:val="21"/>
                      <w:highlight w:val="none"/>
                    </w:rPr>
                    <w:t>工业水循环利用率达90%；在禁燃区内，禁止销售、燃用高污染燃料；禁止新建、扩建燃用高污染燃料的设施，已建成的，应当在城市人民政府规定的期限内改用天然气、页岩气、液化石油气、电或者其他清洁能源。</w:t>
                  </w:r>
                </w:p>
              </w:tc>
              <w:tc>
                <w:tcPr>
                  <w:tcW w:w="172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项目</w:t>
                  </w:r>
                  <w:r>
                    <w:rPr>
                      <w:rFonts w:hint="eastAsia"/>
                      <w:color w:val="auto"/>
                      <w:sz w:val="21"/>
                      <w:szCs w:val="21"/>
                      <w:highlight w:val="none"/>
                    </w:rPr>
                    <w:t>不属于高耗水行业，</w:t>
                  </w:r>
                  <w:r>
                    <w:rPr>
                      <w:color w:val="auto"/>
                      <w:sz w:val="21"/>
                      <w:szCs w:val="21"/>
                      <w:highlight w:val="none"/>
                    </w:rPr>
                    <w:t>不涉及</w:t>
                  </w:r>
                  <w:r>
                    <w:rPr>
                      <w:rFonts w:hint="eastAsia"/>
                      <w:color w:val="auto"/>
                      <w:sz w:val="21"/>
                      <w:szCs w:val="21"/>
                      <w:highlight w:val="none"/>
                    </w:rPr>
                    <w:t>销售及</w:t>
                  </w:r>
                  <w:r>
                    <w:rPr>
                      <w:color w:val="auto"/>
                      <w:sz w:val="21"/>
                      <w:szCs w:val="21"/>
                      <w:highlight w:val="none"/>
                    </w:rPr>
                    <w:t>使用燃料</w:t>
                  </w:r>
                </w:p>
              </w:tc>
              <w:tc>
                <w:tcPr>
                  <w:tcW w:w="48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相符</w:t>
                  </w:r>
                </w:p>
              </w:tc>
            </w:tr>
          </w:tbl>
          <w:p>
            <w:pPr>
              <w:pStyle w:val="6"/>
              <w:adjustRightInd w:val="0"/>
              <w:snapToGrid w:val="0"/>
              <w:spacing w:before="120" w:beforeLines="50"/>
              <w:ind w:left="0" w:leftChars="0" w:firstLine="0" w:firstLineChars="0"/>
              <w:jc w:val="center"/>
              <w:rPr>
                <w:b/>
                <w:bCs/>
                <w:color w:val="auto"/>
                <w:sz w:val="21"/>
                <w:szCs w:val="21"/>
                <w:highlight w:val="none"/>
              </w:rPr>
            </w:pPr>
            <w:r>
              <w:rPr>
                <w:rFonts w:hint="eastAsia"/>
                <w:b/>
                <w:bCs/>
                <w:color w:val="auto"/>
                <w:sz w:val="21"/>
                <w:szCs w:val="21"/>
                <w:highlight w:val="none"/>
              </w:rPr>
              <w:t>表1-</w:t>
            </w:r>
            <w:r>
              <w:rPr>
                <w:rFonts w:hint="eastAsia"/>
                <w:b/>
                <w:bCs/>
                <w:color w:val="auto"/>
                <w:sz w:val="21"/>
                <w:szCs w:val="21"/>
                <w:highlight w:val="none"/>
                <w:lang w:val="en-US" w:eastAsia="zh-CN"/>
              </w:rPr>
              <w:t>9</w:t>
            </w:r>
            <w:r>
              <w:rPr>
                <w:rFonts w:hint="eastAsia"/>
                <w:b/>
                <w:bCs/>
                <w:color w:val="auto"/>
                <w:sz w:val="21"/>
                <w:szCs w:val="21"/>
                <w:highlight w:val="none"/>
              </w:rPr>
              <w:t xml:space="preserve"> 与常州市“三线一单”生态环境分区管控实施方案相符性</w:t>
            </w:r>
          </w:p>
          <w:tbl>
            <w:tblPr>
              <w:tblStyle w:val="25"/>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696"/>
              <w:gridCol w:w="4174"/>
              <w:gridCol w:w="1485"/>
              <w:gridCol w:w="64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2" w:type="pc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序号</w:t>
                  </w:r>
                </w:p>
              </w:tc>
              <w:tc>
                <w:tcPr>
                  <w:tcW w:w="3218" w:type="pct"/>
                  <w:gridSpan w:val="2"/>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管控要求</w:t>
                  </w:r>
                </w:p>
              </w:tc>
              <w:tc>
                <w:tcPr>
                  <w:tcW w:w="981" w:type="pc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color w:val="auto"/>
                      <w:sz w:val="21"/>
                      <w:szCs w:val="21"/>
                      <w:highlight w:val="none"/>
                    </w:rPr>
                    <w:t>本项目相关内容</w:t>
                  </w:r>
                </w:p>
              </w:tc>
              <w:tc>
                <w:tcPr>
                  <w:tcW w:w="427" w:type="pc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相符性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2"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1</w:t>
                  </w:r>
                </w:p>
              </w:tc>
              <w:tc>
                <w:tcPr>
                  <w:tcW w:w="460"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空间布局约束</w:t>
                  </w:r>
                </w:p>
              </w:tc>
              <w:tc>
                <w:tcPr>
                  <w:tcW w:w="275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1）禁止引入纺织服装中废水排放量较大的纯印染和纯染整类企业（除金坛时尚织染集聚区）。（2）禁止引入机械电子、高端装备制造业中电镀、表面处理类企业，淘汰、限制类的如普通高速钢钻头、铣刀、锯片、丝锥、板牙项目、普通微小型球轴承制造项目；禁止生产国家禁止或公告停止销售的车辆；有害物质含量超标准的汽车。（3）禁止引入化工中与盐化工及下游产品生产不相关的化工项目。（4）禁止引入新材料产业中太阳能电池切片生产项目。（5）禁止引入化工新材料中钢铁等传统型金属材料；水泥等传统型非金属材料。（6）禁止引入新医药产业中不符合GMP要求的安瓿拉丝灌封机、劳动保护、安瓿灌装注射用无菌粉末、非易折安瓿等。</w:t>
                  </w:r>
                </w:p>
              </w:tc>
              <w:tc>
                <w:tcPr>
                  <w:tcW w:w="981"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rFonts w:hint="eastAsia"/>
                      <w:color w:val="auto"/>
                      <w:sz w:val="21"/>
                      <w:szCs w:val="21"/>
                      <w:highlight w:val="none"/>
                    </w:rPr>
                    <w:t>项目行业为</w:t>
                  </w:r>
                  <w:r>
                    <w:rPr>
                      <w:rFonts w:hint="eastAsia"/>
                      <w:bCs/>
                      <w:color w:val="auto"/>
                      <w:sz w:val="21"/>
                      <w:szCs w:val="21"/>
                      <w:highlight w:val="none"/>
                    </w:rPr>
                    <w:t>塑料零件及其他塑料制品制造业</w:t>
                  </w:r>
                  <w:r>
                    <w:rPr>
                      <w:rFonts w:hint="eastAsia"/>
                      <w:color w:val="auto"/>
                      <w:sz w:val="21"/>
                      <w:szCs w:val="21"/>
                      <w:highlight w:val="none"/>
                    </w:rPr>
                    <w:t>，不属于以上禁止类项目</w:t>
                  </w:r>
                </w:p>
              </w:tc>
              <w:tc>
                <w:tcPr>
                  <w:tcW w:w="42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2"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2</w:t>
                  </w:r>
                </w:p>
              </w:tc>
              <w:tc>
                <w:tcPr>
                  <w:tcW w:w="460"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污染物排放管控</w:t>
                  </w:r>
                </w:p>
              </w:tc>
              <w:tc>
                <w:tcPr>
                  <w:tcW w:w="275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（1）严格实施污染物总量控制制度，根据区域环境质量改善目标，采取有效措施减少主要污染物排放总量，确保区域环境质量持续改善。（2）园区污染物排放总量不得突破环评报告及批复的总量。</w:t>
                  </w:r>
                </w:p>
              </w:tc>
              <w:tc>
                <w:tcPr>
                  <w:tcW w:w="981"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rFonts w:hint="eastAsia"/>
                      <w:color w:val="auto"/>
                      <w:sz w:val="21"/>
                      <w:szCs w:val="21"/>
                      <w:highlight w:val="none"/>
                    </w:rPr>
                    <w:t>建设项目将根据要求向</w:t>
                  </w:r>
                  <w:r>
                    <w:rPr>
                      <w:color w:val="auto"/>
                      <w:sz w:val="21"/>
                      <w:szCs w:val="21"/>
                      <w:highlight w:val="none"/>
                    </w:rPr>
                    <w:t>常州市金坛生态环境局申请总量</w:t>
                  </w:r>
                </w:p>
              </w:tc>
              <w:tc>
                <w:tcPr>
                  <w:tcW w:w="42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2"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3</w:t>
                  </w:r>
                </w:p>
              </w:tc>
              <w:tc>
                <w:tcPr>
                  <w:tcW w:w="460"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环境风险防控</w:t>
                  </w:r>
                </w:p>
              </w:tc>
              <w:tc>
                <w:tcPr>
                  <w:tcW w:w="275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1）园区建立环境应急体系，完善事故应急救援体系，加强应急物资装备储备，编制突发环境事件应急预案，定期开展演练。（2）生产、使用、储存危险化学品或其他存在环境风险的企事业单位，应当制定风险防范措施，编制完善突发环境事件应急预案，防止发生环境污染事故。（3）加强环境影响跟踪监测，建立健全各环境要素监控体系，完善并落实园区日常环境监测与污染源监控计划。</w:t>
                  </w:r>
                </w:p>
              </w:tc>
              <w:tc>
                <w:tcPr>
                  <w:tcW w:w="981"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rFonts w:hint="eastAsia"/>
                      <w:color w:val="auto"/>
                      <w:sz w:val="21"/>
                      <w:szCs w:val="21"/>
                      <w:highlight w:val="none"/>
                    </w:rPr>
                    <w:t>项目生产等工程涉及到环境风险，将按照要求</w:t>
                  </w:r>
                  <w:r>
                    <w:rPr>
                      <w:color w:val="auto"/>
                      <w:sz w:val="21"/>
                      <w:szCs w:val="21"/>
                      <w:highlight w:val="none"/>
                    </w:rPr>
                    <w:t>编制完善突发环境事件应急预案</w:t>
                  </w:r>
                  <w:r>
                    <w:rPr>
                      <w:rFonts w:hint="eastAsia"/>
                      <w:color w:val="auto"/>
                      <w:sz w:val="21"/>
                      <w:szCs w:val="21"/>
                      <w:highlight w:val="none"/>
                    </w:rPr>
                    <w:t>并根据要求制定监测计划</w:t>
                  </w:r>
                </w:p>
              </w:tc>
              <w:tc>
                <w:tcPr>
                  <w:tcW w:w="42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相符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2"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4</w:t>
                  </w:r>
                </w:p>
              </w:tc>
              <w:tc>
                <w:tcPr>
                  <w:tcW w:w="460"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资源利用效率要求</w:t>
                  </w:r>
                </w:p>
              </w:tc>
              <w:tc>
                <w:tcPr>
                  <w:tcW w:w="275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rFonts w:hint="eastAsia"/>
                      <w:color w:val="auto"/>
                      <w:sz w:val="21"/>
                      <w:szCs w:val="21"/>
                      <w:highlight w:val="none"/>
                    </w:rPr>
                    <w:t>（1）大力倡导使用清洁能源。（2）提升废水资源化技术，提高水资源回用率。（3）严禁自建燃煤设施。</w:t>
                  </w:r>
                </w:p>
              </w:tc>
              <w:tc>
                <w:tcPr>
                  <w:tcW w:w="981"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项目无生产废水产生及排放</w:t>
                  </w:r>
                  <w:r>
                    <w:rPr>
                      <w:rFonts w:hint="eastAsia"/>
                      <w:color w:val="auto"/>
                      <w:sz w:val="21"/>
                      <w:szCs w:val="21"/>
                      <w:highlight w:val="none"/>
                    </w:rPr>
                    <w:t>，</w:t>
                  </w:r>
                  <w:r>
                    <w:rPr>
                      <w:color w:val="auto"/>
                      <w:sz w:val="21"/>
                      <w:szCs w:val="21"/>
                      <w:highlight w:val="none"/>
                    </w:rPr>
                    <w:t>不使用燃料</w:t>
                  </w:r>
                </w:p>
              </w:tc>
              <w:tc>
                <w:tcPr>
                  <w:tcW w:w="42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相符</w:t>
                  </w:r>
                </w:p>
              </w:tc>
            </w:tr>
          </w:tbl>
          <w:p>
            <w:pPr>
              <w:keepNext w:val="0"/>
              <w:keepLines w:val="0"/>
              <w:pageBreakBefore w:val="0"/>
              <w:widowControl w:val="0"/>
              <w:kinsoku/>
              <w:wordWrap/>
              <w:overflowPunct/>
              <w:topLinePunct w:val="0"/>
              <w:autoSpaceDE w:val="0"/>
              <w:autoSpaceDN w:val="0"/>
              <w:bidi w:val="0"/>
              <w:adjustRightInd/>
              <w:snapToGrid/>
              <w:spacing w:before="157" w:beforeLines="50" w:line="360" w:lineRule="auto"/>
              <w:ind w:firstLine="420" w:firstLineChars="200"/>
              <w:textAlignment w:val="auto"/>
              <w:rPr>
                <w:b/>
                <w:color w:val="auto"/>
                <w:sz w:val="21"/>
                <w:szCs w:val="21"/>
                <w:highlight w:val="none"/>
              </w:rPr>
            </w:pPr>
            <w:r>
              <w:rPr>
                <w:color w:val="auto"/>
                <w:sz w:val="21"/>
                <w:szCs w:val="21"/>
                <w:highlight w:val="none"/>
              </w:rPr>
              <w:t>综上，本项目建设与《江苏省“三线一单”生态环境分区管控方案》（苏政发〔2020〕49号）、《关于印发常州市“三线一单”生态环境分区管控实施方案的通知》（常环[2020]95号）相关要求相符。</w:t>
            </w:r>
          </w:p>
          <w:p>
            <w:pPr>
              <w:spacing w:line="360" w:lineRule="auto"/>
              <w:ind w:firstLine="422" w:firstLineChars="200"/>
              <w:rPr>
                <w:b/>
                <w:color w:val="auto"/>
                <w:sz w:val="21"/>
                <w:szCs w:val="21"/>
                <w:highlight w:val="none"/>
              </w:rPr>
            </w:pPr>
            <w:r>
              <w:rPr>
                <w:b/>
                <w:color w:val="auto"/>
                <w:sz w:val="21"/>
                <w:szCs w:val="21"/>
                <w:highlight w:val="none"/>
              </w:rPr>
              <w:t>6、与《省生态环境厅关于进一步做好建设项目环评审批工作的通知》（苏环办（2019）36号）相符性分析</w:t>
            </w:r>
          </w:p>
          <w:p>
            <w:pPr>
              <w:pStyle w:val="6"/>
              <w:adjustRightInd w:val="0"/>
              <w:snapToGrid w:val="0"/>
              <w:spacing w:line="360" w:lineRule="auto"/>
              <w:ind w:firstLine="480"/>
              <w:rPr>
                <w:b/>
                <w:bCs/>
                <w:color w:val="auto"/>
                <w:sz w:val="21"/>
                <w:szCs w:val="21"/>
                <w:highlight w:val="none"/>
              </w:rPr>
            </w:pPr>
            <w:r>
              <w:rPr>
                <w:rFonts w:hint="eastAsia"/>
                <w:color w:val="auto"/>
                <w:sz w:val="21"/>
                <w:szCs w:val="21"/>
                <w:highlight w:val="none"/>
              </w:rPr>
              <w:t>项目与《省生态环境厅关于进一步做好建设项目环境审批工作的通知》（苏环办[2019]36号）相符性分析见表1-</w:t>
            </w:r>
            <w:r>
              <w:rPr>
                <w:rFonts w:hint="eastAsia"/>
                <w:color w:val="auto"/>
                <w:sz w:val="21"/>
                <w:szCs w:val="21"/>
                <w:highlight w:val="none"/>
                <w:lang w:val="en-US" w:eastAsia="zh-CN"/>
              </w:rPr>
              <w:t>10</w:t>
            </w:r>
            <w:r>
              <w:rPr>
                <w:rFonts w:hint="eastAsia"/>
                <w:color w:val="auto"/>
                <w:sz w:val="21"/>
                <w:szCs w:val="21"/>
                <w:highlight w:val="none"/>
              </w:rPr>
              <w:t>。</w:t>
            </w:r>
          </w:p>
          <w:p>
            <w:pPr>
              <w:pStyle w:val="6"/>
              <w:adjustRightInd w:val="0"/>
              <w:snapToGrid w:val="0"/>
              <w:ind w:firstLine="0" w:firstLineChars="0"/>
              <w:jc w:val="center"/>
              <w:rPr>
                <w:rFonts w:hint="eastAsia"/>
                <w:b/>
                <w:bCs/>
                <w:color w:val="auto"/>
                <w:sz w:val="21"/>
                <w:szCs w:val="21"/>
                <w:highlight w:val="none"/>
              </w:rPr>
            </w:pPr>
            <w:r>
              <w:rPr>
                <w:rFonts w:hint="eastAsia"/>
                <w:b/>
                <w:bCs/>
                <w:color w:val="auto"/>
                <w:sz w:val="21"/>
                <w:szCs w:val="21"/>
                <w:highlight w:val="none"/>
              </w:rPr>
              <w:t>表1-</w:t>
            </w:r>
            <w:r>
              <w:rPr>
                <w:rFonts w:hint="eastAsia"/>
                <w:b/>
                <w:bCs/>
                <w:color w:val="auto"/>
                <w:sz w:val="21"/>
                <w:szCs w:val="21"/>
                <w:highlight w:val="none"/>
                <w:lang w:val="en-US" w:eastAsia="zh-CN"/>
              </w:rPr>
              <w:t>10</w:t>
            </w:r>
            <w:r>
              <w:rPr>
                <w:rFonts w:hint="eastAsia"/>
                <w:b/>
                <w:bCs/>
                <w:color w:val="auto"/>
                <w:sz w:val="21"/>
                <w:szCs w:val="21"/>
                <w:highlight w:val="none"/>
              </w:rPr>
              <w:t xml:space="preserve"> 与《省生态环境厅关于进一步做好建设项目环评审批工作的通知》</w:t>
            </w:r>
          </w:p>
          <w:p>
            <w:pPr>
              <w:pStyle w:val="6"/>
              <w:adjustRightInd w:val="0"/>
              <w:snapToGrid w:val="0"/>
              <w:ind w:firstLine="0" w:firstLineChars="0"/>
              <w:jc w:val="center"/>
              <w:rPr>
                <w:b/>
                <w:bCs/>
                <w:color w:val="auto"/>
                <w:sz w:val="21"/>
                <w:szCs w:val="21"/>
                <w:highlight w:val="none"/>
              </w:rPr>
            </w:pPr>
            <w:r>
              <w:rPr>
                <w:rFonts w:hint="eastAsia"/>
                <w:b/>
                <w:bCs/>
                <w:color w:val="auto"/>
                <w:sz w:val="21"/>
                <w:szCs w:val="21"/>
                <w:highlight w:val="none"/>
              </w:rPr>
              <w:t>相符性分析</w:t>
            </w:r>
          </w:p>
          <w:tbl>
            <w:tblPr>
              <w:tblStyle w:val="25"/>
              <w:tblW w:w="498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453"/>
              <w:gridCol w:w="2405"/>
              <w:gridCol w:w="67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4453" w:type="dxa"/>
                  <w:tcMar>
                    <w:top w:w="0" w:type="dxa"/>
                    <w:left w:w="0" w:type="dxa"/>
                    <w:bottom w:w="0" w:type="dxa"/>
                    <w:right w:w="0" w:type="dxa"/>
                  </w:tcMar>
                  <w:vAlign w:val="center"/>
                </w:tcPr>
                <w:p>
                  <w:pPr>
                    <w:pStyle w:val="42"/>
                    <w:adjustRightInd w:val="0"/>
                    <w:snapToGrid w:val="0"/>
                    <w:spacing w:line="240" w:lineRule="auto"/>
                    <w:rPr>
                      <w:rFonts w:eastAsia="宋体"/>
                      <w:b/>
                      <w:color w:val="auto"/>
                      <w:sz w:val="21"/>
                      <w:szCs w:val="21"/>
                      <w:highlight w:val="none"/>
                    </w:rPr>
                  </w:pPr>
                  <w:r>
                    <w:rPr>
                      <w:rFonts w:eastAsia="宋体"/>
                      <w:b/>
                      <w:color w:val="auto"/>
                      <w:sz w:val="21"/>
                      <w:szCs w:val="21"/>
                      <w:highlight w:val="none"/>
                    </w:rPr>
                    <w:t>与项目相关要求</w:t>
                  </w:r>
                </w:p>
              </w:tc>
              <w:tc>
                <w:tcPr>
                  <w:tcW w:w="2405" w:type="dxa"/>
                  <w:tcMar>
                    <w:top w:w="0" w:type="dxa"/>
                    <w:left w:w="0" w:type="dxa"/>
                    <w:bottom w:w="0" w:type="dxa"/>
                    <w:right w:w="0" w:type="dxa"/>
                  </w:tcMar>
                  <w:vAlign w:val="center"/>
                </w:tcPr>
                <w:p>
                  <w:pPr>
                    <w:pStyle w:val="42"/>
                    <w:adjustRightInd w:val="0"/>
                    <w:snapToGrid w:val="0"/>
                    <w:spacing w:line="240" w:lineRule="auto"/>
                    <w:rPr>
                      <w:rFonts w:eastAsia="宋体"/>
                      <w:b/>
                      <w:color w:val="auto"/>
                      <w:sz w:val="21"/>
                      <w:szCs w:val="21"/>
                      <w:highlight w:val="none"/>
                    </w:rPr>
                  </w:pPr>
                  <w:r>
                    <w:rPr>
                      <w:rFonts w:eastAsia="宋体"/>
                      <w:b/>
                      <w:color w:val="auto"/>
                      <w:sz w:val="21"/>
                      <w:szCs w:val="21"/>
                      <w:highlight w:val="none"/>
                    </w:rPr>
                    <w:t>本项目相符性分析</w:t>
                  </w:r>
                </w:p>
              </w:tc>
              <w:tc>
                <w:tcPr>
                  <w:tcW w:w="679" w:type="dxa"/>
                  <w:tcMar>
                    <w:top w:w="0" w:type="dxa"/>
                    <w:left w:w="0" w:type="dxa"/>
                    <w:bottom w:w="0" w:type="dxa"/>
                    <w:right w:w="0" w:type="dxa"/>
                  </w:tcMar>
                  <w:vAlign w:val="center"/>
                </w:tcPr>
                <w:p>
                  <w:pPr>
                    <w:pStyle w:val="42"/>
                    <w:adjustRightInd w:val="0"/>
                    <w:snapToGrid w:val="0"/>
                    <w:spacing w:line="240" w:lineRule="auto"/>
                    <w:rPr>
                      <w:rFonts w:eastAsia="宋体"/>
                      <w:b/>
                      <w:color w:val="auto"/>
                      <w:sz w:val="21"/>
                      <w:szCs w:val="21"/>
                      <w:highlight w:val="none"/>
                    </w:rPr>
                  </w:pPr>
                  <w:r>
                    <w:rPr>
                      <w:rFonts w:eastAsia="宋体"/>
                      <w:b/>
                      <w:color w:val="auto"/>
                      <w:sz w:val="21"/>
                      <w:szCs w:val="21"/>
                      <w:highlight w:val="none"/>
                    </w:rPr>
                    <w:t>是否</w:t>
                  </w:r>
                  <w:r>
                    <w:rPr>
                      <w:rFonts w:hint="eastAsia" w:eastAsia="宋体"/>
                      <w:b/>
                      <w:color w:val="auto"/>
                      <w:sz w:val="21"/>
                      <w:szCs w:val="21"/>
                      <w:highlight w:val="none"/>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53" w:type="dxa"/>
                  <w:tcMar>
                    <w:top w:w="0" w:type="dxa"/>
                    <w:left w:w="0" w:type="dxa"/>
                    <w:bottom w:w="0" w:type="dxa"/>
                    <w:right w:w="0" w:type="dxa"/>
                  </w:tcMar>
                  <w:vAlign w:val="center"/>
                </w:tcPr>
                <w:p>
                  <w:pPr>
                    <w:adjustRightInd w:val="0"/>
                    <w:snapToGrid w:val="0"/>
                    <w:jc w:val="center"/>
                    <w:rPr>
                      <w:color w:val="auto"/>
                      <w:sz w:val="21"/>
                      <w:szCs w:val="21"/>
                      <w:highlight w:val="none"/>
                    </w:rPr>
                  </w:pPr>
                  <w:r>
                    <w:rPr>
                      <w:color w:val="auto"/>
                      <w:sz w:val="21"/>
                      <w:szCs w:val="21"/>
                      <w:highlight w:val="none"/>
                    </w:rPr>
                    <w:t>有下列情形之一的，不予批准：（1）建设项目类型及其选址、布局、规模等不符合环境保护法律法规和相关法定规划；（2）所在区域环境质量未达到国家或者地方环境质量标准，且建设项目拟采取的措施不能满足区域环境质量改善目标管理要求；（3）建设项目采取的污染防治措施无法确保污染物排放达到国家和地方排放标准，或者未采取必要措施预防和控制生态破坏；（4）改建、扩建和技术改造项目，未针对项目原有环境污染和生态破坏提出有效防止措施；（5）建设项目的环境影响报告书、环境影响报告表的基础资料数据明显不实，内容存在重大缺陷、遗漏，或者环境影响评价结论不明确、不合理。</w:t>
                  </w:r>
                </w:p>
              </w:tc>
              <w:tc>
                <w:tcPr>
                  <w:tcW w:w="2405" w:type="dxa"/>
                  <w:tcMar>
                    <w:top w:w="0" w:type="dxa"/>
                    <w:left w:w="0" w:type="dxa"/>
                    <w:bottom w:w="0" w:type="dxa"/>
                    <w:right w:w="0" w:type="dxa"/>
                  </w:tcMar>
                  <w:vAlign w:val="center"/>
                </w:tcPr>
                <w:p>
                  <w:pPr>
                    <w:adjustRightInd w:val="0"/>
                    <w:snapToGrid w:val="0"/>
                    <w:jc w:val="left"/>
                    <w:rPr>
                      <w:color w:val="auto"/>
                      <w:sz w:val="21"/>
                      <w:szCs w:val="21"/>
                      <w:highlight w:val="none"/>
                    </w:rPr>
                  </w:pPr>
                  <w:r>
                    <w:rPr>
                      <w:color w:val="auto"/>
                      <w:sz w:val="21"/>
                      <w:szCs w:val="21"/>
                      <w:highlight w:val="none"/>
                    </w:rPr>
                    <w:t>（1）</w:t>
                  </w:r>
                  <w:r>
                    <w:rPr>
                      <w:rFonts w:hint="eastAsia"/>
                      <w:color w:val="auto"/>
                      <w:sz w:val="21"/>
                      <w:szCs w:val="21"/>
                      <w:highlight w:val="none"/>
                    </w:rPr>
                    <w:t>项目选址位于金坛经济开发区内，符合其规划要求；</w:t>
                  </w:r>
                  <w:r>
                    <w:rPr>
                      <w:color w:val="auto"/>
                      <w:sz w:val="21"/>
                      <w:szCs w:val="21"/>
                      <w:highlight w:val="none"/>
                    </w:rPr>
                    <w:t>（2）</w:t>
                  </w:r>
                  <w:r>
                    <w:rPr>
                      <w:rFonts w:hint="eastAsia"/>
                      <w:color w:val="auto"/>
                      <w:sz w:val="21"/>
                      <w:szCs w:val="21"/>
                      <w:highlight w:val="none"/>
                    </w:rPr>
                    <w:t>项目采取的措施能够满足区域环境质量改善目标管理要求</w:t>
                  </w:r>
                  <w:r>
                    <w:rPr>
                      <w:color w:val="auto"/>
                      <w:sz w:val="21"/>
                      <w:szCs w:val="21"/>
                      <w:highlight w:val="none"/>
                    </w:rPr>
                    <w:t>；（3）项目采取的污染防治措施</w:t>
                  </w:r>
                  <w:r>
                    <w:rPr>
                      <w:rFonts w:hint="eastAsia"/>
                      <w:color w:val="auto"/>
                      <w:sz w:val="21"/>
                      <w:szCs w:val="21"/>
                      <w:highlight w:val="none"/>
                    </w:rPr>
                    <w:t>能够满足</w:t>
                  </w:r>
                  <w:r>
                    <w:rPr>
                      <w:color w:val="auto"/>
                      <w:sz w:val="21"/>
                      <w:szCs w:val="21"/>
                      <w:highlight w:val="none"/>
                    </w:rPr>
                    <w:t>污染物排放达到</w:t>
                  </w:r>
                  <w:r>
                    <w:rPr>
                      <w:rFonts w:hint="eastAsia"/>
                      <w:color w:val="auto"/>
                      <w:sz w:val="21"/>
                      <w:szCs w:val="21"/>
                      <w:highlight w:val="none"/>
                    </w:rPr>
                    <w:t>相关排放标准</w:t>
                  </w:r>
                  <w:r>
                    <w:rPr>
                      <w:color w:val="auto"/>
                      <w:sz w:val="21"/>
                      <w:szCs w:val="21"/>
                      <w:highlight w:val="none"/>
                    </w:rPr>
                    <w:t>；（4）</w:t>
                  </w:r>
                  <w:r>
                    <w:rPr>
                      <w:rFonts w:hint="eastAsia"/>
                      <w:color w:val="auto"/>
                      <w:sz w:val="21"/>
                      <w:szCs w:val="21"/>
                      <w:highlight w:val="none"/>
                    </w:rPr>
                    <w:t>本项目为新建项目，无原有环境污染</w:t>
                  </w:r>
                  <w:r>
                    <w:rPr>
                      <w:color w:val="auto"/>
                      <w:sz w:val="21"/>
                      <w:szCs w:val="21"/>
                      <w:highlight w:val="none"/>
                    </w:rPr>
                    <w:t>；（5）</w:t>
                  </w:r>
                  <w:r>
                    <w:rPr>
                      <w:rFonts w:hint="eastAsia"/>
                      <w:color w:val="auto"/>
                      <w:sz w:val="21"/>
                      <w:szCs w:val="21"/>
                      <w:highlight w:val="none"/>
                    </w:rPr>
                    <w:t>本项目</w:t>
                  </w:r>
                  <w:r>
                    <w:rPr>
                      <w:color w:val="auto"/>
                      <w:sz w:val="21"/>
                      <w:szCs w:val="21"/>
                      <w:highlight w:val="none"/>
                    </w:rPr>
                    <w:t>基础资料数据</w:t>
                  </w:r>
                  <w:r>
                    <w:rPr>
                      <w:rFonts w:hint="eastAsia"/>
                      <w:color w:val="auto"/>
                      <w:sz w:val="21"/>
                      <w:szCs w:val="21"/>
                      <w:highlight w:val="none"/>
                    </w:rPr>
                    <w:t>符合实际情况</w:t>
                  </w:r>
                  <w:r>
                    <w:rPr>
                      <w:color w:val="auto"/>
                      <w:sz w:val="21"/>
                      <w:szCs w:val="21"/>
                      <w:highlight w:val="none"/>
                    </w:rPr>
                    <w:t>。</w:t>
                  </w:r>
                </w:p>
              </w:tc>
              <w:tc>
                <w:tcPr>
                  <w:tcW w:w="679" w:type="dxa"/>
                  <w:tcMar>
                    <w:top w:w="0" w:type="dxa"/>
                    <w:left w:w="0" w:type="dxa"/>
                    <w:bottom w:w="0" w:type="dxa"/>
                    <w:right w:w="0" w:type="dxa"/>
                  </w:tcMar>
                  <w:vAlign w:val="center"/>
                </w:tcPr>
                <w:p>
                  <w:pPr>
                    <w:pStyle w:val="42"/>
                    <w:adjustRightInd w:val="0"/>
                    <w:snapToGrid w:val="0"/>
                    <w:spacing w:line="240" w:lineRule="auto"/>
                    <w:rPr>
                      <w:rFonts w:eastAsia="宋体"/>
                      <w:color w:val="auto"/>
                      <w:sz w:val="21"/>
                      <w:szCs w:val="21"/>
                      <w:highlight w:val="none"/>
                    </w:rPr>
                  </w:pPr>
                  <w:r>
                    <w:rPr>
                      <w:rFonts w:hint="eastAsia" w:eastAsia="宋体"/>
                      <w:color w:val="auto"/>
                      <w:sz w:val="21"/>
                      <w:szCs w:val="21"/>
                      <w:highlight w:val="none"/>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53" w:type="dxa"/>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排放主要污染物的建设项目，在环境影响评价文件审批前，须取得主要污染物排放总量指标。</w:t>
                  </w:r>
                </w:p>
              </w:tc>
              <w:tc>
                <w:tcPr>
                  <w:tcW w:w="2405" w:type="dxa"/>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本项目需按要求取得总量指标。</w:t>
                  </w:r>
                </w:p>
              </w:tc>
              <w:tc>
                <w:tcPr>
                  <w:tcW w:w="679" w:type="dxa"/>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53" w:type="dxa"/>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严禁在长江干流及主要支流岸线1公里范围内新建布局化工园区和化工企业。</w:t>
                  </w:r>
                </w:p>
              </w:tc>
              <w:tc>
                <w:tcPr>
                  <w:tcW w:w="2405" w:type="dxa"/>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本项目不在长江干流及主要支流岸线1公里范围内。</w:t>
                  </w:r>
                </w:p>
              </w:tc>
              <w:tc>
                <w:tcPr>
                  <w:tcW w:w="679" w:type="dxa"/>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53" w:type="dxa"/>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生态保护红线原则上按禁止开发区域的要求进行管理，严禁不符合主体功能定位的各类开发活动，严禁任意改变用途。</w:t>
                  </w:r>
                </w:p>
              </w:tc>
              <w:tc>
                <w:tcPr>
                  <w:tcW w:w="2405" w:type="dxa"/>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本项目不在生态保护红线范围内。</w:t>
                  </w:r>
                </w:p>
              </w:tc>
              <w:tc>
                <w:tcPr>
                  <w:tcW w:w="679" w:type="dxa"/>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53" w:type="dxa"/>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禁止审批无法落实危险废物利用、处置途径的项目，从严审批危险废物产生量大、本地无配套利用处置能力、且需设区市统筹解决的项目。</w:t>
                  </w:r>
                </w:p>
              </w:tc>
              <w:tc>
                <w:tcPr>
                  <w:tcW w:w="2405" w:type="dxa"/>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本项目产生的危险废物均能委托有资质单位妥善处置。</w:t>
                  </w:r>
                </w:p>
              </w:tc>
              <w:tc>
                <w:tcPr>
                  <w:tcW w:w="679" w:type="dxa"/>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符合</w:t>
                  </w:r>
                </w:p>
              </w:tc>
            </w:tr>
          </w:tbl>
          <w:p>
            <w:pPr>
              <w:pStyle w:val="14"/>
              <w:keepNext w:val="0"/>
              <w:keepLines w:val="0"/>
              <w:pageBreakBefore w:val="0"/>
              <w:widowControl w:val="0"/>
              <w:numPr>
                <w:ilvl w:val="0"/>
                <w:numId w:val="0"/>
              </w:numPr>
              <w:kinsoku/>
              <w:wordWrap/>
              <w:overflowPunct/>
              <w:topLinePunct w:val="0"/>
              <w:autoSpaceDE/>
              <w:autoSpaceDN/>
              <w:bidi w:val="0"/>
              <w:adjustRightInd/>
              <w:snapToGrid/>
              <w:spacing w:before="120" w:beforeLines="50" w:line="360" w:lineRule="auto"/>
              <w:ind w:firstLine="420" w:firstLineChars="200"/>
              <w:textAlignment w:val="auto"/>
              <w:rPr>
                <w:color w:val="auto"/>
                <w:sz w:val="21"/>
                <w:szCs w:val="21"/>
                <w:highlight w:val="none"/>
              </w:rPr>
            </w:pPr>
            <w:r>
              <w:rPr>
                <w:color w:val="auto"/>
                <w:sz w:val="21"/>
                <w:szCs w:val="21"/>
                <w:highlight w:val="none"/>
              </w:rPr>
              <w:t>综上，本项目建设与</w:t>
            </w:r>
            <w:r>
              <w:rPr>
                <w:rFonts w:hint="eastAsia"/>
                <w:color w:val="auto"/>
                <w:sz w:val="21"/>
                <w:szCs w:val="21"/>
                <w:highlight w:val="none"/>
              </w:rPr>
              <w:t>《省生态环境厅关于进一步做好建设项目环境审批工作的通知》（苏环办[2019]36号）</w:t>
            </w:r>
            <w:r>
              <w:rPr>
                <w:color w:val="auto"/>
                <w:sz w:val="21"/>
                <w:szCs w:val="21"/>
                <w:highlight w:val="none"/>
              </w:rPr>
              <w:t>相关要求相符。</w:t>
            </w:r>
          </w:p>
        </w:tc>
      </w:tr>
    </w:tbl>
    <w:p>
      <w:pPr>
        <w:spacing w:line="360" w:lineRule="auto"/>
        <w:outlineLvl w:val="0"/>
        <w:rPr>
          <w:color w:val="auto"/>
          <w:sz w:val="30"/>
          <w:highlight w:val="none"/>
        </w:rPr>
        <w:sectPr>
          <w:footerReference r:id="rId4" w:type="default"/>
          <w:pgSz w:w="11906" w:h="16838"/>
          <w:pgMar w:top="1701" w:right="1531" w:bottom="1701" w:left="1531" w:header="851" w:footer="1077" w:gutter="0"/>
          <w:pgNumType w:fmt="decimal" w:start="1"/>
          <w:cols w:space="720" w:num="1"/>
          <w:docGrid w:linePitch="312" w:charSpace="0"/>
        </w:sectPr>
      </w:pPr>
    </w:p>
    <w:p>
      <w:pPr>
        <w:pStyle w:val="22"/>
        <w:snapToGrid w:val="0"/>
        <w:jc w:val="center"/>
        <w:outlineLvl w:val="0"/>
        <w:rPr>
          <w:rFonts w:ascii="Times New Roman" w:hAnsi="Times New Roman" w:cs="Times New Roman"/>
          <w:b/>
          <w:bCs/>
          <w:snapToGrid w:val="0"/>
          <w:color w:val="auto"/>
          <w:sz w:val="30"/>
          <w:szCs w:val="30"/>
          <w:highlight w:val="none"/>
        </w:rPr>
      </w:pPr>
      <w:bookmarkStart w:id="2" w:name="_Toc17881"/>
      <w:r>
        <w:rPr>
          <w:rFonts w:ascii="Times New Roman" w:hAnsi="Times New Roman" w:cs="Times New Roman"/>
          <w:b/>
          <w:bCs/>
          <w:snapToGrid w:val="0"/>
          <w:color w:val="auto"/>
          <w:sz w:val="30"/>
          <w:szCs w:val="30"/>
          <w:highlight w:val="none"/>
        </w:rPr>
        <w:t>二、建设项目工程分析</w:t>
      </w:r>
      <w:bookmarkEnd w:id="2"/>
    </w:p>
    <w:tbl>
      <w:tblPr>
        <w:tblStyle w:val="2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816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vAlign w:val="center"/>
          </w:tcPr>
          <w:p>
            <w:pPr>
              <w:pStyle w:val="22"/>
              <w:adjustRightInd w:val="0"/>
              <w:snapToGrid w:val="0"/>
              <w:spacing w:before="0" w:beforeAutospacing="0" w:after="0" w:afterAutospacing="0"/>
              <w:jc w:val="center"/>
              <w:rPr>
                <w:rFonts w:ascii="Times New Roman" w:hAnsi="Times New Roman" w:cs="Times New Roman"/>
                <w:color w:val="auto"/>
                <w:szCs w:val="24"/>
                <w:highlight w:val="none"/>
              </w:rPr>
            </w:pPr>
            <w:r>
              <w:rPr>
                <w:rFonts w:ascii="Times New Roman" w:hAnsi="Times New Roman" w:cs="Times New Roman"/>
                <w:color w:val="auto"/>
                <w:sz w:val="21"/>
                <w:szCs w:val="21"/>
                <w:highlight w:val="none"/>
              </w:rPr>
              <w:t>建设内容</w:t>
            </w:r>
          </w:p>
        </w:tc>
        <w:tc>
          <w:tcPr>
            <w:tcW w:w="8161" w:type="dxa"/>
          </w:tcPr>
          <w:p>
            <w:pPr>
              <w:pStyle w:val="43"/>
              <w:spacing w:before="120" w:beforeLines="50" w:line="360" w:lineRule="auto"/>
              <w:ind w:firstLine="0" w:firstLineChars="0"/>
              <w:rPr>
                <w:rFonts w:eastAsia="宋体"/>
                <w:color w:val="auto"/>
                <w:sz w:val="21"/>
                <w:szCs w:val="21"/>
                <w:highlight w:val="none"/>
              </w:rPr>
            </w:pPr>
            <w:r>
              <w:rPr>
                <w:rFonts w:eastAsia="宋体"/>
                <w:color w:val="auto"/>
                <w:sz w:val="21"/>
                <w:szCs w:val="21"/>
                <w:highlight w:val="none"/>
              </w:rPr>
              <w:t>一、项目由来</w:t>
            </w:r>
          </w:p>
          <w:p>
            <w:pPr>
              <w:pStyle w:val="43"/>
              <w:snapToGrid w:val="0"/>
              <w:spacing w:line="360" w:lineRule="auto"/>
              <w:ind w:firstLine="480"/>
              <w:jc w:val="both"/>
              <w:rPr>
                <w:rFonts w:eastAsia="宋体"/>
                <w:b w:val="0"/>
                <w:bCs/>
                <w:color w:val="auto"/>
                <w:sz w:val="21"/>
                <w:szCs w:val="21"/>
                <w:highlight w:val="none"/>
              </w:rPr>
            </w:pPr>
            <w:r>
              <w:rPr>
                <w:rFonts w:hint="eastAsia" w:eastAsia="宋体"/>
                <w:b w:val="0"/>
                <w:bCs/>
                <w:color w:val="auto"/>
                <w:sz w:val="21"/>
                <w:szCs w:val="21"/>
                <w:highlight w:val="none"/>
              </w:rPr>
              <w:t>江苏汇富新型材料有限公司</w:t>
            </w:r>
            <w:r>
              <w:rPr>
                <w:rFonts w:eastAsia="宋体"/>
                <w:b w:val="0"/>
                <w:bCs/>
                <w:color w:val="auto"/>
                <w:sz w:val="21"/>
                <w:szCs w:val="21"/>
                <w:highlight w:val="none"/>
              </w:rPr>
              <w:t>成立于20</w:t>
            </w:r>
            <w:r>
              <w:rPr>
                <w:rFonts w:hint="eastAsia" w:eastAsia="宋体"/>
                <w:b w:val="0"/>
                <w:bCs/>
                <w:color w:val="auto"/>
                <w:sz w:val="21"/>
                <w:szCs w:val="21"/>
                <w:highlight w:val="none"/>
              </w:rPr>
              <w:t>22</w:t>
            </w:r>
            <w:r>
              <w:rPr>
                <w:rFonts w:eastAsia="宋体"/>
                <w:b w:val="0"/>
                <w:bCs/>
                <w:color w:val="auto"/>
                <w:sz w:val="21"/>
                <w:szCs w:val="21"/>
                <w:highlight w:val="none"/>
              </w:rPr>
              <w:t>年</w:t>
            </w:r>
            <w:r>
              <w:rPr>
                <w:rFonts w:hint="eastAsia" w:eastAsia="宋体"/>
                <w:b w:val="0"/>
                <w:bCs/>
                <w:color w:val="auto"/>
                <w:sz w:val="21"/>
                <w:szCs w:val="21"/>
                <w:highlight w:val="none"/>
              </w:rPr>
              <w:t>9</w:t>
            </w:r>
            <w:r>
              <w:rPr>
                <w:rFonts w:eastAsia="宋体"/>
                <w:b w:val="0"/>
                <w:bCs/>
                <w:color w:val="auto"/>
                <w:sz w:val="21"/>
                <w:szCs w:val="21"/>
                <w:highlight w:val="none"/>
              </w:rPr>
              <w:t>月</w:t>
            </w:r>
            <w:r>
              <w:rPr>
                <w:rFonts w:hint="eastAsia" w:eastAsia="宋体"/>
                <w:b w:val="0"/>
                <w:bCs/>
                <w:color w:val="auto"/>
                <w:sz w:val="21"/>
                <w:szCs w:val="21"/>
                <w:highlight w:val="none"/>
              </w:rPr>
              <w:t>26</w:t>
            </w:r>
            <w:r>
              <w:rPr>
                <w:rFonts w:eastAsia="宋体"/>
                <w:b w:val="0"/>
                <w:bCs/>
                <w:color w:val="auto"/>
                <w:sz w:val="21"/>
                <w:szCs w:val="21"/>
                <w:highlight w:val="none"/>
              </w:rPr>
              <w:t>日，统一社会信用代码为</w:t>
            </w:r>
            <w:r>
              <w:rPr>
                <w:rFonts w:hint="eastAsia" w:eastAsia="宋体"/>
                <w:b w:val="0"/>
                <w:bCs/>
                <w:color w:val="auto"/>
                <w:sz w:val="21"/>
                <w:szCs w:val="21"/>
                <w:highlight w:val="none"/>
              </w:rPr>
              <w:t>91320413MA27RT687E</w:t>
            </w:r>
            <w:r>
              <w:rPr>
                <w:rFonts w:eastAsia="宋体"/>
                <w:b w:val="0"/>
                <w:bCs/>
                <w:color w:val="auto"/>
                <w:sz w:val="21"/>
                <w:szCs w:val="21"/>
                <w:highlight w:val="none"/>
              </w:rPr>
              <w:t>，公司注册地址为</w:t>
            </w:r>
            <w:r>
              <w:rPr>
                <w:rFonts w:hint="eastAsia" w:eastAsia="宋体"/>
                <w:b w:val="0"/>
                <w:bCs/>
                <w:color w:val="auto"/>
                <w:sz w:val="21"/>
                <w:szCs w:val="21"/>
                <w:highlight w:val="none"/>
              </w:rPr>
              <w:t>江苏省金坛经济开发区汇福路3号。</w:t>
            </w:r>
            <w:r>
              <w:rPr>
                <w:rFonts w:eastAsia="宋体"/>
                <w:b w:val="0"/>
                <w:bCs/>
                <w:color w:val="auto"/>
                <w:sz w:val="21"/>
                <w:szCs w:val="21"/>
                <w:highlight w:val="none"/>
              </w:rPr>
              <w:t>为了满足市场需求，</w:t>
            </w:r>
            <w:r>
              <w:rPr>
                <w:rFonts w:hint="eastAsia" w:eastAsia="宋体"/>
                <w:b w:val="0"/>
                <w:bCs/>
                <w:color w:val="auto"/>
                <w:sz w:val="21"/>
                <w:szCs w:val="21"/>
                <w:highlight w:val="none"/>
              </w:rPr>
              <w:t>江苏汇富新型材料有限公司</w:t>
            </w:r>
            <w:r>
              <w:rPr>
                <w:rFonts w:eastAsia="宋体"/>
                <w:b w:val="0"/>
                <w:bCs/>
                <w:color w:val="auto"/>
                <w:sz w:val="21"/>
                <w:szCs w:val="21"/>
                <w:highlight w:val="none"/>
              </w:rPr>
              <w:t>计划投资</w:t>
            </w:r>
            <w:r>
              <w:rPr>
                <w:rFonts w:hint="eastAsia" w:eastAsia="宋体"/>
                <w:b w:val="0"/>
                <w:bCs/>
                <w:color w:val="auto"/>
                <w:sz w:val="21"/>
                <w:szCs w:val="21"/>
                <w:highlight w:val="none"/>
              </w:rPr>
              <w:t>1000</w:t>
            </w:r>
            <w:r>
              <w:rPr>
                <w:rFonts w:eastAsia="宋体"/>
                <w:b w:val="0"/>
                <w:bCs/>
                <w:color w:val="auto"/>
                <w:sz w:val="21"/>
                <w:szCs w:val="21"/>
                <w:highlight w:val="none"/>
              </w:rPr>
              <w:t>万，购置</w:t>
            </w:r>
            <w:r>
              <w:rPr>
                <w:rFonts w:hint="eastAsia" w:eastAsia="宋体"/>
                <w:b w:val="0"/>
                <w:bCs/>
                <w:color w:val="auto"/>
                <w:sz w:val="21"/>
                <w:szCs w:val="21"/>
                <w:highlight w:val="none"/>
              </w:rPr>
              <w:t>混合</w:t>
            </w:r>
            <w:r>
              <w:rPr>
                <w:rFonts w:hint="eastAsia" w:eastAsia="宋体"/>
                <w:b w:val="0"/>
                <w:bCs/>
                <w:color w:val="auto"/>
                <w:sz w:val="21"/>
                <w:szCs w:val="21"/>
                <w:highlight w:val="none"/>
                <w:lang w:val="en-US" w:eastAsia="zh-CN"/>
              </w:rPr>
              <w:t>设备</w:t>
            </w:r>
            <w:r>
              <w:rPr>
                <w:rFonts w:hint="eastAsia" w:eastAsia="宋体"/>
                <w:b w:val="0"/>
                <w:bCs/>
                <w:color w:val="auto"/>
                <w:sz w:val="21"/>
                <w:szCs w:val="21"/>
                <w:highlight w:val="none"/>
              </w:rPr>
              <w:t>、挤出成型机</w:t>
            </w:r>
            <w:r>
              <w:rPr>
                <w:rFonts w:eastAsia="宋体"/>
                <w:b w:val="0"/>
                <w:bCs/>
                <w:color w:val="auto"/>
                <w:sz w:val="21"/>
                <w:szCs w:val="21"/>
                <w:highlight w:val="none"/>
              </w:rPr>
              <w:t>等生产设备，租赁</w:t>
            </w:r>
            <w:r>
              <w:rPr>
                <w:rFonts w:hint="eastAsia" w:eastAsia="宋体"/>
                <w:b w:val="0"/>
                <w:bCs/>
                <w:color w:val="auto"/>
                <w:sz w:val="21"/>
                <w:szCs w:val="21"/>
                <w:highlight w:val="none"/>
              </w:rPr>
              <w:t>常州市奥翔服装印花有限公司空置厂房1000</w:t>
            </w:r>
            <w:r>
              <w:rPr>
                <w:rFonts w:eastAsia="宋体"/>
                <w:b w:val="0"/>
                <w:bCs/>
                <w:color w:val="auto"/>
                <w:sz w:val="21"/>
                <w:szCs w:val="21"/>
                <w:highlight w:val="none"/>
              </w:rPr>
              <w:t>m</w:t>
            </w:r>
            <w:r>
              <w:rPr>
                <w:rFonts w:eastAsia="宋体"/>
                <w:b w:val="0"/>
                <w:bCs/>
                <w:color w:val="auto"/>
                <w:sz w:val="21"/>
                <w:szCs w:val="21"/>
                <w:highlight w:val="none"/>
                <w:vertAlign w:val="superscript"/>
              </w:rPr>
              <w:t>2</w:t>
            </w:r>
            <w:r>
              <w:rPr>
                <w:rFonts w:eastAsia="宋体"/>
                <w:b w:val="0"/>
                <w:bCs/>
                <w:color w:val="auto"/>
                <w:sz w:val="21"/>
                <w:szCs w:val="21"/>
                <w:highlight w:val="none"/>
              </w:rPr>
              <w:t>用于</w:t>
            </w:r>
            <w:r>
              <w:rPr>
                <w:rFonts w:hint="eastAsia" w:eastAsia="宋体"/>
                <w:b w:val="0"/>
                <w:bCs/>
                <w:color w:val="auto"/>
                <w:sz w:val="21"/>
                <w:szCs w:val="21"/>
                <w:highlight w:val="none"/>
              </w:rPr>
              <w:t>“新建包装材料生产项目”</w:t>
            </w:r>
            <w:r>
              <w:rPr>
                <w:rFonts w:eastAsia="宋体"/>
                <w:b w:val="0"/>
                <w:bCs/>
                <w:color w:val="auto"/>
                <w:sz w:val="21"/>
                <w:szCs w:val="21"/>
                <w:highlight w:val="none"/>
              </w:rPr>
              <w:t>的生产活动</w:t>
            </w:r>
            <w:r>
              <w:rPr>
                <w:rFonts w:hint="eastAsia" w:eastAsia="宋体"/>
                <w:b w:val="0"/>
                <w:bCs/>
                <w:color w:val="auto"/>
                <w:sz w:val="21"/>
                <w:szCs w:val="21"/>
                <w:highlight w:val="none"/>
              </w:rPr>
              <w:t>，项目建成后可年产汽车零部件包装材料4800吨、家装包装材料3200吨、其他包装材料2000吨</w:t>
            </w:r>
            <w:r>
              <w:rPr>
                <w:rFonts w:eastAsia="宋体"/>
                <w:b w:val="0"/>
                <w:bCs/>
                <w:color w:val="auto"/>
                <w:sz w:val="21"/>
                <w:szCs w:val="21"/>
                <w:highlight w:val="none"/>
              </w:rPr>
              <w:t>。</w:t>
            </w:r>
          </w:p>
          <w:p>
            <w:pPr>
              <w:pStyle w:val="43"/>
              <w:snapToGrid w:val="0"/>
              <w:spacing w:line="360" w:lineRule="auto"/>
              <w:ind w:firstLine="480"/>
              <w:jc w:val="both"/>
              <w:rPr>
                <w:rFonts w:eastAsia="宋体"/>
                <w:b w:val="0"/>
                <w:bCs/>
                <w:color w:val="auto"/>
                <w:sz w:val="21"/>
                <w:szCs w:val="21"/>
                <w:highlight w:val="none"/>
              </w:rPr>
            </w:pPr>
            <w:r>
              <w:rPr>
                <w:rFonts w:eastAsia="宋体"/>
                <w:b w:val="0"/>
                <w:bCs/>
                <w:color w:val="auto"/>
                <w:sz w:val="21"/>
                <w:szCs w:val="21"/>
                <w:highlight w:val="none"/>
              </w:rPr>
              <w:t>本项目已于202</w:t>
            </w:r>
            <w:r>
              <w:rPr>
                <w:rFonts w:hint="eastAsia" w:eastAsia="宋体"/>
                <w:b w:val="0"/>
                <w:bCs/>
                <w:color w:val="auto"/>
                <w:sz w:val="21"/>
                <w:szCs w:val="21"/>
                <w:highlight w:val="none"/>
              </w:rPr>
              <w:t>2</w:t>
            </w:r>
            <w:r>
              <w:rPr>
                <w:rFonts w:eastAsia="宋体"/>
                <w:b w:val="0"/>
                <w:bCs/>
                <w:color w:val="auto"/>
                <w:sz w:val="21"/>
                <w:szCs w:val="21"/>
                <w:highlight w:val="none"/>
              </w:rPr>
              <w:t>年</w:t>
            </w:r>
            <w:r>
              <w:rPr>
                <w:rFonts w:hint="eastAsia" w:eastAsia="宋体"/>
                <w:b w:val="0"/>
                <w:bCs/>
                <w:color w:val="auto"/>
                <w:sz w:val="21"/>
                <w:szCs w:val="21"/>
                <w:highlight w:val="none"/>
              </w:rPr>
              <w:t>10</w:t>
            </w:r>
            <w:r>
              <w:rPr>
                <w:rFonts w:eastAsia="宋体"/>
                <w:b w:val="0"/>
                <w:bCs/>
                <w:color w:val="auto"/>
                <w:sz w:val="21"/>
                <w:szCs w:val="21"/>
                <w:highlight w:val="none"/>
              </w:rPr>
              <w:t>月</w:t>
            </w:r>
            <w:r>
              <w:rPr>
                <w:rFonts w:hint="eastAsia" w:eastAsia="宋体"/>
                <w:b w:val="0"/>
                <w:bCs/>
                <w:color w:val="auto"/>
                <w:sz w:val="21"/>
                <w:szCs w:val="21"/>
                <w:highlight w:val="none"/>
              </w:rPr>
              <w:t>13</w:t>
            </w:r>
            <w:r>
              <w:rPr>
                <w:rFonts w:eastAsia="宋体"/>
                <w:b w:val="0"/>
                <w:bCs/>
                <w:color w:val="auto"/>
                <w:sz w:val="21"/>
                <w:szCs w:val="21"/>
                <w:highlight w:val="none"/>
              </w:rPr>
              <w:t>日取得江苏金坛经济开发区</w:t>
            </w:r>
            <w:r>
              <w:rPr>
                <w:rFonts w:hint="eastAsia" w:eastAsia="宋体"/>
                <w:b w:val="0"/>
                <w:bCs/>
                <w:color w:val="auto"/>
                <w:sz w:val="21"/>
                <w:szCs w:val="21"/>
                <w:highlight w:val="none"/>
              </w:rPr>
              <w:t>经济发展局</w:t>
            </w:r>
            <w:r>
              <w:rPr>
                <w:rFonts w:eastAsia="宋体"/>
                <w:b w:val="0"/>
                <w:bCs/>
                <w:color w:val="auto"/>
                <w:sz w:val="21"/>
                <w:szCs w:val="21"/>
                <w:highlight w:val="none"/>
              </w:rPr>
              <w:t>关于《</w:t>
            </w:r>
            <w:r>
              <w:rPr>
                <w:rFonts w:hint="eastAsia" w:eastAsia="宋体"/>
                <w:b w:val="0"/>
                <w:bCs/>
                <w:color w:val="auto"/>
                <w:sz w:val="21"/>
                <w:szCs w:val="21"/>
                <w:highlight w:val="none"/>
              </w:rPr>
              <w:t>新建包装材料生产项目的备案证</w:t>
            </w:r>
            <w:r>
              <w:rPr>
                <w:rFonts w:eastAsia="宋体"/>
                <w:b w:val="0"/>
                <w:bCs/>
                <w:color w:val="auto"/>
                <w:sz w:val="21"/>
                <w:szCs w:val="21"/>
                <w:highlight w:val="none"/>
              </w:rPr>
              <w:t>》(坛开</w:t>
            </w:r>
            <w:r>
              <w:rPr>
                <w:rFonts w:hint="eastAsia" w:eastAsia="宋体"/>
                <w:b w:val="0"/>
                <w:bCs/>
                <w:color w:val="auto"/>
                <w:sz w:val="21"/>
                <w:szCs w:val="21"/>
                <w:highlight w:val="none"/>
              </w:rPr>
              <w:t>经发</w:t>
            </w:r>
            <w:r>
              <w:rPr>
                <w:rFonts w:eastAsia="宋体"/>
                <w:b w:val="0"/>
                <w:bCs/>
                <w:color w:val="auto"/>
                <w:sz w:val="21"/>
                <w:szCs w:val="21"/>
                <w:highlight w:val="none"/>
              </w:rPr>
              <w:t>备字[202</w:t>
            </w:r>
            <w:r>
              <w:rPr>
                <w:rFonts w:hint="eastAsia" w:eastAsia="宋体"/>
                <w:b w:val="0"/>
                <w:bCs/>
                <w:color w:val="auto"/>
                <w:sz w:val="21"/>
                <w:szCs w:val="21"/>
                <w:highlight w:val="none"/>
              </w:rPr>
              <w:t>2</w:t>
            </w:r>
            <w:r>
              <w:rPr>
                <w:rFonts w:eastAsia="宋体"/>
                <w:b w:val="0"/>
                <w:bCs/>
                <w:color w:val="auto"/>
                <w:sz w:val="21"/>
                <w:szCs w:val="21"/>
                <w:highlight w:val="none"/>
              </w:rPr>
              <w:t>]</w:t>
            </w:r>
            <w:r>
              <w:rPr>
                <w:rFonts w:hint="eastAsia" w:eastAsia="宋体"/>
                <w:b w:val="0"/>
                <w:bCs/>
                <w:color w:val="auto"/>
                <w:sz w:val="21"/>
                <w:szCs w:val="21"/>
                <w:highlight w:val="none"/>
              </w:rPr>
              <w:t>193</w:t>
            </w:r>
            <w:r>
              <w:rPr>
                <w:rFonts w:eastAsia="宋体"/>
                <w:b w:val="0"/>
                <w:bCs/>
                <w:color w:val="auto"/>
                <w:sz w:val="21"/>
                <w:szCs w:val="21"/>
                <w:highlight w:val="none"/>
              </w:rPr>
              <w:t>号)，项目编号为</w:t>
            </w:r>
            <w:r>
              <w:rPr>
                <w:rFonts w:hint="eastAsia" w:eastAsia="宋体"/>
                <w:b w:val="0"/>
                <w:bCs/>
                <w:color w:val="auto"/>
                <w:sz w:val="21"/>
                <w:szCs w:val="21"/>
                <w:highlight w:val="none"/>
              </w:rPr>
              <w:t>2210-320458-89-01-505043</w:t>
            </w:r>
            <w:r>
              <w:rPr>
                <w:rFonts w:eastAsia="宋体"/>
                <w:b w:val="0"/>
                <w:bCs/>
                <w:color w:val="auto"/>
                <w:sz w:val="21"/>
                <w:szCs w:val="21"/>
                <w:highlight w:val="none"/>
              </w:rPr>
              <w:t>。</w:t>
            </w:r>
          </w:p>
          <w:p>
            <w:pPr>
              <w:snapToGrid w:val="0"/>
              <w:spacing w:line="360" w:lineRule="auto"/>
              <w:ind w:firstLine="420" w:firstLineChars="200"/>
              <w:jc w:val="both"/>
              <w:rPr>
                <w:bCs/>
                <w:snapToGrid w:val="0"/>
                <w:color w:val="auto"/>
                <w:sz w:val="21"/>
                <w:szCs w:val="21"/>
                <w:highlight w:val="none"/>
              </w:rPr>
            </w:pPr>
            <w:r>
              <w:rPr>
                <w:bCs/>
                <w:snapToGrid w:val="0"/>
                <w:color w:val="auto"/>
                <w:sz w:val="21"/>
                <w:szCs w:val="21"/>
                <w:highlight w:val="none"/>
              </w:rPr>
              <w:t>遵照《中华人民共和国环境保护法》、《中华人民共和国环境影响评价法》，对照《建设项目环境影响评价分类管理名录》，本项目属于</w:t>
            </w:r>
            <w:r>
              <w:rPr>
                <w:rFonts w:hint="eastAsia"/>
                <w:bCs/>
                <w:snapToGrid w:val="0"/>
                <w:color w:val="auto"/>
                <w:sz w:val="21"/>
                <w:szCs w:val="21"/>
                <w:highlight w:val="none"/>
              </w:rPr>
              <w:t>二十六、橡胶和塑料制品业-塑料制品业-292-其他类</w:t>
            </w:r>
            <w:r>
              <w:rPr>
                <w:bCs/>
                <w:snapToGrid w:val="0"/>
                <w:color w:val="auto"/>
                <w:sz w:val="21"/>
                <w:szCs w:val="21"/>
                <w:highlight w:val="none"/>
              </w:rPr>
              <w:t>，应编制环境影响报告表。为此，</w:t>
            </w:r>
            <w:r>
              <w:rPr>
                <w:rFonts w:hint="eastAsia"/>
                <w:bCs/>
                <w:snapToGrid w:val="0"/>
                <w:color w:val="auto"/>
                <w:sz w:val="21"/>
                <w:szCs w:val="21"/>
                <w:highlight w:val="none"/>
              </w:rPr>
              <w:t>江苏汇富新型材料有限公司</w:t>
            </w:r>
            <w:r>
              <w:rPr>
                <w:bCs/>
                <w:snapToGrid w:val="0"/>
                <w:color w:val="auto"/>
                <w:sz w:val="21"/>
                <w:szCs w:val="21"/>
                <w:highlight w:val="none"/>
              </w:rPr>
              <w:t>委托我公司承担本项目的环境影响报告表的编制工作。我单位接受委托后，认真研究了该项目的有关资料，在踏勘现场的自然环境状况，调查、收集有关建设项目资料的基础上，根据项目所在区域的环境特征、结合工程污染特性等因素，编制了本项目环境影响报告表。</w:t>
            </w:r>
          </w:p>
          <w:p>
            <w:pPr>
              <w:pStyle w:val="43"/>
              <w:snapToGrid w:val="0"/>
              <w:spacing w:line="360" w:lineRule="auto"/>
              <w:ind w:firstLine="480"/>
              <w:jc w:val="both"/>
              <w:rPr>
                <w:rFonts w:eastAsia="宋体"/>
                <w:b w:val="0"/>
                <w:bCs/>
                <w:color w:val="auto"/>
                <w:sz w:val="21"/>
                <w:szCs w:val="21"/>
                <w:highlight w:val="none"/>
              </w:rPr>
            </w:pPr>
            <w:r>
              <w:rPr>
                <w:rFonts w:eastAsia="宋体"/>
                <w:b w:val="0"/>
                <w:bCs/>
                <w:color w:val="auto"/>
                <w:sz w:val="21"/>
                <w:szCs w:val="21"/>
                <w:highlight w:val="none"/>
              </w:rPr>
              <w:t>项目地理位置图详见图1。</w:t>
            </w:r>
          </w:p>
          <w:p>
            <w:pPr>
              <w:pStyle w:val="43"/>
              <w:snapToGrid w:val="0"/>
              <w:spacing w:line="360" w:lineRule="auto"/>
              <w:ind w:firstLine="0" w:firstLineChars="0"/>
              <w:rPr>
                <w:rFonts w:eastAsia="宋体"/>
                <w:color w:val="auto"/>
                <w:sz w:val="21"/>
                <w:szCs w:val="21"/>
                <w:highlight w:val="none"/>
              </w:rPr>
            </w:pPr>
            <w:r>
              <w:rPr>
                <w:rFonts w:eastAsia="宋体"/>
                <w:color w:val="auto"/>
                <w:sz w:val="21"/>
                <w:szCs w:val="21"/>
                <w:highlight w:val="none"/>
              </w:rPr>
              <w:t>二、建设内容</w:t>
            </w:r>
          </w:p>
          <w:p>
            <w:pPr>
              <w:pStyle w:val="37"/>
              <w:snapToGrid w:val="0"/>
              <w:spacing w:line="360" w:lineRule="auto"/>
              <w:ind w:firstLine="482"/>
              <w:rPr>
                <w:rFonts w:eastAsia="宋体"/>
                <w:b/>
                <w:bCs/>
                <w:color w:val="auto"/>
                <w:sz w:val="21"/>
                <w:szCs w:val="21"/>
                <w:highlight w:val="none"/>
              </w:rPr>
            </w:pPr>
            <w:r>
              <w:rPr>
                <w:rFonts w:eastAsia="宋体"/>
                <w:b/>
                <w:bCs/>
                <w:color w:val="auto"/>
                <w:sz w:val="21"/>
                <w:szCs w:val="21"/>
                <w:highlight w:val="none"/>
              </w:rPr>
              <w:t>1、项目产品方案</w:t>
            </w:r>
          </w:p>
          <w:p>
            <w:pPr>
              <w:pStyle w:val="37"/>
              <w:spacing w:line="360" w:lineRule="auto"/>
              <w:ind w:firstLine="480"/>
              <w:rPr>
                <w:rFonts w:eastAsia="宋体"/>
                <w:color w:val="auto"/>
                <w:sz w:val="21"/>
                <w:szCs w:val="21"/>
                <w:highlight w:val="none"/>
              </w:rPr>
            </w:pPr>
            <w:r>
              <w:rPr>
                <w:rFonts w:eastAsia="宋体"/>
                <w:color w:val="auto"/>
                <w:sz w:val="21"/>
                <w:szCs w:val="21"/>
                <w:highlight w:val="none"/>
              </w:rPr>
              <w:t>本项目主体工程及产品方案见表2-1。</w:t>
            </w:r>
          </w:p>
          <w:p>
            <w:pPr>
              <w:pStyle w:val="44"/>
              <w:spacing w:beforeLines="0" w:afterLines="0"/>
              <w:rPr>
                <w:rFonts w:eastAsia="宋体"/>
                <w:color w:val="auto"/>
                <w:sz w:val="21"/>
                <w:szCs w:val="21"/>
                <w:highlight w:val="none"/>
              </w:rPr>
            </w:pPr>
            <w:r>
              <w:rPr>
                <w:rFonts w:eastAsia="宋体"/>
                <w:color w:val="auto"/>
                <w:sz w:val="21"/>
                <w:szCs w:val="21"/>
                <w:highlight w:val="none"/>
              </w:rPr>
              <w:t>表2-1 建设项目产品方案</w:t>
            </w:r>
          </w:p>
          <w:tbl>
            <w:tblPr>
              <w:tblStyle w:val="25"/>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1444"/>
              <w:gridCol w:w="2376"/>
              <w:gridCol w:w="1727"/>
              <w:gridCol w:w="138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3" w:type="pct"/>
                  <w:vAlign w:val="center"/>
                </w:tcPr>
                <w:p>
                  <w:pPr>
                    <w:pStyle w:val="44"/>
                    <w:spacing w:beforeLines="0" w:afterLines="0"/>
                    <w:rPr>
                      <w:rFonts w:eastAsia="宋体"/>
                      <w:color w:val="auto"/>
                      <w:sz w:val="21"/>
                      <w:szCs w:val="21"/>
                      <w:highlight w:val="none"/>
                    </w:rPr>
                  </w:pPr>
                  <w:r>
                    <w:rPr>
                      <w:rFonts w:eastAsia="宋体"/>
                      <w:color w:val="auto"/>
                      <w:sz w:val="21"/>
                      <w:szCs w:val="21"/>
                      <w:highlight w:val="none"/>
                    </w:rPr>
                    <w:t>序号</w:t>
                  </w:r>
                </w:p>
              </w:tc>
              <w:tc>
                <w:tcPr>
                  <w:tcW w:w="909" w:type="pct"/>
                  <w:vAlign w:val="center"/>
                </w:tcPr>
                <w:p>
                  <w:pPr>
                    <w:pStyle w:val="44"/>
                    <w:spacing w:beforeLines="0" w:afterLines="0"/>
                    <w:rPr>
                      <w:rFonts w:eastAsia="宋体"/>
                      <w:color w:val="auto"/>
                      <w:sz w:val="21"/>
                      <w:szCs w:val="21"/>
                      <w:highlight w:val="none"/>
                    </w:rPr>
                  </w:pPr>
                  <w:r>
                    <w:rPr>
                      <w:rFonts w:eastAsia="宋体"/>
                      <w:color w:val="auto"/>
                      <w:sz w:val="21"/>
                      <w:szCs w:val="21"/>
                      <w:highlight w:val="none"/>
                    </w:rPr>
                    <w:t>工程名称</w:t>
                  </w:r>
                </w:p>
              </w:tc>
              <w:tc>
                <w:tcPr>
                  <w:tcW w:w="1495" w:type="pct"/>
                  <w:vAlign w:val="center"/>
                </w:tcPr>
                <w:p>
                  <w:pPr>
                    <w:pStyle w:val="44"/>
                    <w:spacing w:beforeLines="0" w:afterLines="0"/>
                    <w:rPr>
                      <w:rFonts w:eastAsia="宋体"/>
                      <w:color w:val="auto"/>
                      <w:sz w:val="21"/>
                      <w:szCs w:val="21"/>
                      <w:highlight w:val="none"/>
                    </w:rPr>
                  </w:pPr>
                  <w:r>
                    <w:rPr>
                      <w:rFonts w:eastAsia="宋体"/>
                      <w:color w:val="auto"/>
                      <w:sz w:val="21"/>
                      <w:szCs w:val="21"/>
                      <w:highlight w:val="none"/>
                    </w:rPr>
                    <w:t>产品名称</w:t>
                  </w:r>
                </w:p>
              </w:tc>
              <w:tc>
                <w:tcPr>
                  <w:tcW w:w="1087" w:type="pct"/>
                  <w:vAlign w:val="center"/>
                </w:tcPr>
                <w:p>
                  <w:pPr>
                    <w:pStyle w:val="44"/>
                    <w:spacing w:beforeLines="0" w:afterLines="0"/>
                    <w:rPr>
                      <w:rFonts w:eastAsia="宋体"/>
                      <w:color w:val="auto"/>
                      <w:sz w:val="21"/>
                      <w:szCs w:val="21"/>
                      <w:highlight w:val="none"/>
                    </w:rPr>
                  </w:pPr>
                  <w:r>
                    <w:rPr>
                      <w:rFonts w:eastAsia="宋体"/>
                      <w:color w:val="auto"/>
                      <w:sz w:val="21"/>
                      <w:szCs w:val="21"/>
                      <w:highlight w:val="none"/>
                    </w:rPr>
                    <w:t>设计能力</w:t>
                  </w:r>
                </w:p>
              </w:tc>
              <w:tc>
                <w:tcPr>
                  <w:tcW w:w="874" w:type="pct"/>
                  <w:vAlign w:val="center"/>
                </w:tcPr>
                <w:p>
                  <w:pPr>
                    <w:pStyle w:val="44"/>
                    <w:spacing w:beforeLines="0" w:afterLines="0"/>
                    <w:rPr>
                      <w:rFonts w:eastAsia="宋体"/>
                      <w:color w:val="auto"/>
                      <w:sz w:val="21"/>
                      <w:szCs w:val="21"/>
                      <w:highlight w:val="none"/>
                    </w:rPr>
                  </w:pPr>
                  <w:r>
                    <w:rPr>
                      <w:rFonts w:eastAsia="宋体"/>
                      <w:color w:val="auto"/>
                      <w:sz w:val="21"/>
                      <w:szCs w:val="21"/>
                      <w:highlight w:val="none"/>
                    </w:rPr>
                    <w:t>年运行时数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3" w:type="pct"/>
                  <w:vAlign w:val="center"/>
                </w:tcPr>
                <w:p>
                  <w:pPr>
                    <w:pStyle w:val="44"/>
                    <w:spacing w:beforeLines="0" w:afterLines="0"/>
                    <w:rPr>
                      <w:rFonts w:eastAsia="宋体"/>
                      <w:b w:val="0"/>
                      <w:bCs/>
                      <w:color w:val="auto"/>
                      <w:sz w:val="21"/>
                      <w:szCs w:val="21"/>
                      <w:highlight w:val="none"/>
                    </w:rPr>
                  </w:pPr>
                  <w:r>
                    <w:rPr>
                      <w:rFonts w:eastAsia="宋体"/>
                      <w:b w:val="0"/>
                      <w:bCs/>
                      <w:color w:val="auto"/>
                      <w:sz w:val="21"/>
                      <w:szCs w:val="21"/>
                      <w:highlight w:val="none"/>
                    </w:rPr>
                    <w:t>1</w:t>
                  </w:r>
                </w:p>
              </w:tc>
              <w:tc>
                <w:tcPr>
                  <w:tcW w:w="909" w:type="pct"/>
                  <w:vMerge w:val="restart"/>
                  <w:vAlign w:val="center"/>
                </w:tcPr>
                <w:p>
                  <w:pPr>
                    <w:pStyle w:val="44"/>
                    <w:spacing w:beforeLines="0" w:afterLines="0"/>
                    <w:rPr>
                      <w:rFonts w:eastAsia="宋体"/>
                      <w:b w:val="0"/>
                      <w:bCs/>
                      <w:color w:val="auto"/>
                      <w:sz w:val="21"/>
                      <w:szCs w:val="21"/>
                      <w:highlight w:val="none"/>
                    </w:rPr>
                  </w:pPr>
                  <w:r>
                    <w:rPr>
                      <w:rFonts w:eastAsia="宋体"/>
                      <w:b w:val="0"/>
                      <w:bCs/>
                      <w:color w:val="auto"/>
                      <w:sz w:val="21"/>
                      <w:szCs w:val="21"/>
                      <w:highlight w:val="none"/>
                    </w:rPr>
                    <w:t>塑料包装材料生产线</w:t>
                  </w:r>
                </w:p>
              </w:tc>
              <w:tc>
                <w:tcPr>
                  <w:tcW w:w="1495" w:type="pct"/>
                  <w:vAlign w:val="center"/>
                </w:tcPr>
                <w:p>
                  <w:pPr>
                    <w:widowControl/>
                    <w:jc w:val="center"/>
                    <w:textAlignment w:val="center"/>
                    <w:rPr>
                      <w:bCs/>
                      <w:color w:val="auto"/>
                      <w:sz w:val="21"/>
                      <w:szCs w:val="21"/>
                      <w:highlight w:val="none"/>
                    </w:rPr>
                  </w:pPr>
                  <w:r>
                    <w:rPr>
                      <w:color w:val="auto"/>
                      <w:kern w:val="0"/>
                      <w:sz w:val="21"/>
                      <w:szCs w:val="21"/>
                      <w:highlight w:val="none"/>
                      <w:lang w:bidi="ar"/>
                    </w:rPr>
                    <w:t>汽车零件包装材料</w:t>
                  </w:r>
                </w:p>
              </w:tc>
              <w:tc>
                <w:tcPr>
                  <w:tcW w:w="1087" w:type="pct"/>
                  <w:vAlign w:val="center"/>
                </w:tcPr>
                <w:p>
                  <w:pPr>
                    <w:widowControl/>
                    <w:jc w:val="center"/>
                    <w:textAlignment w:val="center"/>
                    <w:rPr>
                      <w:bCs/>
                      <w:color w:val="auto"/>
                      <w:sz w:val="21"/>
                      <w:szCs w:val="21"/>
                      <w:highlight w:val="none"/>
                    </w:rPr>
                  </w:pPr>
                  <w:r>
                    <w:rPr>
                      <w:color w:val="auto"/>
                      <w:kern w:val="0"/>
                      <w:sz w:val="21"/>
                      <w:szCs w:val="21"/>
                      <w:highlight w:val="none"/>
                      <w:lang w:bidi="ar"/>
                    </w:rPr>
                    <w:t>4800t/a</w:t>
                  </w:r>
                </w:p>
              </w:tc>
              <w:tc>
                <w:tcPr>
                  <w:tcW w:w="874" w:type="pct"/>
                  <w:vMerge w:val="restart"/>
                  <w:vAlign w:val="center"/>
                </w:tcPr>
                <w:p>
                  <w:pPr>
                    <w:pStyle w:val="44"/>
                    <w:spacing w:beforeLines="0" w:afterLines="0"/>
                    <w:rPr>
                      <w:rFonts w:eastAsia="宋体"/>
                      <w:b w:val="0"/>
                      <w:bCs/>
                      <w:color w:val="auto"/>
                      <w:sz w:val="21"/>
                      <w:szCs w:val="21"/>
                      <w:highlight w:val="none"/>
                    </w:rPr>
                  </w:pPr>
                  <w:r>
                    <w:rPr>
                      <w:rFonts w:eastAsia="宋体"/>
                      <w:b w:val="0"/>
                      <w:bCs/>
                      <w:color w:val="auto"/>
                      <w:sz w:val="21"/>
                      <w:szCs w:val="21"/>
                      <w:highlight w:val="none"/>
                    </w:rPr>
                    <w:t>7200h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3" w:type="pct"/>
                  <w:vAlign w:val="center"/>
                </w:tcPr>
                <w:p>
                  <w:pPr>
                    <w:pStyle w:val="44"/>
                    <w:spacing w:beforeLines="0" w:afterLines="0"/>
                    <w:rPr>
                      <w:rFonts w:eastAsia="宋体"/>
                      <w:b w:val="0"/>
                      <w:bCs/>
                      <w:color w:val="auto"/>
                      <w:sz w:val="21"/>
                      <w:szCs w:val="21"/>
                      <w:highlight w:val="none"/>
                    </w:rPr>
                  </w:pPr>
                  <w:r>
                    <w:rPr>
                      <w:rFonts w:eastAsia="宋体"/>
                      <w:b w:val="0"/>
                      <w:bCs/>
                      <w:color w:val="auto"/>
                      <w:sz w:val="21"/>
                      <w:szCs w:val="21"/>
                      <w:highlight w:val="none"/>
                    </w:rPr>
                    <w:t>2</w:t>
                  </w:r>
                </w:p>
              </w:tc>
              <w:tc>
                <w:tcPr>
                  <w:tcW w:w="909" w:type="pct"/>
                  <w:vMerge w:val="continue"/>
                  <w:vAlign w:val="center"/>
                </w:tcPr>
                <w:p>
                  <w:pPr>
                    <w:pStyle w:val="44"/>
                    <w:spacing w:beforeLines="0" w:afterLines="0"/>
                    <w:rPr>
                      <w:rFonts w:eastAsia="宋体"/>
                      <w:b w:val="0"/>
                      <w:bCs/>
                      <w:color w:val="auto"/>
                      <w:sz w:val="21"/>
                      <w:szCs w:val="21"/>
                      <w:highlight w:val="none"/>
                    </w:rPr>
                  </w:pPr>
                </w:p>
              </w:tc>
              <w:tc>
                <w:tcPr>
                  <w:tcW w:w="1495" w:type="pct"/>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家装包装材料</w:t>
                  </w:r>
                </w:p>
              </w:tc>
              <w:tc>
                <w:tcPr>
                  <w:tcW w:w="1087" w:type="pct"/>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3200t/a</w:t>
                  </w:r>
                </w:p>
              </w:tc>
              <w:tc>
                <w:tcPr>
                  <w:tcW w:w="874" w:type="pct"/>
                  <w:vMerge w:val="continue"/>
                  <w:vAlign w:val="center"/>
                </w:tcPr>
                <w:p>
                  <w:pPr>
                    <w:pStyle w:val="44"/>
                    <w:spacing w:beforeLines="0" w:afterLines="0"/>
                    <w:rPr>
                      <w:rFonts w:eastAsia="宋体"/>
                      <w:b w:val="0"/>
                      <w:bCs/>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3" w:type="pct"/>
                  <w:vAlign w:val="center"/>
                </w:tcPr>
                <w:p>
                  <w:pPr>
                    <w:pStyle w:val="44"/>
                    <w:spacing w:beforeLines="0" w:afterLines="0"/>
                    <w:rPr>
                      <w:rFonts w:eastAsia="宋体"/>
                      <w:b w:val="0"/>
                      <w:bCs/>
                      <w:color w:val="auto"/>
                      <w:sz w:val="21"/>
                      <w:szCs w:val="21"/>
                      <w:highlight w:val="none"/>
                    </w:rPr>
                  </w:pPr>
                  <w:r>
                    <w:rPr>
                      <w:rFonts w:eastAsia="宋体"/>
                      <w:b w:val="0"/>
                      <w:bCs/>
                      <w:color w:val="auto"/>
                      <w:sz w:val="21"/>
                      <w:szCs w:val="21"/>
                      <w:highlight w:val="none"/>
                    </w:rPr>
                    <w:t>3</w:t>
                  </w:r>
                </w:p>
              </w:tc>
              <w:tc>
                <w:tcPr>
                  <w:tcW w:w="909" w:type="pct"/>
                  <w:vMerge w:val="continue"/>
                  <w:vAlign w:val="center"/>
                </w:tcPr>
                <w:p>
                  <w:pPr>
                    <w:pStyle w:val="44"/>
                    <w:spacing w:beforeLines="0" w:afterLines="0"/>
                    <w:rPr>
                      <w:rFonts w:eastAsia="宋体"/>
                      <w:b w:val="0"/>
                      <w:bCs/>
                      <w:color w:val="auto"/>
                      <w:sz w:val="21"/>
                      <w:szCs w:val="21"/>
                      <w:highlight w:val="none"/>
                    </w:rPr>
                  </w:pPr>
                </w:p>
              </w:tc>
              <w:tc>
                <w:tcPr>
                  <w:tcW w:w="1495" w:type="pct"/>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其他包装材料</w:t>
                  </w:r>
                </w:p>
              </w:tc>
              <w:tc>
                <w:tcPr>
                  <w:tcW w:w="1087" w:type="pct"/>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2000t/a</w:t>
                  </w:r>
                </w:p>
              </w:tc>
              <w:tc>
                <w:tcPr>
                  <w:tcW w:w="874" w:type="pct"/>
                  <w:vMerge w:val="continue"/>
                  <w:vAlign w:val="center"/>
                </w:tcPr>
                <w:p>
                  <w:pPr>
                    <w:pStyle w:val="44"/>
                    <w:spacing w:beforeLines="0" w:afterLines="0"/>
                    <w:rPr>
                      <w:rFonts w:eastAsia="宋体"/>
                      <w:b w:val="0"/>
                      <w:bCs/>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b/>
                <w:bCs/>
                <w:color w:val="auto"/>
                <w:sz w:val="21"/>
                <w:szCs w:val="21"/>
                <w:highlight w:val="none"/>
              </w:rPr>
            </w:pPr>
            <w:r>
              <w:rPr>
                <w:b/>
                <w:bCs/>
                <w:color w:val="auto"/>
                <w:sz w:val="21"/>
                <w:szCs w:val="21"/>
                <w:highlight w:val="none"/>
              </w:rPr>
              <w:t>2、劳动制度</w:t>
            </w:r>
          </w:p>
          <w:p>
            <w:pPr>
              <w:spacing w:line="360" w:lineRule="auto"/>
              <w:ind w:firstLine="420" w:firstLineChars="200"/>
              <w:rPr>
                <w:color w:val="auto"/>
                <w:sz w:val="21"/>
                <w:szCs w:val="21"/>
                <w:highlight w:val="none"/>
              </w:rPr>
            </w:pPr>
            <w:r>
              <w:rPr>
                <w:color w:val="auto"/>
                <w:sz w:val="21"/>
                <w:szCs w:val="21"/>
                <w:highlight w:val="none"/>
              </w:rPr>
              <w:t>职工人数：本</w:t>
            </w:r>
            <w:r>
              <w:rPr>
                <w:rFonts w:hint="eastAsia"/>
                <w:color w:val="auto"/>
                <w:sz w:val="21"/>
                <w:szCs w:val="21"/>
                <w:highlight w:val="none"/>
              </w:rPr>
              <w:t>项目</w:t>
            </w:r>
            <w:r>
              <w:rPr>
                <w:color w:val="auto"/>
                <w:sz w:val="21"/>
                <w:szCs w:val="21"/>
                <w:highlight w:val="none"/>
              </w:rPr>
              <w:t>劳动定员</w:t>
            </w:r>
            <w:r>
              <w:rPr>
                <w:rFonts w:hint="eastAsia"/>
                <w:color w:val="auto"/>
                <w:sz w:val="21"/>
                <w:szCs w:val="21"/>
                <w:highlight w:val="none"/>
              </w:rPr>
              <w:t>15</w:t>
            </w:r>
            <w:r>
              <w:rPr>
                <w:color w:val="auto"/>
                <w:sz w:val="21"/>
                <w:szCs w:val="21"/>
                <w:highlight w:val="none"/>
              </w:rPr>
              <w:t>人，厂内</w:t>
            </w:r>
            <w:r>
              <w:rPr>
                <w:rFonts w:hint="eastAsia"/>
                <w:color w:val="auto"/>
                <w:sz w:val="21"/>
                <w:szCs w:val="21"/>
                <w:highlight w:val="none"/>
              </w:rPr>
              <w:t>不设食宿</w:t>
            </w:r>
            <w:r>
              <w:rPr>
                <w:color w:val="auto"/>
                <w:sz w:val="21"/>
                <w:szCs w:val="21"/>
                <w:highlight w:val="none"/>
              </w:rPr>
              <w:t>。</w:t>
            </w:r>
          </w:p>
          <w:p>
            <w:pPr>
              <w:spacing w:line="360" w:lineRule="auto"/>
              <w:ind w:firstLine="420" w:firstLineChars="200"/>
              <w:rPr>
                <w:color w:val="auto"/>
                <w:sz w:val="21"/>
                <w:szCs w:val="21"/>
                <w:highlight w:val="none"/>
              </w:rPr>
            </w:pPr>
            <w:r>
              <w:rPr>
                <w:color w:val="auto"/>
                <w:sz w:val="21"/>
                <w:szCs w:val="21"/>
                <w:highlight w:val="none"/>
              </w:rPr>
              <w:t>工作制度：项目年生产时间为</w:t>
            </w:r>
            <w:r>
              <w:rPr>
                <w:rFonts w:hint="eastAsia"/>
                <w:color w:val="auto"/>
                <w:sz w:val="21"/>
                <w:szCs w:val="21"/>
                <w:highlight w:val="none"/>
              </w:rPr>
              <w:t>300</w:t>
            </w:r>
            <w:r>
              <w:rPr>
                <w:color w:val="auto"/>
                <w:sz w:val="21"/>
                <w:szCs w:val="21"/>
                <w:highlight w:val="none"/>
              </w:rPr>
              <w:t>天，</w:t>
            </w:r>
            <w:r>
              <w:rPr>
                <w:rFonts w:hint="eastAsia"/>
                <w:color w:val="auto"/>
                <w:sz w:val="21"/>
                <w:szCs w:val="21"/>
                <w:highlight w:val="none"/>
              </w:rPr>
              <w:t>2</w:t>
            </w:r>
            <w:r>
              <w:rPr>
                <w:color w:val="auto"/>
                <w:sz w:val="21"/>
                <w:szCs w:val="21"/>
                <w:highlight w:val="none"/>
              </w:rPr>
              <w:t>班制，每班</w:t>
            </w:r>
            <w:r>
              <w:rPr>
                <w:rFonts w:hint="eastAsia"/>
                <w:color w:val="auto"/>
                <w:sz w:val="21"/>
                <w:szCs w:val="21"/>
                <w:highlight w:val="none"/>
              </w:rPr>
              <w:t>12</w:t>
            </w:r>
            <w:r>
              <w:rPr>
                <w:color w:val="auto"/>
                <w:sz w:val="21"/>
                <w:szCs w:val="21"/>
                <w:highlight w:val="none"/>
              </w:rPr>
              <w:t>小时制。</w:t>
            </w:r>
          </w:p>
          <w:p>
            <w:pPr>
              <w:spacing w:line="360" w:lineRule="auto"/>
              <w:ind w:firstLine="422" w:firstLineChars="200"/>
              <w:rPr>
                <w:b/>
                <w:color w:val="auto"/>
                <w:sz w:val="21"/>
                <w:szCs w:val="21"/>
                <w:highlight w:val="none"/>
              </w:rPr>
            </w:pPr>
            <w:r>
              <w:rPr>
                <w:b/>
                <w:color w:val="auto"/>
                <w:sz w:val="21"/>
                <w:szCs w:val="21"/>
                <w:highlight w:val="none"/>
              </w:rPr>
              <w:t>3、项目主要建设内容</w:t>
            </w:r>
          </w:p>
          <w:p>
            <w:pPr>
              <w:spacing w:line="360" w:lineRule="auto"/>
              <w:ind w:firstLine="420" w:firstLineChars="200"/>
              <w:rPr>
                <w:color w:val="auto"/>
                <w:sz w:val="21"/>
                <w:szCs w:val="21"/>
                <w:highlight w:val="none"/>
              </w:rPr>
            </w:pPr>
            <w:r>
              <w:rPr>
                <w:color w:val="auto"/>
                <w:sz w:val="21"/>
                <w:szCs w:val="21"/>
                <w:highlight w:val="none"/>
              </w:rPr>
              <w:t>本项目主要工程建设内容详见表2-2。</w:t>
            </w:r>
          </w:p>
          <w:p>
            <w:pPr>
              <w:jc w:val="center"/>
              <w:rPr>
                <w:b/>
                <w:bCs/>
                <w:color w:val="auto"/>
                <w:sz w:val="21"/>
                <w:szCs w:val="21"/>
                <w:highlight w:val="none"/>
              </w:rPr>
            </w:pPr>
            <w:r>
              <w:rPr>
                <w:b/>
                <w:bCs/>
                <w:color w:val="auto"/>
                <w:sz w:val="21"/>
                <w:szCs w:val="21"/>
                <w:highlight w:val="none"/>
              </w:rPr>
              <w:t>表2-2 本项目主要工程建设内容一览表</w:t>
            </w:r>
          </w:p>
          <w:tbl>
            <w:tblPr>
              <w:tblStyle w:val="25"/>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731"/>
              <w:gridCol w:w="537"/>
              <w:gridCol w:w="1114"/>
              <w:gridCol w:w="2812"/>
              <w:gridCol w:w="1637"/>
              <w:gridCol w:w="111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Align w:val="center"/>
                </w:tcPr>
                <w:p>
                  <w:pPr>
                    <w:jc w:val="center"/>
                    <w:rPr>
                      <w:color w:val="auto"/>
                      <w:sz w:val="21"/>
                      <w:szCs w:val="21"/>
                      <w:highlight w:val="none"/>
                    </w:rPr>
                  </w:pPr>
                  <w:r>
                    <w:rPr>
                      <w:b/>
                      <w:bCs/>
                      <w:color w:val="auto"/>
                      <w:sz w:val="21"/>
                      <w:szCs w:val="21"/>
                      <w:highlight w:val="none"/>
                    </w:rPr>
                    <w:t>工程类别</w:t>
                  </w:r>
                </w:p>
              </w:tc>
              <w:tc>
                <w:tcPr>
                  <w:tcW w:w="1039" w:type="pct"/>
                  <w:gridSpan w:val="2"/>
                  <w:vAlign w:val="center"/>
                </w:tcPr>
                <w:p>
                  <w:pPr>
                    <w:jc w:val="center"/>
                    <w:rPr>
                      <w:b/>
                      <w:bCs/>
                      <w:color w:val="auto"/>
                      <w:sz w:val="21"/>
                      <w:szCs w:val="21"/>
                      <w:highlight w:val="none"/>
                    </w:rPr>
                  </w:pPr>
                  <w:r>
                    <w:rPr>
                      <w:b/>
                      <w:bCs/>
                      <w:color w:val="auto"/>
                      <w:sz w:val="21"/>
                      <w:szCs w:val="21"/>
                      <w:highlight w:val="none"/>
                    </w:rPr>
                    <w:t>单项工程名称</w:t>
                  </w:r>
                </w:p>
              </w:tc>
              <w:tc>
                <w:tcPr>
                  <w:tcW w:w="1769" w:type="pct"/>
                  <w:vAlign w:val="center"/>
                </w:tcPr>
                <w:p>
                  <w:pPr>
                    <w:jc w:val="center"/>
                    <w:rPr>
                      <w:b/>
                      <w:bCs/>
                      <w:color w:val="auto"/>
                      <w:sz w:val="21"/>
                      <w:szCs w:val="21"/>
                      <w:highlight w:val="none"/>
                    </w:rPr>
                  </w:pPr>
                  <w:r>
                    <w:rPr>
                      <w:b/>
                      <w:bCs/>
                      <w:color w:val="auto"/>
                      <w:sz w:val="21"/>
                      <w:szCs w:val="21"/>
                      <w:highlight w:val="none"/>
                    </w:rPr>
                    <w:t>工程内容</w:t>
                  </w:r>
                </w:p>
              </w:tc>
              <w:tc>
                <w:tcPr>
                  <w:tcW w:w="1030" w:type="pct"/>
                  <w:vAlign w:val="center"/>
                </w:tcPr>
                <w:p>
                  <w:pPr>
                    <w:jc w:val="center"/>
                    <w:rPr>
                      <w:b/>
                      <w:bCs/>
                      <w:color w:val="auto"/>
                      <w:sz w:val="21"/>
                      <w:szCs w:val="21"/>
                      <w:highlight w:val="none"/>
                    </w:rPr>
                  </w:pPr>
                  <w:r>
                    <w:rPr>
                      <w:b/>
                      <w:bCs/>
                      <w:color w:val="auto"/>
                      <w:sz w:val="21"/>
                      <w:szCs w:val="21"/>
                      <w:highlight w:val="none"/>
                    </w:rPr>
                    <w:t>工程规模</w:t>
                  </w:r>
                </w:p>
              </w:tc>
              <w:tc>
                <w:tcPr>
                  <w:tcW w:w="700" w:type="pct"/>
                  <w:vAlign w:val="center"/>
                </w:tcPr>
                <w:p>
                  <w:pPr>
                    <w:jc w:val="center"/>
                    <w:rPr>
                      <w:b/>
                      <w:bCs/>
                      <w:color w:val="auto"/>
                      <w:sz w:val="21"/>
                      <w:szCs w:val="21"/>
                      <w:highlight w:val="none"/>
                    </w:rPr>
                  </w:pPr>
                  <w:r>
                    <w:rPr>
                      <w:b/>
                      <w:bCs/>
                      <w:color w:val="auto"/>
                      <w:sz w:val="21"/>
                      <w:szCs w:val="21"/>
                      <w:highlight w:val="none"/>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restart"/>
                  <w:vAlign w:val="center"/>
                </w:tcPr>
                <w:p>
                  <w:pPr>
                    <w:jc w:val="center"/>
                    <w:rPr>
                      <w:color w:val="auto"/>
                      <w:sz w:val="21"/>
                      <w:szCs w:val="21"/>
                      <w:highlight w:val="none"/>
                    </w:rPr>
                  </w:pPr>
                  <w:r>
                    <w:rPr>
                      <w:color w:val="auto"/>
                      <w:sz w:val="21"/>
                      <w:szCs w:val="21"/>
                      <w:highlight w:val="none"/>
                    </w:rPr>
                    <w:t>主体工程</w:t>
                  </w:r>
                </w:p>
              </w:tc>
              <w:tc>
                <w:tcPr>
                  <w:tcW w:w="1039" w:type="pct"/>
                  <w:gridSpan w:val="2"/>
                  <w:vMerge w:val="restart"/>
                  <w:vAlign w:val="center"/>
                </w:tcPr>
                <w:p>
                  <w:pPr>
                    <w:jc w:val="center"/>
                    <w:rPr>
                      <w:color w:val="auto"/>
                      <w:sz w:val="21"/>
                      <w:szCs w:val="21"/>
                      <w:highlight w:val="none"/>
                    </w:rPr>
                  </w:pPr>
                  <w:r>
                    <w:rPr>
                      <w:rFonts w:hint="eastAsia"/>
                      <w:color w:val="auto"/>
                      <w:sz w:val="21"/>
                      <w:szCs w:val="21"/>
                      <w:highlight w:val="none"/>
                    </w:rPr>
                    <w:t>生产车间，位于2楼</w:t>
                  </w:r>
                </w:p>
              </w:tc>
              <w:tc>
                <w:tcPr>
                  <w:tcW w:w="1769" w:type="pct"/>
                  <w:vAlign w:val="center"/>
                </w:tcPr>
                <w:p>
                  <w:pPr>
                    <w:jc w:val="center"/>
                    <w:rPr>
                      <w:rFonts w:eastAsia="方正仿宋_GBK"/>
                      <w:bCs/>
                      <w:color w:val="auto"/>
                      <w:sz w:val="21"/>
                      <w:szCs w:val="21"/>
                      <w:highlight w:val="none"/>
                    </w:rPr>
                  </w:pPr>
                  <w:r>
                    <w:rPr>
                      <w:rFonts w:hint="eastAsia" w:eastAsia="方正仿宋_GBK"/>
                      <w:bCs/>
                      <w:color w:val="auto"/>
                      <w:sz w:val="21"/>
                      <w:szCs w:val="21"/>
                      <w:highlight w:val="none"/>
                      <w:lang w:val="en-US" w:eastAsia="zh-CN"/>
                    </w:rPr>
                    <w:t>挤出</w:t>
                  </w:r>
                  <w:r>
                    <w:rPr>
                      <w:rFonts w:hint="eastAsia" w:eastAsia="方正仿宋_GBK"/>
                      <w:bCs/>
                      <w:color w:val="auto"/>
                      <w:sz w:val="21"/>
                      <w:szCs w:val="21"/>
                      <w:highlight w:val="none"/>
                    </w:rPr>
                    <w:t>成型区</w:t>
                  </w:r>
                </w:p>
              </w:tc>
              <w:tc>
                <w:tcPr>
                  <w:tcW w:w="1030" w:type="pct"/>
                  <w:vAlign w:val="center"/>
                </w:tcPr>
                <w:p>
                  <w:pPr>
                    <w:jc w:val="center"/>
                    <w:rPr>
                      <w:color w:val="auto"/>
                      <w:sz w:val="21"/>
                      <w:szCs w:val="21"/>
                      <w:highlight w:val="none"/>
                    </w:rPr>
                  </w:pPr>
                  <w:r>
                    <w:rPr>
                      <w:rFonts w:hint="eastAsia" w:eastAsia="方正仿宋_GBK"/>
                      <w:bCs/>
                      <w:color w:val="auto"/>
                      <w:sz w:val="21"/>
                      <w:szCs w:val="21"/>
                      <w:highlight w:val="none"/>
                    </w:rPr>
                    <w:t>建筑面积</w:t>
                  </w:r>
                  <w:r>
                    <w:rPr>
                      <w:rFonts w:hint="eastAsia" w:eastAsia="方正仿宋_GBK"/>
                      <w:bCs/>
                      <w:color w:val="auto"/>
                      <w:sz w:val="21"/>
                      <w:szCs w:val="21"/>
                      <w:highlight w:val="none"/>
                      <w:lang w:val="en-US" w:eastAsia="zh-CN"/>
                    </w:rPr>
                    <w:t>300</w:t>
                  </w:r>
                  <w:r>
                    <w:rPr>
                      <w:rFonts w:hint="eastAsia" w:eastAsia="方正仿宋_GBK"/>
                      <w:bCs/>
                      <w:color w:val="auto"/>
                      <w:sz w:val="21"/>
                      <w:szCs w:val="21"/>
                      <w:highlight w:val="none"/>
                    </w:rPr>
                    <w:t>m</w:t>
                  </w:r>
                  <w:r>
                    <w:rPr>
                      <w:rFonts w:hint="eastAsia" w:eastAsia="方正仿宋_GBK"/>
                      <w:bCs/>
                      <w:color w:val="auto"/>
                      <w:sz w:val="21"/>
                      <w:szCs w:val="21"/>
                      <w:highlight w:val="none"/>
                      <w:vertAlign w:val="superscript"/>
                    </w:rPr>
                    <w:t>2</w:t>
                  </w:r>
                </w:p>
              </w:tc>
              <w:tc>
                <w:tcPr>
                  <w:tcW w:w="700" w:type="pct"/>
                  <w:vMerge w:val="restart"/>
                  <w:vAlign w:val="center"/>
                </w:tcPr>
                <w:p>
                  <w:pPr>
                    <w:jc w:val="center"/>
                    <w:rPr>
                      <w:color w:val="auto"/>
                      <w:sz w:val="21"/>
                      <w:szCs w:val="21"/>
                      <w:highlight w:val="none"/>
                    </w:rPr>
                  </w:pPr>
                  <w:r>
                    <w:rPr>
                      <w:rFonts w:hint="eastAsia"/>
                      <w:color w:val="auto"/>
                      <w:sz w:val="21"/>
                      <w:szCs w:val="21"/>
                      <w:highlight w:val="none"/>
                    </w:rPr>
                    <w:t>依托现有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1039" w:type="pct"/>
                  <w:gridSpan w:val="2"/>
                  <w:vMerge w:val="continue"/>
                  <w:vAlign w:val="center"/>
                </w:tcPr>
                <w:p>
                  <w:pPr>
                    <w:jc w:val="center"/>
                    <w:rPr>
                      <w:color w:val="auto"/>
                      <w:sz w:val="21"/>
                      <w:szCs w:val="21"/>
                      <w:highlight w:val="none"/>
                    </w:rPr>
                  </w:pPr>
                </w:p>
              </w:tc>
              <w:tc>
                <w:tcPr>
                  <w:tcW w:w="1769" w:type="pct"/>
                  <w:vAlign w:val="center"/>
                </w:tcPr>
                <w:p>
                  <w:pPr>
                    <w:jc w:val="center"/>
                    <w:rPr>
                      <w:rFonts w:eastAsia="方正仿宋_GBK"/>
                      <w:bCs/>
                      <w:color w:val="auto"/>
                      <w:sz w:val="21"/>
                      <w:szCs w:val="21"/>
                      <w:highlight w:val="none"/>
                    </w:rPr>
                  </w:pPr>
                  <w:r>
                    <w:rPr>
                      <w:rFonts w:hint="eastAsia" w:eastAsia="方正仿宋_GBK"/>
                      <w:bCs/>
                      <w:color w:val="auto"/>
                      <w:sz w:val="21"/>
                      <w:szCs w:val="21"/>
                      <w:highlight w:val="none"/>
                    </w:rPr>
                    <w:t>修边区</w:t>
                  </w:r>
                </w:p>
              </w:tc>
              <w:tc>
                <w:tcPr>
                  <w:tcW w:w="1030" w:type="pct"/>
                  <w:vAlign w:val="center"/>
                </w:tcPr>
                <w:p>
                  <w:pPr>
                    <w:jc w:val="center"/>
                    <w:rPr>
                      <w:color w:val="auto"/>
                      <w:sz w:val="21"/>
                      <w:szCs w:val="21"/>
                      <w:highlight w:val="none"/>
                    </w:rPr>
                  </w:pPr>
                  <w:r>
                    <w:rPr>
                      <w:rFonts w:hint="eastAsia" w:eastAsia="方正仿宋_GBK"/>
                      <w:bCs/>
                      <w:color w:val="auto"/>
                      <w:sz w:val="21"/>
                      <w:szCs w:val="21"/>
                      <w:highlight w:val="none"/>
                    </w:rPr>
                    <w:t>建筑面积</w:t>
                  </w:r>
                  <w:r>
                    <w:rPr>
                      <w:rFonts w:hint="eastAsia" w:eastAsia="方正仿宋_GBK"/>
                      <w:bCs/>
                      <w:color w:val="auto"/>
                      <w:sz w:val="21"/>
                      <w:szCs w:val="21"/>
                      <w:highlight w:val="none"/>
                      <w:lang w:val="en-US" w:eastAsia="zh-CN"/>
                    </w:rPr>
                    <w:t>60</w:t>
                  </w:r>
                  <w:r>
                    <w:rPr>
                      <w:rFonts w:hint="eastAsia" w:eastAsia="方正仿宋_GBK"/>
                      <w:bCs/>
                      <w:color w:val="auto"/>
                      <w:sz w:val="21"/>
                      <w:szCs w:val="21"/>
                      <w:highlight w:val="none"/>
                    </w:rPr>
                    <w:t>m</w:t>
                  </w:r>
                  <w:r>
                    <w:rPr>
                      <w:rFonts w:hint="eastAsia" w:eastAsia="方正仿宋_GBK"/>
                      <w:bCs/>
                      <w:color w:val="auto"/>
                      <w:sz w:val="21"/>
                      <w:szCs w:val="21"/>
                      <w:highlight w:val="none"/>
                      <w:vertAlign w:val="superscript"/>
                    </w:rPr>
                    <w:t>2</w:t>
                  </w:r>
                </w:p>
              </w:tc>
              <w:tc>
                <w:tcPr>
                  <w:tcW w:w="700" w:type="pct"/>
                  <w:vMerge w:val="continue"/>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1039" w:type="pct"/>
                  <w:gridSpan w:val="2"/>
                  <w:vMerge w:val="continue"/>
                  <w:vAlign w:val="center"/>
                </w:tcPr>
                <w:p>
                  <w:pPr>
                    <w:jc w:val="center"/>
                    <w:rPr>
                      <w:color w:val="auto"/>
                      <w:sz w:val="21"/>
                      <w:szCs w:val="21"/>
                      <w:highlight w:val="none"/>
                    </w:rPr>
                  </w:pPr>
                </w:p>
              </w:tc>
              <w:tc>
                <w:tcPr>
                  <w:tcW w:w="1769" w:type="pct"/>
                  <w:vAlign w:val="center"/>
                </w:tcPr>
                <w:p>
                  <w:pPr>
                    <w:jc w:val="center"/>
                    <w:rPr>
                      <w:rFonts w:eastAsia="方正仿宋_GBK"/>
                      <w:bCs/>
                      <w:color w:val="auto"/>
                      <w:sz w:val="21"/>
                      <w:szCs w:val="21"/>
                      <w:highlight w:val="none"/>
                    </w:rPr>
                  </w:pPr>
                  <w:r>
                    <w:rPr>
                      <w:rFonts w:hint="eastAsia" w:eastAsia="方正仿宋_GBK"/>
                      <w:bCs/>
                      <w:color w:val="auto"/>
                      <w:sz w:val="21"/>
                      <w:szCs w:val="21"/>
                      <w:highlight w:val="none"/>
                    </w:rPr>
                    <w:t>压花区</w:t>
                  </w:r>
                </w:p>
              </w:tc>
              <w:tc>
                <w:tcPr>
                  <w:tcW w:w="1030" w:type="pct"/>
                  <w:vAlign w:val="center"/>
                </w:tcPr>
                <w:p>
                  <w:pPr>
                    <w:jc w:val="center"/>
                    <w:rPr>
                      <w:color w:val="auto"/>
                      <w:sz w:val="21"/>
                      <w:szCs w:val="21"/>
                      <w:highlight w:val="none"/>
                    </w:rPr>
                  </w:pPr>
                  <w:r>
                    <w:rPr>
                      <w:rFonts w:hint="eastAsia" w:eastAsia="方正仿宋_GBK"/>
                      <w:bCs/>
                      <w:color w:val="auto"/>
                      <w:sz w:val="21"/>
                      <w:szCs w:val="21"/>
                      <w:highlight w:val="none"/>
                    </w:rPr>
                    <w:t>建筑面积</w:t>
                  </w:r>
                  <w:r>
                    <w:rPr>
                      <w:rFonts w:hint="eastAsia" w:eastAsia="方正仿宋_GBK"/>
                      <w:bCs/>
                      <w:color w:val="auto"/>
                      <w:sz w:val="21"/>
                      <w:szCs w:val="21"/>
                      <w:highlight w:val="none"/>
                      <w:lang w:val="en-US" w:eastAsia="zh-CN"/>
                    </w:rPr>
                    <w:t>60</w:t>
                  </w:r>
                  <w:r>
                    <w:rPr>
                      <w:rFonts w:hint="eastAsia" w:eastAsia="方正仿宋_GBK"/>
                      <w:bCs/>
                      <w:color w:val="auto"/>
                      <w:sz w:val="21"/>
                      <w:szCs w:val="21"/>
                      <w:highlight w:val="none"/>
                    </w:rPr>
                    <w:t>m</w:t>
                  </w:r>
                  <w:r>
                    <w:rPr>
                      <w:rFonts w:hint="eastAsia" w:eastAsia="方正仿宋_GBK"/>
                      <w:bCs/>
                      <w:color w:val="auto"/>
                      <w:sz w:val="21"/>
                      <w:szCs w:val="21"/>
                      <w:highlight w:val="none"/>
                      <w:vertAlign w:val="superscript"/>
                    </w:rPr>
                    <w:t>2</w:t>
                  </w:r>
                </w:p>
              </w:tc>
              <w:tc>
                <w:tcPr>
                  <w:tcW w:w="700" w:type="pct"/>
                  <w:vMerge w:val="continue"/>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1039" w:type="pct"/>
                  <w:gridSpan w:val="2"/>
                  <w:vMerge w:val="continue"/>
                  <w:vAlign w:val="center"/>
                </w:tcPr>
                <w:p>
                  <w:pPr>
                    <w:jc w:val="center"/>
                    <w:rPr>
                      <w:color w:val="auto"/>
                      <w:sz w:val="21"/>
                      <w:szCs w:val="21"/>
                      <w:highlight w:val="none"/>
                    </w:rPr>
                  </w:pPr>
                </w:p>
              </w:tc>
              <w:tc>
                <w:tcPr>
                  <w:tcW w:w="1769" w:type="pct"/>
                  <w:vAlign w:val="center"/>
                </w:tcPr>
                <w:p>
                  <w:pPr>
                    <w:jc w:val="center"/>
                    <w:rPr>
                      <w:rFonts w:eastAsia="方正仿宋_GBK"/>
                      <w:bCs/>
                      <w:color w:val="auto"/>
                      <w:sz w:val="21"/>
                      <w:szCs w:val="21"/>
                      <w:highlight w:val="none"/>
                    </w:rPr>
                  </w:pPr>
                  <w:r>
                    <w:rPr>
                      <w:rFonts w:hint="eastAsia" w:eastAsia="方正仿宋_GBK"/>
                      <w:bCs/>
                      <w:color w:val="auto"/>
                      <w:sz w:val="21"/>
                      <w:szCs w:val="21"/>
                      <w:highlight w:val="none"/>
                    </w:rPr>
                    <w:t>切割区</w:t>
                  </w:r>
                </w:p>
              </w:tc>
              <w:tc>
                <w:tcPr>
                  <w:tcW w:w="1030" w:type="pct"/>
                  <w:vAlign w:val="center"/>
                </w:tcPr>
                <w:p>
                  <w:pPr>
                    <w:jc w:val="center"/>
                    <w:rPr>
                      <w:color w:val="auto"/>
                      <w:sz w:val="21"/>
                      <w:szCs w:val="21"/>
                      <w:highlight w:val="none"/>
                    </w:rPr>
                  </w:pPr>
                  <w:r>
                    <w:rPr>
                      <w:rFonts w:hint="eastAsia" w:eastAsia="方正仿宋_GBK"/>
                      <w:bCs/>
                      <w:color w:val="auto"/>
                      <w:sz w:val="21"/>
                      <w:szCs w:val="21"/>
                      <w:highlight w:val="none"/>
                    </w:rPr>
                    <w:t>建筑面积</w:t>
                  </w:r>
                  <w:r>
                    <w:rPr>
                      <w:rFonts w:hint="eastAsia" w:eastAsia="方正仿宋_GBK"/>
                      <w:bCs/>
                      <w:color w:val="auto"/>
                      <w:sz w:val="21"/>
                      <w:szCs w:val="21"/>
                      <w:highlight w:val="none"/>
                      <w:lang w:val="en-US" w:eastAsia="zh-CN"/>
                    </w:rPr>
                    <w:t>60</w:t>
                  </w:r>
                  <w:r>
                    <w:rPr>
                      <w:rFonts w:hint="eastAsia" w:eastAsia="方正仿宋_GBK"/>
                      <w:bCs/>
                      <w:color w:val="auto"/>
                      <w:sz w:val="21"/>
                      <w:szCs w:val="21"/>
                      <w:highlight w:val="none"/>
                    </w:rPr>
                    <w:t>m</w:t>
                  </w:r>
                  <w:r>
                    <w:rPr>
                      <w:rFonts w:hint="eastAsia" w:eastAsia="方正仿宋_GBK"/>
                      <w:bCs/>
                      <w:color w:val="auto"/>
                      <w:sz w:val="21"/>
                      <w:szCs w:val="21"/>
                      <w:highlight w:val="none"/>
                      <w:vertAlign w:val="superscript"/>
                    </w:rPr>
                    <w:t>2</w:t>
                  </w:r>
                </w:p>
              </w:tc>
              <w:tc>
                <w:tcPr>
                  <w:tcW w:w="700" w:type="pct"/>
                  <w:vMerge w:val="continue"/>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1039" w:type="pct"/>
                  <w:gridSpan w:val="2"/>
                  <w:vMerge w:val="continue"/>
                  <w:vAlign w:val="center"/>
                </w:tcPr>
                <w:p>
                  <w:pPr>
                    <w:jc w:val="center"/>
                    <w:rPr>
                      <w:color w:val="auto"/>
                      <w:sz w:val="21"/>
                      <w:szCs w:val="21"/>
                      <w:highlight w:val="none"/>
                    </w:rPr>
                  </w:pPr>
                </w:p>
              </w:tc>
              <w:tc>
                <w:tcPr>
                  <w:tcW w:w="1769" w:type="pct"/>
                  <w:vAlign w:val="center"/>
                </w:tcPr>
                <w:p>
                  <w:pPr>
                    <w:jc w:val="center"/>
                    <w:rPr>
                      <w:rFonts w:eastAsia="方正仿宋_GBK"/>
                      <w:bCs/>
                      <w:color w:val="auto"/>
                      <w:sz w:val="21"/>
                      <w:szCs w:val="21"/>
                      <w:highlight w:val="none"/>
                    </w:rPr>
                  </w:pPr>
                  <w:r>
                    <w:rPr>
                      <w:rFonts w:hint="eastAsia" w:eastAsia="方正仿宋_GBK"/>
                      <w:bCs/>
                      <w:color w:val="auto"/>
                      <w:sz w:val="21"/>
                      <w:szCs w:val="21"/>
                      <w:highlight w:val="none"/>
                    </w:rPr>
                    <w:t>检验包装区</w:t>
                  </w:r>
                </w:p>
              </w:tc>
              <w:tc>
                <w:tcPr>
                  <w:tcW w:w="1030" w:type="pct"/>
                  <w:vAlign w:val="center"/>
                </w:tcPr>
                <w:p>
                  <w:pPr>
                    <w:jc w:val="center"/>
                    <w:rPr>
                      <w:color w:val="auto"/>
                      <w:sz w:val="21"/>
                      <w:szCs w:val="21"/>
                      <w:highlight w:val="none"/>
                    </w:rPr>
                  </w:pPr>
                  <w:r>
                    <w:rPr>
                      <w:rFonts w:hint="eastAsia" w:eastAsia="方正仿宋_GBK"/>
                      <w:bCs/>
                      <w:color w:val="auto"/>
                      <w:sz w:val="21"/>
                      <w:szCs w:val="21"/>
                      <w:highlight w:val="none"/>
                    </w:rPr>
                    <w:t>建筑面积</w:t>
                  </w:r>
                  <w:r>
                    <w:rPr>
                      <w:rFonts w:hint="eastAsia" w:eastAsia="方正仿宋_GBK"/>
                      <w:bCs/>
                      <w:color w:val="auto"/>
                      <w:sz w:val="21"/>
                      <w:szCs w:val="21"/>
                      <w:highlight w:val="none"/>
                      <w:lang w:val="en-US" w:eastAsia="zh-CN"/>
                    </w:rPr>
                    <w:t>60</w:t>
                  </w:r>
                  <w:r>
                    <w:rPr>
                      <w:rFonts w:hint="eastAsia" w:eastAsia="方正仿宋_GBK"/>
                      <w:bCs/>
                      <w:color w:val="auto"/>
                      <w:sz w:val="21"/>
                      <w:szCs w:val="21"/>
                      <w:highlight w:val="none"/>
                    </w:rPr>
                    <w:t>m</w:t>
                  </w:r>
                  <w:r>
                    <w:rPr>
                      <w:rFonts w:hint="eastAsia" w:eastAsia="方正仿宋_GBK"/>
                      <w:bCs/>
                      <w:color w:val="auto"/>
                      <w:sz w:val="21"/>
                      <w:szCs w:val="21"/>
                      <w:highlight w:val="none"/>
                      <w:vertAlign w:val="superscript"/>
                    </w:rPr>
                    <w:t>2</w:t>
                  </w:r>
                </w:p>
              </w:tc>
              <w:tc>
                <w:tcPr>
                  <w:tcW w:w="700" w:type="pct"/>
                  <w:vMerge w:val="continue"/>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1039" w:type="pct"/>
                  <w:gridSpan w:val="2"/>
                  <w:vMerge w:val="continue"/>
                  <w:vAlign w:val="center"/>
                </w:tcPr>
                <w:p>
                  <w:pPr>
                    <w:jc w:val="center"/>
                    <w:rPr>
                      <w:color w:val="auto"/>
                      <w:sz w:val="21"/>
                      <w:szCs w:val="21"/>
                      <w:highlight w:val="none"/>
                    </w:rPr>
                  </w:pPr>
                </w:p>
              </w:tc>
              <w:tc>
                <w:tcPr>
                  <w:tcW w:w="1769" w:type="pct"/>
                  <w:vAlign w:val="center"/>
                </w:tcPr>
                <w:p>
                  <w:pPr>
                    <w:jc w:val="center"/>
                    <w:rPr>
                      <w:rFonts w:eastAsia="方正仿宋_GBK"/>
                      <w:bCs/>
                      <w:color w:val="auto"/>
                      <w:sz w:val="21"/>
                      <w:szCs w:val="21"/>
                      <w:highlight w:val="none"/>
                    </w:rPr>
                  </w:pPr>
                  <w:r>
                    <w:rPr>
                      <w:rFonts w:hint="eastAsia" w:eastAsia="方正仿宋_GBK"/>
                      <w:bCs/>
                      <w:color w:val="auto"/>
                      <w:sz w:val="21"/>
                      <w:szCs w:val="21"/>
                      <w:highlight w:val="none"/>
                    </w:rPr>
                    <w:t>破碎区</w:t>
                  </w:r>
                </w:p>
              </w:tc>
              <w:tc>
                <w:tcPr>
                  <w:tcW w:w="1030" w:type="pct"/>
                  <w:vAlign w:val="center"/>
                </w:tcPr>
                <w:p>
                  <w:pPr>
                    <w:jc w:val="center"/>
                    <w:rPr>
                      <w:color w:val="auto"/>
                      <w:sz w:val="21"/>
                      <w:szCs w:val="21"/>
                      <w:highlight w:val="none"/>
                    </w:rPr>
                  </w:pPr>
                  <w:r>
                    <w:rPr>
                      <w:rFonts w:hint="eastAsia" w:eastAsia="方正仿宋_GBK"/>
                      <w:bCs/>
                      <w:color w:val="auto"/>
                      <w:sz w:val="21"/>
                      <w:szCs w:val="21"/>
                      <w:highlight w:val="none"/>
                    </w:rPr>
                    <w:t>建筑面积</w:t>
                  </w:r>
                  <w:r>
                    <w:rPr>
                      <w:rFonts w:hint="eastAsia" w:eastAsia="方正仿宋_GBK"/>
                      <w:bCs/>
                      <w:color w:val="auto"/>
                      <w:sz w:val="21"/>
                      <w:szCs w:val="21"/>
                      <w:highlight w:val="none"/>
                      <w:lang w:val="en-US" w:eastAsia="zh-CN"/>
                    </w:rPr>
                    <w:t>10</w:t>
                  </w:r>
                  <w:r>
                    <w:rPr>
                      <w:rFonts w:hint="eastAsia" w:eastAsia="方正仿宋_GBK"/>
                      <w:bCs/>
                      <w:color w:val="auto"/>
                      <w:sz w:val="21"/>
                      <w:szCs w:val="21"/>
                      <w:highlight w:val="none"/>
                    </w:rPr>
                    <w:t>m</w:t>
                  </w:r>
                  <w:r>
                    <w:rPr>
                      <w:rFonts w:hint="eastAsia" w:eastAsia="方正仿宋_GBK"/>
                      <w:bCs/>
                      <w:color w:val="auto"/>
                      <w:sz w:val="21"/>
                      <w:szCs w:val="21"/>
                      <w:highlight w:val="none"/>
                      <w:vertAlign w:val="superscript"/>
                    </w:rPr>
                    <w:t>2</w:t>
                  </w:r>
                </w:p>
              </w:tc>
              <w:tc>
                <w:tcPr>
                  <w:tcW w:w="700" w:type="pct"/>
                  <w:vMerge w:val="continue"/>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restart"/>
                  <w:vAlign w:val="center"/>
                </w:tcPr>
                <w:p>
                  <w:pPr>
                    <w:jc w:val="center"/>
                    <w:rPr>
                      <w:color w:val="auto"/>
                      <w:sz w:val="21"/>
                      <w:szCs w:val="21"/>
                      <w:highlight w:val="none"/>
                    </w:rPr>
                  </w:pPr>
                  <w:r>
                    <w:rPr>
                      <w:color w:val="auto"/>
                      <w:sz w:val="21"/>
                      <w:szCs w:val="21"/>
                      <w:highlight w:val="none"/>
                    </w:rPr>
                    <w:t>贮运工程</w:t>
                  </w:r>
                </w:p>
              </w:tc>
              <w:tc>
                <w:tcPr>
                  <w:tcW w:w="1039" w:type="pct"/>
                  <w:gridSpan w:val="2"/>
                  <w:vAlign w:val="center"/>
                </w:tcPr>
                <w:p>
                  <w:pPr>
                    <w:jc w:val="center"/>
                    <w:rPr>
                      <w:color w:val="auto"/>
                      <w:sz w:val="21"/>
                      <w:szCs w:val="21"/>
                      <w:highlight w:val="none"/>
                    </w:rPr>
                  </w:pPr>
                  <w:r>
                    <w:rPr>
                      <w:color w:val="auto"/>
                      <w:sz w:val="21"/>
                      <w:szCs w:val="21"/>
                      <w:highlight w:val="none"/>
                    </w:rPr>
                    <w:t>成品</w:t>
                  </w:r>
                  <w:r>
                    <w:rPr>
                      <w:rFonts w:hint="eastAsia"/>
                      <w:color w:val="auto"/>
                      <w:sz w:val="21"/>
                      <w:szCs w:val="21"/>
                      <w:highlight w:val="none"/>
                    </w:rPr>
                    <w:t>区</w:t>
                  </w:r>
                </w:p>
              </w:tc>
              <w:tc>
                <w:tcPr>
                  <w:tcW w:w="1769" w:type="pct"/>
                  <w:vAlign w:val="center"/>
                </w:tcPr>
                <w:p>
                  <w:pPr>
                    <w:jc w:val="center"/>
                    <w:rPr>
                      <w:color w:val="auto"/>
                      <w:sz w:val="21"/>
                      <w:szCs w:val="21"/>
                      <w:highlight w:val="none"/>
                    </w:rPr>
                  </w:pPr>
                  <w:r>
                    <w:rPr>
                      <w:color w:val="auto"/>
                      <w:sz w:val="21"/>
                      <w:szCs w:val="21"/>
                      <w:highlight w:val="none"/>
                    </w:rPr>
                    <w:t>用于</w:t>
                  </w:r>
                  <w:r>
                    <w:rPr>
                      <w:rFonts w:hint="eastAsia"/>
                      <w:color w:val="auto"/>
                      <w:sz w:val="21"/>
                      <w:szCs w:val="21"/>
                      <w:highlight w:val="none"/>
                    </w:rPr>
                    <w:t>暂存成品</w:t>
                  </w:r>
                </w:p>
              </w:tc>
              <w:tc>
                <w:tcPr>
                  <w:tcW w:w="1030" w:type="pct"/>
                  <w:vAlign w:val="center"/>
                </w:tcPr>
                <w:p>
                  <w:pPr>
                    <w:jc w:val="center"/>
                    <w:rPr>
                      <w:color w:val="auto"/>
                      <w:sz w:val="21"/>
                      <w:szCs w:val="21"/>
                      <w:highlight w:val="none"/>
                    </w:rPr>
                  </w:pPr>
                  <w:r>
                    <w:rPr>
                      <w:color w:val="auto"/>
                      <w:sz w:val="21"/>
                      <w:szCs w:val="21"/>
                      <w:highlight w:val="none"/>
                    </w:rPr>
                    <w:t>占地面积</w:t>
                  </w:r>
                  <w:r>
                    <w:rPr>
                      <w:rFonts w:hint="eastAsia"/>
                      <w:color w:val="auto"/>
                      <w:sz w:val="21"/>
                      <w:szCs w:val="21"/>
                      <w:highlight w:val="none"/>
                      <w:lang w:val="en-US" w:eastAsia="zh-CN"/>
                    </w:rPr>
                    <w:t>60</w:t>
                  </w:r>
                  <w:r>
                    <w:rPr>
                      <w:color w:val="auto"/>
                      <w:sz w:val="21"/>
                      <w:szCs w:val="21"/>
                      <w:highlight w:val="none"/>
                    </w:rPr>
                    <w:t>m</w:t>
                  </w:r>
                  <w:r>
                    <w:rPr>
                      <w:color w:val="auto"/>
                      <w:sz w:val="21"/>
                      <w:szCs w:val="21"/>
                      <w:highlight w:val="none"/>
                      <w:vertAlign w:val="superscript"/>
                    </w:rPr>
                    <w:t>2</w:t>
                  </w:r>
                </w:p>
              </w:tc>
              <w:tc>
                <w:tcPr>
                  <w:tcW w:w="700" w:type="pct"/>
                  <w:vAlign w:val="center"/>
                </w:tcPr>
                <w:p>
                  <w:pPr>
                    <w:jc w:val="center"/>
                    <w:rPr>
                      <w:color w:val="auto"/>
                      <w:sz w:val="21"/>
                      <w:szCs w:val="21"/>
                      <w:highlight w:val="none"/>
                    </w:rPr>
                  </w:pPr>
                  <w:r>
                    <w:rPr>
                      <w:rFonts w:hint="eastAsia"/>
                      <w:color w:val="auto"/>
                      <w:sz w:val="21"/>
                      <w:szCs w:val="21"/>
                      <w:highlight w:val="none"/>
                    </w:rPr>
                    <w:t>依托现有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1039" w:type="pct"/>
                  <w:gridSpan w:val="2"/>
                  <w:vAlign w:val="center"/>
                </w:tcPr>
                <w:p>
                  <w:pPr>
                    <w:jc w:val="center"/>
                    <w:rPr>
                      <w:color w:val="auto"/>
                      <w:sz w:val="21"/>
                      <w:szCs w:val="21"/>
                      <w:highlight w:val="none"/>
                    </w:rPr>
                  </w:pPr>
                  <w:r>
                    <w:rPr>
                      <w:color w:val="auto"/>
                      <w:sz w:val="21"/>
                      <w:szCs w:val="21"/>
                      <w:highlight w:val="none"/>
                    </w:rPr>
                    <w:t>原料</w:t>
                  </w:r>
                  <w:r>
                    <w:rPr>
                      <w:rFonts w:hint="eastAsia"/>
                      <w:color w:val="auto"/>
                      <w:sz w:val="21"/>
                      <w:szCs w:val="21"/>
                      <w:highlight w:val="none"/>
                    </w:rPr>
                    <w:t>区</w:t>
                  </w:r>
                </w:p>
              </w:tc>
              <w:tc>
                <w:tcPr>
                  <w:tcW w:w="1769" w:type="pct"/>
                  <w:vAlign w:val="center"/>
                </w:tcPr>
                <w:p>
                  <w:pPr>
                    <w:jc w:val="center"/>
                    <w:rPr>
                      <w:color w:val="auto"/>
                      <w:sz w:val="21"/>
                      <w:szCs w:val="21"/>
                      <w:highlight w:val="none"/>
                    </w:rPr>
                  </w:pPr>
                  <w:r>
                    <w:rPr>
                      <w:color w:val="auto"/>
                      <w:sz w:val="21"/>
                      <w:szCs w:val="21"/>
                      <w:highlight w:val="none"/>
                    </w:rPr>
                    <w:t>用于堆存原料</w:t>
                  </w:r>
                </w:p>
              </w:tc>
              <w:tc>
                <w:tcPr>
                  <w:tcW w:w="1030" w:type="pct"/>
                  <w:vAlign w:val="center"/>
                </w:tcPr>
                <w:p>
                  <w:pPr>
                    <w:jc w:val="center"/>
                    <w:rPr>
                      <w:color w:val="auto"/>
                      <w:sz w:val="21"/>
                      <w:szCs w:val="21"/>
                      <w:highlight w:val="none"/>
                    </w:rPr>
                  </w:pPr>
                  <w:r>
                    <w:rPr>
                      <w:color w:val="auto"/>
                      <w:sz w:val="21"/>
                      <w:szCs w:val="21"/>
                      <w:highlight w:val="none"/>
                    </w:rPr>
                    <w:t>占地面积</w:t>
                  </w:r>
                  <w:r>
                    <w:rPr>
                      <w:rFonts w:hint="eastAsia"/>
                      <w:color w:val="auto"/>
                      <w:sz w:val="21"/>
                      <w:szCs w:val="21"/>
                      <w:highlight w:val="none"/>
                      <w:lang w:val="en-US" w:eastAsia="zh-CN"/>
                    </w:rPr>
                    <w:t>60</w:t>
                  </w:r>
                  <w:r>
                    <w:rPr>
                      <w:color w:val="auto"/>
                      <w:sz w:val="21"/>
                      <w:szCs w:val="21"/>
                      <w:highlight w:val="none"/>
                    </w:rPr>
                    <w:t>m</w:t>
                  </w:r>
                  <w:r>
                    <w:rPr>
                      <w:color w:val="auto"/>
                      <w:sz w:val="21"/>
                      <w:szCs w:val="21"/>
                      <w:highlight w:val="none"/>
                      <w:vertAlign w:val="superscript"/>
                    </w:rPr>
                    <w:t>2</w:t>
                  </w:r>
                </w:p>
              </w:tc>
              <w:tc>
                <w:tcPr>
                  <w:tcW w:w="700" w:type="pct"/>
                  <w:vAlign w:val="center"/>
                </w:tcPr>
                <w:p>
                  <w:pPr>
                    <w:jc w:val="center"/>
                    <w:rPr>
                      <w:color w:val="auto"/>
                      <w:sz w:val="21"/>
                      <w:szCs w:val="21"/>
                      <w:highlight w:val="none"/>
                    </w:rPr>
                  </w:pPr>
                  <w:r>
                    <w:rPr>
                      <w:rFonts w:hint="eastAsia"/>
                      <w:color w:val="auto"/>
                      <w:sz w:val="21"/>
                      <w:szCs w:val="21"/>
                      <w:highlight w:val="none"/>
                    </w:rPr>
                    <w:t>依托现有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restart"/>
                  <w:vAlign w:val="center"/>
                </w:tcPr>
                <w:p>
                  <w:pPr>
                    <w:jc w:val="center"/>
                    <w:rPr>
                      <w:color w:val="auto"/>
                      <w:sz w:val="21"/>
                      <w:szCs w:val="21"/>
                      <w:highlight w:val="none"/>
                    </w:rPr>
                  </w:pPr>
                  <w:r>
                    <w:rPr>
                      <w:color w:val="auto"/>
                      <w:sz w:val="21"/>
                      <w:szCs w:val="21"/>
                      <w:highlight w:val="none"/>
                    </w:rPr>
                    <w:t>公用工程</w:t>
                  </w:r>
                </w:p>
              </w:tc>
              <w:tc>
                <w:tcPr>
                  <w:tcW w:w="1039" w:type="pct"/>
                  <w:gridSpan w:val="2"/>
                  <w:vAlign w:val="center"/>
                </w:tcPr>
                <w:p>
                  <w:pPr>
                    <w:jc w:val="center"/>
                    <w:rPr>
                      <w:color w:val="auto"/>
                      <w:sz w:val="21"/>
                      <w:szCs w:val="21"/>
                      <w:highlight w:val="none"/>
                    </w:rPr>
                  </w:pPr>
                  <w:r>
                    <w:rPr>
                      <w:color w:val="auto"/>
                      <w:sz w:val="21"/>
                      <w:szCs w:val="21"/>
                      <w:highlight w:val="none"/>
                    </w:rPr>
                    <w:t>给水系统</w:t>
                  </w:r>
                </w:p>
              </w:tc>
              <w:tc>
                <w:tcPr>
                  <w:tcW w:w="1769" w:type="pct"/>
                  <w:vAlign w:val="center"/>
                </w:tcPr>
                <w:p>
                  <w:pPr>
                    <w:jc w:val="center"/>
                    <w:rPr>
                      <w:color w:val="auto"/>
                      <w:sz w:val="21"/>
                      <w:szCs w:val="21"/>
                      <w:highlight w:val="none"/>
                    </w:rPr>
                  </w:pPr>
                  <w:r>
                    <w:rPr>
                      <w:color w:val="auto"/>
                      <w:sz w:val="21"/>
                      <w:szCs w:val="21"/>
                      <w:highlight w:val="none"/>
                    </w:rPr>
                    <w:t>开发区供水管网供水</w:t>
                  </w:r>
                </w:p>
              </w:tc>
              <w:tc>
                <w:tcPr>
                  <w:tcW w:w="1030" w:type="pct"/>
                  <w:vAlign w:val="center"/>
                </w:tcPr>
                <w:p>
                  <w:pPr>
                    <w:jc w:val="center"/>
                    <w:rPr>
                      <w:color w:val="auto"/>
                      <w:sz w:val="21"/>
                      <w:szCs w:val="21"/>
                      <w:highlight w:val="none"/>
                    </w:rPr>
                  </w:pPr>
                  <w:r>
                    <w:rPr>
                      <w:rFonts w:hint="eastAsia"/>
                      <w:color w:val="auto"/>
                      <w:sz w:val="21"/>
                      <w:szCs w:val="21"/>
                      <w:highlight w:val="none"/>
                      <w:lang w:val="en-US" w:eastAsia="zh-CN"/>
                    </w:rPr>
                    <w:t>1200</w:t>
                  </w:r>
                  <w:r>
                    <w:rPr>
                      <w:color w:val="auto"/>
                      <w:sz w:val="21"/>
                      <w:szCs w:val="21"/>
                      <w:highlight w:val="none"/>
                    </w:rPr>
                    <w:t>m</w:t>
                  </w:r>
                  <w:r>
                    <w:rPr>
                      <w:color w:val="auto"/>
                      <w:sz w:val="21"/>
                      <w:szCs w:val="21"/>
                      <w:highlight w:val="none"/>
                      <w:vertAlign w:val="superscript"/>
                    </w:rPr>
                    <w:t>3</w:t>
                  </w:r>
                  <w:r>
                    <w:rPr>
                      <w:color w:val="auto"/>
                      <w:sz w:val="21"/>
                      <w:szCs w:val="21"/>
                      <w:highlight w:val="none"/>
                    </w:rPr>
                    <w:t>/a</w:t>
                  </w:r>
                </w:p>
              </w:tc>
              <w:tc>
                <w:tcPr>
                  <w:tcW w:w="700" w:type="pct"/>
                  <w:vAlign w:val="center"/>
                </w:tcPr>
                <w:p>
                  <w:pPr>
                    <w:jc w:val="center"/>
                    <w:rPr>
                      <w:color w:val="auto"/>
                      <w:sz w:val="21"/>
                      <w:szCs w:val="21"/>
                      <w:highlight w:val="none"/>
                    </w:rPr>
                  </w:pPr>
                  <w:r>
                    <w:rPr>
                      <w:rFonts w:hint="eastAsia"/>
                      <w:color w:val="auto"/>
                      <w:sz w:val="21"/>
                      <w:szCs w:val="21"/>
                      <w:highlight w:val="none"/>
                    </w:rPr>
                    <w:t>依托现有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1039" w:type="pct"/>
                  <w:gridSpan w:val="2"/>
                  <w:vAlign w:val="center"/>
                </w:tcPr>
                <w:p>
                  <w:pPr>
                    <w:jc w:val="center"/>
                    <w:rPr>
                      <w:color w:val="auto"/>
                      <w:sz w:val="21"/>
                      <w:szCs w:val="21"/>
                      <w:highlight w:val="none"/>
                    </w:rPr>
                  </w:pPr>
                  <w:r>
                    <w:rPr>
                      <w:color w:val="auto"/>
                      <w:sz w:val="21"/>
                      <w:szCs w:val="21"/>
                      <w:highlight w:val="none"/>
                    </w:rPr>
                    <w:t>排水系统</w:t>
                  </w:r>
                </w:p>
              </w:tc>
              <w:tc>
                <w:tcPr>
                  <w:tcW w:w="1769" w:type="pct"/>
                  <w:vAlign w:val="center"/>
                </w:tcPr>
                <w:p>
                  <w:pPr>
                    <w:jc w:val="center"/>
                    <w:rPr>
                      <w:color w:val="auto"/>
                      <w:sz w:val="21"/>
                      <w:szCs w:val="21"/>
                      <w:highlight w:val="none"/>
                    </w:rPr>
                  </w:pPr>
                  <w:r>
                    <w:rPr>
                      <w:color w:val="auto"/>
                      <w:sz w:val="21"/>
                      <w:szCs w:val="21"/>
                      <w:highlight w:val="none"/>
                    </w:rPr>
                    <w:t>开发区雨水收集系统、污水收集系统</w:t>
                  </w:r>
                  <w:r>
                    <w:rPr>
                      <w:rFonts w:hint="eastAsia"/>
                      <w:color w:val="auto"/>
                      <w:sz w:val="21"/>
                      <w:szCs w:val="21"/>
                      <w:highlight w:val="none"/>
                    </w:rPr>
                    <w:t>，厂区</w:t>
                  </w:r>
                  <w:r>
                    <w:rPr>
                      <w:color w:val="auto"/>
                      <w:sz w:val="21"/>
                      <w:szCs w:val="21"/>
                      <w:highlight w:val="none"/>
                    </w:rPr>
                    <w:t>已实现“雨污分流”，雨水经厂内雨水管网收集后排入市政雨水管网；</w:t>
                  </w:r>
                  <w:r>
                    <w:rPr>
                      <w:rFonts w:hint="eastAsia"/>
                      <w:color w:val="auto"/>
                      <w:sz w:val="21"/>
                      <w:szCs w:val="21"/>
                      <w:highlight w:val="none"/>
                    </w:rPr>
                    <w:t>生活污水</w:t>
                  </w:r>
                  <w:r>
                    <w:rPr>
                      <w:color w:val="auto"/>
                      <w:sz w:val="21"/>
                      <w:szCs w:val="21"/>
                      <w:highlight w:val="none"/>
                    </w:rPr>
                    <w:t>经收集后接管至市政污水管网，再排入</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集中处理，尾水排入</w:t>
                  </w:r>
                  <w:r>
                    <w:rPr>
                      <w:rFonts w:hint="eastAsia"/>
                      <w:color w:val="auto"/>
                      <w:sz w:val="21"/>
                      <w:szCs w:val="21"/>
                      <w:highlight w:val="none"/>
                      <w:lang w:val="en-US" w:eastAsia="zh-CN"/>
                    </w:rPr>
                    <w:t>尧塘</w:t>
                  </w:r>
                  <w:r>
                    <w:rPr>
                      <w:color w:val="auto"/>
                      <w:sz w:val="21"/>
                      <w:szCs w:val="21"/>
                      <w:highlight w:val="none"/>
                    </w:rPr>
                    <w:t>河。</w:t>
                  </w:r>
                </w:p>
              </w:tc>
              <w:tc>
                <w:tcPr>
                  <w:tcW w:w="1030" w:type="pct"/>
                  <w:vAlign w:val="center"/>
                </w:tcPr>
                <w:p>
                  <w:pPr>
                    <w:jc w:val="center"/>
                    <w:rPr>
                      <w:color w:val="auto"/>
                      <w:sz w:val="21"/>
                      <w:szCs w:val="21"/>
                      <w:highlight w:val="none"/>
                    </w:rPr>
                  </w:pPr>
                  <w:r>
                    <w:rPr>
                      <w:rFonts w:hint="eastAsia"/>
                      <w:color w:val="auto"/>
                      <w:sz w:val="21"/>
                      <w:szCs w:val="21"/>
                      <w:highlight w:val="none"/>
                    </w:rPr>
                    <w:t>生活污水360</w:t>
                  </w:r>
                  <w:r>
                    <w:rPr>
                      <w:color w:val="auto"/>
                      <w:sz w:val="21"/>
                      <w:szCs w:val="21"/>
                      <w:highlight w:val="none"/>
                    </w:rPr>
                    <w:t>m</w:t>
                  </w:r>
                  <w:r>
                    <w:rPr>
                      <w:color w:val="auto"/>
                      <w:sz w:val="21"/>
                      <w:szCs w:val="21"/>
                      <w:highlight w:val="none"/>
                      <w:vertAlign w:val="superscript"/>
                    </w:rPr>
                    <w:t>3</w:t>
                  </w:r>
                  <w:r>
                    <w:rPr>
                      <w:color w:val="auto"/>
                      <w:sz w:val="21"/>
                      <w:szCs w:val="21"/>
                      <w:highlight w:val="none"/>
                    </w:rPr>
                    <w:t>/a</w:t>
                  </w:r>
                </w:p>
              </w:tc>
              <w:tc>
                <w:tcPr>
                  <w:tcW w:w="700" w:type="pct"/>
                  <w:vAlign w:val="center"/>
                </w:tcPr>
                <w:p>
                  <w:pPr>
                    <w:jc w:val="center"/>
                    <w:rPr>
                      <w:color w:val="auto"/>
                      <w:sz w:val="21"/>
                      <w:szCs w:val="21"/>
                      <w:highlight w:val="none"/>
                    </w:rPr>
                  </w:pPr>
                  <w:r>
                    <w:rPr>
                      <w:rFonts w:hint="eastAsia"/>
                      <w:color w:val="auto"/>
                      <w:sz w:val="21"/>
                      <w:szCs w:val="21"/>
                      <w:highlight w:val="none"/>
                    </w:rPr>
                    <w:t>依托现有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1039" w:type="pct"/>
                  <w:gridSpan w:val="2"/>
                  <w:vAlign w:val="center"/>
                </w:tcPr>
                <w:p>
                  <w:pPr>
                    <w:jc w:val="center"/>
                    <w:rPr>
                      <w:color w:val="auto"/>
                      <w:sz w:val="21"/>
                      <w:szCs w:val="21"/>
                      <w:highlight w:val="none"/>
                    </w:rPr>
                  </w:pPr>
                  <w:r>
                    <w:rPr>
                      <w:color w:val="auto"/>
                      <w:sz w:val="21"/>
                      <w:szCs w:val="21"/>
                      <w:highlight w:val="none"/>
                    </w:rPr>
                    <w:t>供电系统</w:t>
                  </w:r>
                </w:p>
              </w:tc>
              <w:tc>
                <w:tcPr>
                  <w:tcW w:w="1769" w:type="pct"/>
                  <w:vAlign w:val="center"/>
                </w:tcPr>
                <w:p>
                  <w:pPr>
                    <w:jc w:val="center"/>
                    <w:rPr>
                      <w:color w:val="auto"/>
                      <w:sz w:val="21"/>
                      <w:szCs w:val="21"/>
                      <w:highlight w:val="none"/>
                    </w:rPr>
                  </w:pPr>
                  <w:r>
                    <w:rPr>
                      <w:color w:val="auto"/>
                      <w:sz w:val="21"/>
                      <w:szCs w:val="21"/>
                      <w:highlight w:val="none"/>
                    </w:rPr>
                    <w:t>依靠开发区供电系统</w:t>
                  </w:r>
                </w:p>
              </w:tc>
              <w:tc>
                <w:tcPr>
                  <w:tcW w:w="1030" w:type="pct"/>
                  <w:vAlign w:val="center"/>
                </w:tcPr>
                <w:p>
                  <w:pPr>
                    <w:jc w:val="center"/>
                    <w:rPr>
                      <w:color w:val="auto"/>
                      <w:sz w:val="21"/>
                      <w:szCs w:val="21"/>
                      <w:highlight w:val="none"/>
                    </w:rPr>
                  </w:pPr>
                  <w:r>
                    <w:rPr>
                      <w:rFonts w:hint="eastAsia"/>
                      <w:color w:val="auto"/>
                      <w:sz w:val="21"/>
                      <w:szCs w:val="21"/>
                      <w:highlight w:val="none"/>
                    </w:rPr>
                    <w:t>300</w:t>
                  </w:r>
                  <w:r>
                    <w:rPr>
                      <w:color w:val="auto"/>
                      <w:sz w:val="21"/>
                      <w:szCs w:val="21"/>
                      <w:highlight w:val="none"/>
                    </w:rPr>
                    <w:t>万度/年</w:t>
                  </w:r>
                </w:p>
              </w:tc>
              <w:tc>
                <w:tcPr>
                  <w:tcW w:w="700" w:type="pct"/>
                  <w:vAlign w:val="center"/>
                </w:tcPr>
                <w:p>
                  <w:pPr>
                    <w:jc w:val="center"/>
                    <w:rPr>
                      <w:color w:val="auto"/>
                      <w:sz w:val="21"/>
                      <w:szCs w:val="21"/>
                      <w:highlight w:val="none"/>
                    </w:rPr>
                  </w:pPr>
                  <w:r>
                    <w:rPr>
                      <w:rFonts w:hint="eastAsia"/>
                      <w:color w:val="auto"/>
                      <w:sz w:val="21"/>
                      <w:szCs w:val="21"/>
                      <w:highlight w:val="none"/>
                    </w:rPr>
                    <w:t>依托现有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restart"/>
                  <w:vAlign w:val="center"/>
                </w:tcPr>
                <w:p>
                  <w:pPr>
                    <w:jc w:val="center"/>
                    <w:rPr>
                      <w:color w:val="auto"/>
                      <w:sz w:val="21"/>
                      <w:szCs w:val="21"/>
                      <w:highlight w:val="none"/>
                    </w:rPr>
                  </w:pPr>
                  <w:r>
                    <w:rPr>
                      <w:rFonts w:hint="eastAsia"/>
                      <w:color w:val="auto"/>
                      <w:sz w:val="21"/>
                      <w:szCs w:val="21"/>
                      <w:highlight w:val="none"/>
                    </w:rPr>
                    <w:t>环保工程</w:t>
                  </w:r>
                </w:p>
              </w:tc>
              <w:tc>
                <w:tcPr>
                  <w:tcW w:w="1039" w:type="pct"/>
                  <w:gridSpan w:val="2"/>
                  <w:vMerge w:val="restart"/>
                  <w:vAlign w:val="center"/>
                </w:tcPr>
                <w:p>
                  <w:pPr>
                    <w:jc w:val="center"/>
                    <w:rPr>
                      <w:color w:val="auto"/>
                      <w:sz w:val="21"/>
                      <w:szCs w:val="21"/>
                      <w:highlight w:val="none"/>
                    </w:rPr>
                  </w:pPr>
                  <w:r>
                    <w:rPr>
                      <w:color w:val="auto"/>
                      <w:sz w:val="21"/>
                      <w:szCs w:val="21"/>
                      <w:highlight w:val="none"/>
                    </w:rPr>
                    <w:t>废气处理</w:t>
                  </w:r>
                </w:p>
              </w:tc>
              <w:tc>
                <w:tcPr>
                  <w:tcW w:w="2799" w:type="pct"/>
                  <w:gridSpan w:val="2"/>
                  <w:vAlign w:val="center"/>
                </w:tcPr>
                <w:p>
                  <w:pPr>
                    <w:spacing w:line="240" w:lineRule="auto"/>
                    <w:jc w:val="center"/>
                    <w:rPr>
                      <w:color w:val="auto"/>
                      <w:sz w:val="21"/>
                      <w:szCs w:val="21"/>
                      <w:highlight w:val="none"/>
                    </w:rPr>
                  </w:pP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rPr>
                    <w:t>有机废气经半密闭集气罩收集后进入“二级活性炭吸附装置”处理（处理效率9</w:t>
                  </w:r>
                  <w:r>
                    <w:rPr>
                      <w:rFonts w:hint="eastAsia"/>
                      <w:color w:val="auto"/>
                      <w:sz w:val="21"/>
                      <w:szCs w:val="21"/>
                      <w:highlight w:val="none"/>
                      <w:lang w:val="en-US" w:eastAsia="zh-CN"/>
                    </w:rPr>
                    <w:t>0</w:t>
                  </w:r>
                  <w:r>
                    <w:rPr>
                      <w:rFonts w:hint="eastAsia"/>
                      <w:color w:val="auto"/>
                      <w:sz w:val="21"/>
                      <w:szCs w:val="21"/>
                      <w:highlight w:val="none"/>
                    </w:rPr>
                    <w:t>%）后通过18m高排气筒DA001达标排放</w:t>
                  </w:r>
                </w:p>
              </w:tc>
              <w:tc>
                <w:tcPr>
                  <w:tcW w:w="700" w:type="pct"/>
                  <w:vAlign w:val="center"/>
                </w:tcPr>
                <w:p>
                  <w:pPr>
                    <w:spacing w:line="240" w:lineRule="auto"/>
                    <w:jc w:val="center"/>
                    <w:rPr>
                      <w:color w:val="auto"/>
                      <w:sz w:val="21"/>
                      <w:szCs w:val="21"/>
                      <w:highlight w:val="none"/>
                    </w:rPr>
                  </w:pPr>
                  <w:r>
                    <w:rPr>
                      <w:rFonts w:hint="eastAsia"/>
                      <w:color w:val="auto"/>
                      <w:sz w:val="21"/>
                      <w:szCs w:val="21"/>
                      <w:highlight w:val="none"/>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1039" w:type="pct"/>
                  <w:gridSpan w:val="2"/>
                  <w:vMerge w:val="continue"/>
                  <w:vAlign w:val="center"/>
                </w:tcPr>
                <w:p>
                  <w:pPr>
                    <w:jc w:val="center"/>
                    <w:rPr>
                      <w:color w:val="auto"/>
                      <w:sz w:val="21"/>
                      <w:szCs w:val="21"/>
                      <w:highlight w:val="none"/>
                    </w:rPr>
                  </w:pPr>
                </w:p>
              </w:tc>
              <w:tc>
                <w:tcPr>
                  <w:tcW w:w="2799" w:type="pct"/>
                  <w:gridSpan w:val="2"/>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lang w:val="en-US" w:eastAsia="zh-CN"/>
                    </w:rPr>
                    <w:t>投料及破碎粉尘经移动式布袋除尘器处理后，未被收集的粉尘呈无组织排放</w:t>
                  </w:r>
                </w:p>
              </w:tc>
              <w:tc>
                <w:tcPr>
                  <w:tcW w:w="700" w:type="pct"/>
                  <w:vAlign w:val="center"/>
                </w:tcPr>
                <w:p>
                  <w:pPr>
                    <w:spacing w:line="240" w:lineRule="auto"/>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1039" w:type="pct"/>
                  <w:gridSpan w:val="2"/>
                  <w:vAlign w:val="center"/>
                </w:tcPr>
                <w:p>
                  <w:pPr>
                    <w:jc w:val="center"/>
                    <w:rPr>
                      <w:color w:val="auto"/>
                      <w:sz w:val="21"/>
                      <w:szCs w:val="21"/>
                      <w:highlight w:val="none"/>
                    </w:rPr>
                  </w:pPr>
                  <w:r>
                    <w:rPr>
                      <w:color w:val="auto"/>
                      <w:sz w:val="21"/>
                      <w:szCs w:val="21"/>
                      <w:highlight w:val="none"/>
                    </w:rPr>
                    <w:t>废水处理</w:t>
                  </w:r>
                </w:p>
              </w:tc>
              <w:tc>
                <w:tcPr>
                  <w:tcW w:w="2799" w:type="pct"/>
                  <w:gridSpan w:val="2"/>
                  <w:vAlign w:val="center"/>
                </w:tcPr>
                <w:p>
                  <w:pPr>
                    <w:snapToGrid w:val="0"/>
                    <w:spacing w:line="320" w:lineRule="exact"/>
                    <w:jc w:val="center"/>
                    <w:rPr>
                      <w:color w:val="auto"/>
                      <w:sz w:val="21"/>
                      <w:szCs w:val="21"/>
                      <w:highlight w:val="none"/>
                    </w:rPr>
                  </w:pPr>
                  <w:r>
                    <w:rPr>
                      <w:rFonts w:hint="eastAsia"/>
                      <w:color w:val="auto"/>
                      <w:sz w:val="21"/>
                      <w:szCs w:val="21"/>
                      <w:highlight w:val="none"/>
                    </w:rPr>
                    <w:t>厂区雨污分流</w:t>
                  </w:r>
                  <w:r>
                    <w:rPr>
                      <w:color w:val="auto"/>
                      <w:sz w:val="21"/>
                      <w:szCs w:val="21"/>
                      <w:highlight w:val="none"/>
                    </w:rPr>
                    <w:t>管网</w:t>
                  </w:r>
                </w:p>
              </w:tc>
              <w:tc>
                <w:tcPr>
                  <w:tcW w:w="700" w:type="pct"/>
                  <w:vAlign w:val="center"/>
                </w:tcPr>
                <w:p>
                  <w:pPr>
                    <w:spacing w:line="320" w:lineRule="exact"/>
                    <w:jc w:val="center"/>
                    <w:textAlignment w:val="baseline"/>
                    <w:rPr>
                      <w:color w:val="auto"/>
                      <w:sz w:val="21"/>
                      <w:szCs w:val="21"/>
                      <w:highlight w:val="none"/>
                    </w:rPr>
                  </w:pPr>
                  <w:r>
                    <w:rPr>
                      <w:rFonts w:hint="eastAsia"/>
                      <w:color w:val="auto"/>
                      <w:spacing w:val="-2"/>
                      <w:kern w:val="28"/>
                      <w:sz w:val="21"/>
                      <w:szCs w:val="21"/>
                      <w:highlight w:val="none"/>
                    </w:rPr>
                    <w:t>依托现有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1039" w:type="pct"/>
                  <w:gridSpan w:val="2"/>
                  <w:vAlign w:val="center"/>
                </w:tcPr>
                <w:p>
                  <w:pPr>
                    <w:pStyle w:val="46"/>
                    <w:adjustRightInd w:val="0"/>
                    <w:snapToGrid w:val="0"/>
                    <w:rPr>
                      <w:color w:val="auto"/>
                      <w:sz w:val="21"/>
                      <w:szCs w:val="21"/>
                      <w:highlight w:val="none"/>
                    </w:rPr>
                  </w:pPr>
                  <w:r>
                    <w:rPr>
                      <w:rFonts w:hint="eastAsia" w:eastAsia="宋体"/>
                      <w:color w:val="auto"/>
                      <w:sz w:val="21"/>
                      <w:szCs w:val="21"/>
                      <w:highlight w:val="none"/>
                    </w:rPr>
                    <w:t>噪声</w:t>
                  </w:r>
                </w:p>
              </w:tc>
              <w:tc>
                <w:tcPr>
                  <w:tcW w:w="1769" w:type="pct"/>
                  <w:vAlign w:val="center"/>
                </w:tcPr>
                <w:p>
                  <w:pPr>
                    <w:pStyle w:val="46"/>
                    <w:adjustRightInd w:val="0"/>
                    <w:snapToGrid w:val="0"/>
                    <w:rPr>
                      <w:color w:val="auto"/>
                      <w:sz w:val="21"/>
                      <w:szCs w:val="21"/>
                      <w:highlight w:val="none"/>
                    </w:rPr>
                  </w:pPr>
                  <w:r>
                    <w:rPr>
                      <w:rFonts w:hint="eastAsia" w:eastAsia="宋体"/>
                      <w:color w:val="auto"/>
                      <w:sz w:val="21"/>
                      <w:szCs w:val="21"/>
                      <w:highlight w:val="none"/>
                    </w:rPr>
                    <w:t>隔声、减振、消音措施</w:t>
                  </w:r>
                </w:p>
              </w:tc>
              <w:tc>
                <w:tcPr>
                  <w:tcW w:w="1030" w:type="pct"/>
                  <w:vAlign w:val="center"/>
                </w:tcPr>
                <w:p>
                  <w:pPr>
                    <w:pStyle w:val="46"/>
                    <w:adjustRightInd w:val="0"/>
                    <w:snapToGrid w:val="0"/>
                    <w:rPr>
                      <w:color w:val="auto"/>
                      <w:sz w:val="21"/>
                      <w:szCs w:val="21"/>
                      <w:highlight w:val="none"/>
                    </w:rPr>
                  </w:pPr>
                  <w:r>
                    <w:rPr>
                      <w:rFonts w:hint="eastAsia" w:eastAsia="宋体"/>
                      <w:color w:val="auto"/>
                      <w:sz w:val="21"/>
                      <w:szCs w:val="21"/>
                      <w:highlight w:val="none"/>
                    </w:rPr>
                    <w:t>降噪</w:t>
                  </w:r>
                  <w:r>
                    <w:rPr>
                      <w:rFonts w:eastAsia="宋体"/>
                      <w:color w:val="auto"/>
                      <w:sz w:val="21"/>
                      <w:szCs w:val="21"/>
                      <w:highlight w:val="none"/>
                    </w:rPr>
                    <w:t>≥</w:t>
                  </w:r>
                  <w:r>
                    <w:rPr>
                      <w:rFonts w:hint="eastAsia" w:eastAsia="宋体"/>
                      <w:color w:val="auto"/>
                      <w:sz w:val="21"/>
                      <w:szCs w:val="21"/>
                      <w:highlight w:val="none"/>
                      <w:lang w:val="en-US" w:eastAsia="zh-CN"/>
                    </w:rPr>
                    <w:t>10</w:t>
                  </w:r>
                  <w:r>
                    <w:rPr>
                      <w:rFonts w:hint="eastAsia" w:eastAsia="宋体"/>
                      <w:color w:val="auto"/>
                      <w:sz w:val="21"/>
                      <w:szCs w:val="21"/>
                      <w:highlight w:val="none"/>
                    </w:rPr>
                    <w:t>dB(A)</w:t>
                  </w:r>
                </w:p>
              </w:tc>
              <w:tc>
                <w:tcPr>
                  <w:tcW w:w="700" w:type="pct"/>
                  <w:vAlign w:val="center"/>
                </w:tcPr>
                <w:p>
                  <w:pPr>
                    <w:pStyle w:val="46"/>
                    <w:adjustRightInd w:val="0"/>
                    <w:snapToGrid w:val="0"/>
                    <w:rPr>
                      <w:color w:val="auto"/>
                      <w:spacing w:val="-2"/>
                      <w:kern w:val="28"/>
                      <w:sz w:val="21"/>
                      <w:szCs w:val="21"/>
                      <w:highlight w:val="none"/>
                    </w:rPr>
                  </w:pPr>
                  <w:r>
                    <w:rPr>
                      <w:rFonts w:hint="eastAsia" w:eastAsia="宋体"/>
                      <w:color w:val="auto"/>
                      <w:sz w:val="21"/>
                      <w:szCs w:val="21"/>
                      <w:highlight w:val="non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338" w:type="pct"/>
                  <w:vMerge w:val="restart"/>
                  <w:vAlign w:val="center"/>
                </w:tcPr>
                <w:p>
                  <w:pPr>
                    <w:jc w:val="center"/>
                    <w:rPr>
                      <w:color w:val="auto"/>
                      <w:sz w:val="21"/>
                      <w:szCs w:val="21"/>
                      <w:highlight w:val="none"/>
                    </w:rPr>
                  </w:pPr>
                  <w:r>
                    <w:rPr>
                      <w:color w:val="auto"/>
                      <w:sz w:val="21"/>
                      <w:szCs w:val="21"/>
                      <w:highlight w:val="none"/>
                    </w:rPr>
                    <w:t>固废处理</w:t>
                  </w:r>
                </w:p>
              </w:tc>
              <w:tc>
                <w:tcPr>
                  <w:tcW w:w="700" w:type="pct"/>
                  <w:vAlign w:val="center"/>
                </w:tcPr>
                <w:p>
                  <w:pPr>
                    <w:jc w:val="center"/>
                    <w:rPr>
                      <w:color w:val="auto"/>
                      <w:sz w:val="21"/>
                      <w:szCs w:val="21"/>
                      <w:highlight w:val="none"/>
                    </w:rPr>
                  </w:pPr>
                  <w:r>
                    <w:rPr>
                      <w:color w:val="auto"/>
                      <w:sz w:val="21"/>
                      <w:szCs w:val="21"/>
                      <w:highlight w:val="none"/>
                    </w:rPr>
                    <w:t>一般固废暂存区</w:t>
                  </w:r>
                </w:p>
              </w:tc>
              <w:tc>
                <w:tcPr>
                  <w:tcW w:w="1769" w:type="pct"/>
                  <w:vAlign w:val="center"/>
                </w:tcPr>
                <w:p>
                  <w:pPr>
                    <w:snapToGrid w:val="0"/>
                    <w:spacing w:line="320" w:lineRule="exact"/>
                    <w:jc w:val="center"/>
                    <w:rPr>
                      <w:color w:val="auto"/>
                      <w:sz w:val="21"/>
                      <w:szCs w:val="21"/>
                      <w:highlight w:val="none"/>
                    </w:rPr>
                  </w:pPr>
                  <w:r>
                    <w:rPr>
                      <w:color w:val="auto"/>
                      <w:sz w:val="21"/>
                      <w:szCs w:val="21"/>
                      <w:highlight w:val="none"/>
                    </w:rPr>
                    <w:t>固废分类收集、分类堆放，分类处理</w:t>
                  </w:r>
                </w:p>
              </w:tc>
              <w:tc>
                <w:tcPr>
                  <w:tcW w:w="1030" w:type="pct"/>
                  <w:vAlign w:val="center"/>
                </w:tcPr>
                <w:p>
                  <w:pPr>
                    <w:jc w:val="center"/>
                    <w:rPr>
                      <w:color w:val="auto"/>
                      <w:sz w:val="21"/>
                      <w:szCs w:val="21"/>
                      <w:highlight w:val="none"/>
                    </w:rPr>
                  </w:pPr>
                  <w:r>
                    <w:rPr>
                      <w:color w:val="auto"/>
                      <w:sz w:val="21"/>
                      <w:szCs w:val="21"/>
                      <w:highlight w:val="none"/>
                    </w:rPr>
                    <w:t>1个，</w:t>
                  </w:r>
                  <w:r>
                    <w:rPr>
                      <w:rFonts w:hint="eastAsia"/>
                      <w:color w:val="auto"/>
                      <w:sz w:val="21"/>
                      <w:szCs w:val="21"/>
                      <w:highlight w:val="none"/>
                    </w:rPr>
                    <w:t>30</w:t>
                  </w:r>
                  <w:r>
                    <w:rPr>
                      <w:color w:val="auto"/>
                      <w:sz w:val="21"/>
                      <w:szCs w:val="21"/>
                      <w:highlight w:val="none"/>
                    </w:rPr>
                    <w:t>m</w:t>
                  </w:r>
                  <w:r>
                    <w:rPr>
                      <w:color w:val="auto"/>
                      <w:sz w:val="21"/>
                      <w:szCs w:val="21"/>
                      <w:highlight w:val="none"/>
                      <w:vertAlign w:val="superscript"/>
                    </w:rPr>
                    <w:t>2</w:t>
                  </w:r>
                </w:p>
              </w:tc>
              <w:tc>
                <w:tcPr>
                  <w:tcW w:w="700" w:type="pct"/>
                  <w:vAlign w:val="center"/>
                </w:tcPr>
                <w:p>
                  <w:pPr>
                    <w:jc w:val="center"/>
                    <w:rPr>
                      <w:color w:val="auto"/>
                      <w:sz w:val="21"/>
                      <w:szCs w:val="21"/>
                      <w:highlight w:val="none"/>
                    </w:rPr>
                  </w:pPr>
                  <w:r>
                    <w:rPr>
                      <w:color w:val="auto"/>
                      <w:sz w:val="21"/>
                      <w:szCs w:val="21"/>
                      <w:highlight w:val="none"/>
                    </w:rPr>
                    <w:t>位于</w:t>
                  </w:r>
                  <w:r>
                    <w:rPr>
                      <w:rFonts w:hint="eastAsia"/>
                      <w:color w:val="auto"/>
                      <w:sz w:val="21"/>
                      <w:szCs w:val="21"/>
                      <w:highlight w:val="none"/>
                    </w:rPr>
                    <w:t>车间</w:t>
                  </w:r>
                  <w:r>
                    <w:rPr>
                      <w:color w:val="auto"/>
                      <w:sz w:val="21"/>
                      <w:szCs w:val="21"/>
                      <w:highlight w:val="none"/>
                    </w:rPr>
                    <w:t>内，新增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Merge w:val="continue"/>
                  <w:vAlign w:val="center"/>
                </w:tcPr>
                <w:p>
                  <w:pPr>
                    <w:jc w:val="center"/>
                    <w:rPr>
                      <w:color w:val="auto"/>
                      <w:sz w:val="21"/>
                      <w:szCs w:val="21"/>
                      <w:highlight w:val="none"/>
                    </w:rPr>
                  </w:pPr>
                </w:p>
              </w:tc>
              <w:tc>
                <w:tcPr>
                  <w:tcW w:w="338" w:type="pct"/>
                  <w:vMerge w:val="continue"/>
                  <w:vAlign w:val="center"/>
                </w:tcPr>
                <w:p>
                  <w:pPr>
                    <w:jc w:val="center"/>
                    <w:rPr>
                      <w:color w:val="auto"/>
                      <w:sz w:val="21"/>
                      <w:szCs w:val="21"/>
                      <w:highlight w:val="none"/>
                    </w:rPr>
                  </w:pPr>
                </w:p>
              </w:tc>
              <w:tc>
                <w:tcPr>
                  <w:tcW w:w="700" w:type="pct"/>
                  <w:vAlign w:val="center"/>
                </w:tcPr>
                <w:p>
                  <w:pPr>
                    <w:jc w:val="center"/>
                    <w:rPr>
                      <w:color w:val="auto"/>
                      <w:sz w:val="21"/>
                      <w:szCs w:val="21"/>
                      <w:highlight w:val="none"/>
                    </w:rPr>
                  </w:pPr>
                  <w:r>
                    <w:rPr>
                      <w:color w:val="auto"/>
                      <w:sz w:val="21"/>
                      <w:szCs w:val="21"/>
                      <w:highlight w:val="none"/>
                    </w:rPr>
                    <w:t>危险废物仓库</w:t>
                  </w:r>
                </w:p>
              </w:tc>
              <w:tc>
                <w:tcPr>
                  <w:tcW w:w="1769" w:type="pct"/>
                  <w:vAlign w:val="center"/>
                </w:tcPr>
                <w:p>
                  <w:pPr>
                    <w:snapToGrid w:val="0"/>
                    <w:spacing w:line="320" w:lineRule="exact"/>
                    <w:jc w:val="center"/>
                    <w:rPr>
                      <w:color w:val="auto"/>
                      <w:sz w:val="21"/>
                      <w:szCs w:val="21"/>
                      <w:highlight w:val="none"/>
                    </w:rPr>
                  </w:pPr>
                  <w:r>
                    <w:rPr>
                      <w:color w:val="auto"/>
                      <w:sz w:val="21"/>
                      <w:szCs w:val="21"/>
                      <w:highlight w:val="none"/>
                    </w:rPr>
                    <w:t>危险废物暂存</w:t>
                  </w:r>
                </w:p>
              </w:tc>
              <w:tc>
                <w:tcPr>
                  <w:tcW w:w="1030" w:type="pct"/>
                  <w:vAlign w:val="center"/>
                </w:tcPr>
                <w:p>
                  <w:pPr>
                    <w:jc w:val="center"/>
                    <w:rPr>
                      <w:color w:val="auto"/>
                      <w:sz w:val="21"/>
                      <w:szCs w:val="21"/>
                      <w:highlight w:val="none"/>
                    </w:rPr>
                  </w:pPr>
                  <w:r>
                    <w:rPr>
                      <w:color w:val="auto"/>
                      <w:sz w:val="21"/>
                      <w:szCs w:val="21"/>
                      <w:highlight w:val="none"/>
                    </w:rPr>
                    <w:t>1个，</w:t>
                  </w:r>
                  <w:r>
                    <w:rPr>
                      <w:rFonts w:hint="eastAsia"/>
                      <w:color w:val="auto"/>
                      <w:sz w:val="21"/>
                      <w:szCs w:val="21"/>
                      <w:highlight w:val="none"/>
                      <w:lang w:val="en-US" w:eastAsia="zh-CN"/>
                    </w:rPr>
                    <w:t>5</w:t>
                  </w:r>
                  <w:r>
                    <w:rPr>
                      <w:color w:val="auto"/>
                      <w:sz w:val="21"/>
                      <w:szCs w:val="21"/>
                      <w:highlight w:val="none"/>
                    </w:rPr>
                    <w:t>m</w:t>
                  </w:r>
                  <w:r>
                    <w:rPr>
                      <w:color w:val="auto"/>
                      <w:sz w:val="21"/>
                      <w:szCs w:val="21"/>
                      <w:highlight w:val="none"/>
                      <w:vertAlign w:val="superscript"/>
                    </w:rPr>
                    <w:t>2</w:t>
                  </w:r>
                </w:p>
              </w:tc>
              <w:tc>
                <w:tcPr>
                  <w:tcW w:w="700" w:type="pct"/>
                  <w:vAlign w:val="center"/>
                </w:tcPr>
                <w:p>
                  <w:pPr>
                    <w:jc w:val="center"/>
                    <w:rPr>
                      <w:color w:val="auto"/>
                      <w:sz w:val="21"/>
                      <w:szCs w:val="21"/>
                      <w:highlight w:val="none"/>
                    </w:rPr>
                  </w:pPr>
                  <w:r>
                    <w:rPr>
                      <w:color w:val="auto"/>
                      <w:sz w:val="21"/>
                      <w:szCs w:val="21"/>
                      <w:highlight w:val="none"/>
                    </w:rPr>
                    <w:t>位于</w:t>
                  </w:r>
                  <w:r>
                    <w:rPr>
                      <w:rFonts w:hint="eastAsia"/>
                      <w:color w:val="auto"/>
                      <w:sz w:val="21"/>
                      <w:szCs w:val="21"/>
                      <w:highlight w:val="none"/>
                    </w:rPr>
                    <w:t>车间</w:t>
                  </w:r>
                  <w:r>
                    <w:rPr>
                      <w:color w:val="auto"/>
                      <w:sz w:val="21"/>
                      <w:szCs w:val="21"/>
                      <w:highlight w:val="none"/>
                    </w:rPr>
                    <w:t>内，新增</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0" w:type="pct"/>
                  <w:vAlign w:val="center"/>
                </w:tcPr>
                <w:p>
                  <w:pPr>
                    <w:jc w:val="center"/>
                    <w:rPr>
                      <w:color w:val="auto"/>
                      <w:sz w:val="21"/>
                      <w:szCs w:val="21"/>
                      <w:highlight w:val="none"/>
                    </w:rPr>
                  </w:pPr>
                  <w:r>
                    <w:rPr>
                      <w:color w:val="auto"/>
                      <w:sz w:val="21"/>
                      <w:szCs w:val="21"/>
                      <w:highlight w:val="none"/>
                    </w:rPr>
                    <w:t>依托工程</w:t>
                  </w:r>
                </w:p>
              </w:tc>
              <w:tc>
                <w:tcPr>
                  <w:tcW w:w="4539" w:type="pct"/>
                  <w:gridSpan w:val="5"/>
                  <w:vAlign w:val="center"/>
                </w:tcPr>
                <w:p>
                  <w:pPr>
                    <w:jc w:val="center"/>
                    <w:rPr>
                      <w:color w:val="auto"/>
                      <w:sz w:val="21"/>
                      <w:szCs w:val="21"/>
                      <w:highlight w:val="none"/>
                    </w:rPr>
                  </w:pPr>
                  <w:r>
                    <w:rPr>
                      <w:color w:val="auto"/>
                      <w:sz w:val="21"/>
                      <w:szCs w:val="21"/>
                      <w:highlight w:val="none"/>
                    </w:rPr>
                    <w:t>依托租赁方污水管网和排污口、雨水管网和排口，供水、供电等基础设施</w:t>
                  </w:r>
                </w:p>
              </w:tc>
            </w:tr>
          </w:tbl>
          <w:p>
            <w:pPr>
              <w:spacing w:before="120" w:beforeLines="50" w:line="360" w:lineRule="auto"/>
              <w:ind w:firstLine="422" w:firstLineChars="200"/>
              <w:rPr>
                <w:b/>
                <w:bCs/>
                <w:color w:val="auto"/>
                <w:sz w:val="21"/>
                <w:szCs w:val="21"/>
                <w:highlight w:val="none"/>
              </w:rPr>
            </w:pPr>
            <w:r>
              <w:rPr>
                <w:rFonts w:hint="eastAsia"/>
                <w:b/>
                <w:bCs/>
                <w:color w:val="auto"/>
                <w:sz w:val="21"/>
                <w:szCs w:val="21"/>
                <w:highlight w:val="none"/>
              </w:rPr>
              <w:t>公用工程</w:t>
            </w:r>
            <w:r>
              <w:rPr>
                <w:b/>
                <w:bCs/>
                <w:color w:val="auto"/>
                <w:sz w:val="21"/>
                <w:szCs w:val="21"/>
                <w:highlight w:val="none"/>
              </w:rPr>
              <w:t>依托工程可行性分析：</w:t>
            </w:r>
          </w:p>
          <w:p>
            <w:pPr>
              <w:spacing w:line="360" w:lineRule="auto"/>
              <w:ind w:firstLine="420" w:firstLineChars="200"/>
              <w:rPr>
                <w:b/>
                <w:bCs/>
                <w:color w:val="auto"/>
                <w:sz w:val="21"/>
                <w:szCs w:val="21"/>
                <w:highlight w:val="none"/>
              </w:rPr>
            </w:pPr>
            <w:r>
              <w:rPr>
                <w:color w:val="auto"/>
                <w:sz w:val="21"/>
                <w:szCs w:val="21"/>
                <w:highlight w:val="none"/>
              </w:rPr>
              <w:t>本项目给水依托</w:t>
            </w:r>
            <w:r>
              <w:rPr>
                <w:rFonts w:hint="eastAsia"/>
                <w:bCs/>
                <w:color w:val="auto"/>
                <w:sz w:val="21"/>
                <w:szCs w:val="21"/>
                <w:highlight w:val="none"/>
              </w:rPr>
              <w:t>常州市奥翔服装印花有限公司</w:t>
            </w:r>
            <w:r>
              <w:rPr>
                <w:color w:val="auto"/>
                <w:sz w:val="21"/>
                <w:szCs w:val="21"/>
                <w:highlight w:val="none"/>
              </w:rPr>
              <w:t>供水管网，排水依托</w:t>
            </w:r>
            <w:r>
              <w:rPr>
                <w:rFonts w:hint="eastAsia"/>
                <w:bCs/>
                <w:color w:val="auto"/>
                <w:sz w:val="21"/>
                <w:szCs w:val="21"/>
                <w:highlight w:val="none"/>
              </w:rPr>
              <w:t>常州市奥翔服装印花有限公司</w:t>
            </w:r>
            <w:r>
              <w:rPr>
                <w:color w:val="auto"/>
                <w:sz w:val="21"/>
                <w:szCs w:val="21"/>
                <w:highlight w:val="none"/>
              </w:rPr>
              <w:t>现有污水管网和开发区污水管网，供电依托</w:t>
            </w:r>
            <w:r>
              <w:rPr>
                <w:rFonts w:hint="eastAsia"/>
                <w:bCs/>
                <w:color w:val="auto"/>
                <w:sz w:val="21"/>
                <w:szCs w:val="21"/>
                <w:highlight w:val="none"/>
              </w:rPr>
              <w:t>常州市奥翔服装印花有限公司</w:t>
            </w:r>
            <w:r>
              <w:rPr>
                <w:color w:val="auto"/>
                <w:sz w:val="21"/>
                <w:szCs w:val="21"/>
                <w:highlight w:val="none"/>
              </w:rPr>
              <w:t>供电管网，开发区给水管网、污水管网、供电管网已设置，满足本项目使用需求。</w:t>
            </w:r>
          </w:p>
          <w:p>
            <w:pPr>
              <w:pStyle w:val="37"/>
              <w:spacing w:line="360" w:lineRule="auto"/>
              <w:ind w:firstLine="482"/>
              <w:rPr>
                <w:rFonts w:eastAsia="宋体"/>
                <w:b/>
                <w:bCs/>
                <w:color w:val="auto"/>
                <w:sz w:val="21"/>
                <w:szCs w:val="21"/>
                <w:highlight w:val="none"/>
              </w:rPr>
            </w:pPr>
            <w:r>
              <w:rPr>
                <w:rFonts w:eastAsia="宋体"/>
                <w:b/>
                <w:bCs/>
                <w:color w:val="auto"/>
                <w:sz w:val="21"/>
                <w:szCs w:val="21"/>
                <w:highlight w:val="none"/>
              </w:rPr>
              <w:t>4、主要生产设备情况</w:t>
            </w:r>
          </w:p>
          <w:p>
            <w:pPr>
              <w:pStyle w:val="48"/>
              <w:spacing w:before="48" w:after="48"/>
              <w:ind w:firstLine="420" w:firstLineChars="200"/>
              <w:jc w:val="both"/>
              <w:rPr>
                <w:rFonts w:eastAsia="宋体"/>
                <w:b w:val="0"/>
                <w:bCs/>
                <w:color w:val="auto"/>
                <w:sz w:val="21"/>
                <w:szCs w:val="21"/>
                <w:highlight w:val="none"/>
              </w:rPr>
            </w:pPr>
            <w:r>
              <w:rPr>
                <w:rFonts w:eastAsia="宋体"/>
                <w:b w:val="0"/>
                <w:bCs/>
                <w:color w:val="auto"/>
                <w:sz w:val="21"/>
                <w:szCs w:val="21"/>
                <w:highlight w:val="none"/>
              </w:rPr>
              <w:t>本项目主要生产设备见表2-3。</w:t>
            </w:r>
          </w:p>
          <w:p>
            <w:pPr>
              <w:pStyle w:val="48"/>
              <w:spacing w:before="0" w:beforeLines="0" w:after="0" w:afterLines="0" w:line="240" w:lineRule="auto"/>
              <w:rPr>
                <w:rFonts w:eastAsia="宋体"/>
                <w:color w:val="auto"/>
                <w:sz w:val="21"/>
                <w:szCs w:val="21"/>
                <w:highlight w:val="none"/>
              </w:rPr>
            </w:pPr>
            <w:r>
              <w:rPr>
                <w:rFonts w:eastAsia="宋体"/>
                <w:color w:val="auto"/>
                <w:sz w:val="21"/>
                <w:szCs w:val="21"/>
                <w:highlight w:val="none"/>
              </w:rPr>
              <w:t>表2-3 建设项目主要设备表</w:t>
            </w:r>
          </w:p>
          <w:tbl>
            <w:tblPr>
              <w:tblStyle w:val="25"/>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Layout w:type="autofit"/>
              <w:tblCellMar>
                <w:top w:w="0" w:type="dxa"/>
                <w:left w:w="108" w:type="dxa"/>
                <w:bottom w:w="0" w:type="dxa"/>
                <w:right w:w="108" w:type="dxa"/>
              </w:tblCellMar>
            </w:tblPr>
            <w:tblGrid>
              <w:gridCol w:w="1101"/>
              <w:gridCol w:w="2195"/>
              <w:gridCol w:w="1095"/>
              <w:gridCol w:w="1488"/>
              <w:gridCol w:w="1167"/>
              <w:gridCol w:w="896"/>
            </w:tblGrid>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40" w:hRule="atLeast"/>
              </w:trPr>
              <w:tc>
                <w:tcPr>
                  <w:tcW w:w="693"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类型</w:t>
                  </w:r>
                </w:p>
              </w:tc>
              <w:tc>
                <w:tcPr>
                  <w:tcW w:w="1381"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名称</w:t>
                  </w:r>
                </w:p>
              </w:tc>
              <w:tc>
                <w:tcPr>
                  <w:tcW w:w="689"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规格型号</w:t>
                  </w:r>
                </w:p>
              </w:tc>
              <w:tc>
                <w:tcPr>
                  <w:tcW w:w="936" w:type="pct"/>
                  <w:tcBorders>
                    <w:right w:val="single" w:color="auto" w:sz="4" w:space="0"/>
                  </w:tcBorders>
                  <w:vAlign w:val="center"/>
                </w:tcPr>
                <w:p>
                  <w:pPr>
                    <w:pStyle w:val="49"/>
                    <w:spacing w:line="240" w:lineRule="auto"/>
                    <w:rPr>
                      <w:rFonts w:eastAsia="宋体"/>
                      <w:color w:val="auto"/>
                      <w:sz w:val="21"/>
                      <w:szCs w:val="21"/>
                      <w:highlight w:val="none"/>
                    </w:rPr>
                  </w:pPr>
                  <w:r>
                    <w:rPr>
                      <w:rFonts w:eastAsia="宋体"/>
                      <w:color w:val="auto"/>
                      <w:sz w:val="21"/>
                      <w:szCs w:val="21"/>
                      <w:highlight w:val="none"/>
                    </w:rPr>
                    <w:t>数量（台/套）</w:t>
                  </w:r>
                </w:p>
              </w:tc>
              <w:tc>
                <w:tcPr>
                  <w:tcW w:w="734" w:type="pct"/>
                  <w:tcBorders>
                    <w:left w:val="single" w:color="auto" w:sz="4" w:space="0"/>
                  </w:tcBorders>
                  <w:vAlign w:val="center"/>
                </w:tcPr>
                <w:p>
                  <w:pPr>
                    <w:pStyle w:val="49"/>
                    <w:spacing w:line="240" w:lineRule="auto"/>
                    <w:rPr>
                      <w:rFonts w:eastAsia="宋体"/>
                      <w:color w:val="auto"/>
                      <w:sz w:val="21"/>
                      <w:szCs w:val="21"/>
                      <w:highlight w:val="none"/>
                    </w:rPr>
                  </w:pPr>
                  <w:r>
                    <w:rPr>
                      <w:rFonts w:hint="eastAsia" w:eastAsia="宋体"/>
                      <w:color w:val="auto"/>
                      <w:sz w:val="21"/>
                      <w:szCs w:val="21"/>
                      <w:highlight w:val="none"/>
                    </w:rPr>
                    <w:t>所在工序</w:t>
                  </w:r>
                </w:p>
              </w:tc>
              <w:tc>
                <w:tcPr>
                  <w:tcW w:w="564"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产地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40" w:hRule="atLeast"/>
              </w:trPr>
              <w:tc>
                <w:tcPr>
                  <w:tcW w:w="693" w:type="pct"/>
                  <w:vMerge w:val="restart"/>
                  <w:vAlign w:val="center"/>
                </w:tcPr>
                <w:p>
                  <w:pPr>
                    <w:pStyle w:val="49"/>
                    <w:spacing w:line="240" w:lineRule="auto"/>
                    <w:rPr>
                      <w:rFonts w:eastAsia="宋体"/>
                      <w:b w:val="0"/>
                      <w:bCs/>
                      <w:color w:val="auto"/>
                      <w:sz w:val="21"/>
                      <w:szCs w:val="21"/>
                      <w:highlight w:val="none"/>
                    </w:rPr>
                  </w:pPr>
                  <w:r>
                    <w:rPr>
                      <w:rFonts w:eastAsia="宋体"/>
                      <w:b w:val="0"/>
                      <w:bCs/>
                      <w:color w:val="auto"/>
                      <w:sz w:val="21"/>
                      <w:szCs w:val="21"/>
                      <w:highlight w:val="none"/>
                    </w:rPr>
                    <w:t>生产设备</w:t>
                  </w:r>
                </w:p>
              </w:tc>
              <w:tc>
                <w:tcPr>
                  <w:tcW w:w="1381" w:type="pct"/>
                  <w:vAlign w:val="center"/>
                </w:tcPr>
                <w:p>
                  <w:pPr>
                    <w:widowControl/>
                    <w:spacing w:line="240" w:lineRule="auto"/>
                    <w:jc w:val="center"/>
                    <w:textAlignment w:val="center"/>
                    <w:rPr>
                      <w:rFonts w:ascii="Times New Roman" w:hAnsi="Times New Roman" w:eastAsia="宋体" w:cs="Times New Roman"/>
                      <w:bCs/>
                      <w:color w:val="auto"/>
                      <w:kern w:val="2"/>
                      <w:sz w:val="21"/>
                      <w:szCs w:val="21"/>
                      <w:highlight w:val="none"/>
                      <w:lang w:val="en-US" w:eastAsia="zh-CN" w:bidi="ar-SA"/>
                    </w:rPr>
                  </w:pPr>
                  <w:r>
                    <w:rPr>
                      <w:rFonts w:hint="eastAsia"/>
                      <w:bCs/>
                      <w:color w:val="auto"/>
                      <w:sz w:val="21"/>
                      <w:szCs w:val="21"/>
                      <w:highlight w:val="none"/>
                    </w:rPr>
                    <w:t>挤出成型机</w:t>
                  </w:r>
                </w:p>
              </w:tc>
              <w:tc>
                <w:tcPr>
                  <w:tcW w:w="689" w:type="pct"/>
                  <w:vAlign w:val="center"/>
                </w:tcPr>
                <w:p>
                  <w:pPr>
                    <w:widowControl/>
                    <w:spacing w:line="240" w:lineRule="auto"/>
                    <w:jc w:val="center"/>
                    <w:textAlignment w:val="center"/>
                    <w:rPr>
                      <w:rFonts w:ascii="Times New Roman" w:hAnsi="Times New Roman" w:eastAsia="宋体" w:cs="Times New Roman"/>
                      <w:bCs/>
                      <w:color w:val="auto"/>
                      <w:kern w:val="2"/>
                      <w:sz w:val="21"/>
                      <w:szCs w:val="21"/>
                      <w:highlight w:val="none"/>
                      <w:lang w:val="en-US" w:eastAsia="zh-CN" w:bidi="ar-SA"/>
                    </w:rPr>
                  </w:pPr>
                  <w:r>
                    <w:rPr>
                      <w:rFonts w:hint="eastAsia"/>
                      <w:bCs/>
                      <w:color w:val="auto"/>
                      <w:sz w:val="21"/>
                      <w:szCs w:val="21"/>
                      <w:highlight w:val="none"/>
                    </w:rPr>
                    <w:t>/</w:t>
                  </w:r>
                </w:p>
              </w:tc>
              <w:tc>
                <w:tcPr>
                  <w:tcW w:w="936" w:type="pct"/>
                  <w:tcBorders>
                    <w:right w:val="single" w:color="auto" w:sz="4" w:space="0"/>
                  </w:tcBorders>
                  <w:vAlign w:val="center"/>
                </w:tcPr>
                <w:p>
                  <w:pPr>
                    <w:widowControl/>
                    <w:spacing w:line="240" w:lineRule="auto"/>
                    <w:jc w:val="center"/>
                    <w:textAlignment w:val="center"/>
                    <w:rPr>
                      <w:bCs/>
                      <w:color w:val="auto"/>
                      <w:kern w:val="0"/>
                      <w:sz w:val="21"/>
                      <w:szCs w:val="21"/>
                      <w:highlight w:val="none"/>
                    </w:rPr>
                  </w:pPr>
                  <w:r>
                    <w:rPr>
                      <w:rFonts w:hint="eastAsia"/>
                      <w:bCs/>
                      <w:color w:val="auto"/>
                      <w:kern w:val="0"/>
                      <w:sz w:val="21"/>
                      <w:szCs w:val="21"/>
                      <w:highlight w:val="none"/>
                    </w:rPr>
                    <w:t>2</w:t>
                  </w:r>
                </w:p>
              </w:tc>
              <w:tc>
                <w:tcPr>
                  <w:tcW w:w="734" w:type="pct"/>
                  <w:tcBorders>
                    <w:left w:val="single" w:color="auto" w:sz="4" w:space="0"/>
                  </w:tcBorders>
                  <w:vAlign w:val="center"/>
                </w:tcPr>
                <w:p>
                  <w:pPr>
                    <w:spacing w:line="240" w:lineRule="auto"/>
                    <w:jc w:val="center"/>
                    <w:rPr>
                      <w:bCs/>
                      <w:color w:val="auto"/>
                      <w:kern w:val="0"/>
                      <w:sz w:val="21"/>
                      <w:szCs w:val="21"/>
                      <w:highlight w:val="none"/>
                    </w:rPr>
                  </w:pPr>
                  <w:r>
                    <w:rPr>
                      <w:rFonts w:hint="eastAsia"/>
                      <w:bCs/>
                      <w:color w:val="auto"/>
                      <w:kern w:val="0"/>
                      <w:sz w:val="21"/>
                      <w:szCs w:val="21"/>
                      <w:highlight w:val="none"/>
                    </w:rPr>
                    <w:t>成型</w:t>
                  </w:r>
                </w:p>
              </w:tc>
              <w:tc>
                <w:tcPr>
                  <w:tcW w:w="564" w:type="pct"/>
                  <w:vAlign w:val="center"/>
                </w:tcPr>
                <w:p>
                  <w:pPr>
                    <w:spacing w:line="240" w:lineRule="auto"/>
                    <w:jc w:val="center"/>
                    <w:rPr>
                      <w:bCs/>
                      <w:color w:val="auto"/>
                      <w:sz w:val="21"/>
                      <w:szCs w:val="21"/>
                      <w:highlight w:val="none"/>
                    </w:rPr>
                  </w:pPr>
                  <w:r>
                    <w:rPr>
                      <w:bCs/>
                      <w:color w:val="auto"/>
                      <w:sz w:val="21"/>
                      <w:szCs w:val="21"/>
                      <w:highlight w:val="none"/>
                    </w:rPr>
                    <w:t>国产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40" w:hRule="atLeast"/>
              </w:trPr>
              <w:tc>
                <w:tcPr>
                  <w:tcW w:w="693" w:type="pct"/>
                  <w:vMerge w:val="continue"/>
                  <w:vAlign w:val="center"/>
                </w:tcPr>
                <w:p>
                  <w:pPr>
                    <w:pStyle w:val="49"/>
                    <w:spacing w:line="240" w:lineRule="auto"/>
                    <w:rPr>
                      <w:rFonts w:eastAsia="宋体"/>
                      <w:b w:val="0"/>
                      <w:bCs/>
                      <w:color w:val="auto"/>
                      <w:sz w:val="21"/>
                      <w:szCs w:val="21"/>
                      <w:highlight w:val="none"/>
                    </w:rPr>
                  </w:pPr>
                </w:p>
              </w:tc>
              <w:tc>
                <w:tcPr>
                  <w:tcW w:w="1381" w:type="pct"/>
                  <w:vAlign w:val="center"/>
                </w:tcPr>
                <w:p>
                  <w:pPr>
                    <w:widowControl/>
                    <w:spacing w:line="240" w:lineRule="auto"/>
                    <w:jc w:val="center"/>
                    <w:textAlignment w:val="center"/>
                    <w:rPr>
                      <w:bCs/>
                      <w:color w:val="auto"/>
                      <w:sz w:val="21"/>
                      <w:szCs w:val="21"/>
                      <w:highlight w:val="none"/>
                    </w:rPr>
                  </w:pPr>
                  <w:r>
                    <w:rPr>
                      <w:rFonts w:hint="eastAsia"/>
                      <w:bCs/>
                      <w:color w:val="auto"/>
                      <w:sz w:val="21"/>
                      <w:szCs w:val="21"/>
                      <w:highlight w:val="none"/>
                    </w:rPr>
                    <w:t>修边机</w:t>
                  </w:r>
                </w:p>
              </w:tc>
              <w:tc>
                <w:tcPr>
                  <w:tcW w:w="689" w:type="pct"/>
                  <w:vAlign w:val="center"/>
                </w:tcPr>
                <w:p>
                  <w:pPr>
                    <w:widowControl/>
                    <w:spacing w:line="240" w:lineRule="auto"/>
                    <w:jc w:val="center"/>
                    <w:textAlignment w:val="center"/>
                    <w:rPr>
                      <w:bCs/>
                      <w:color w:val="auto"/>
                      <w:sz w:val="21"/>
                      <w:szCs w:val="21"/>
                      <w:highlight w:val="none"/>
                    </w:rPr>
                  </w:pPr>
                  <w:r>
                    <w:rPr>
                      <w:rFonts w:hint="eastAsia"/>
                      <w:bCs/>
                      <w:color w:val="auto"/>
                      <w:sz w:val="21"/>
                      <w:szCs w:val="21"/>
                      <w:highlight w:val="none"/>
                    </w:rPr>
                    <w:t>/</w:t>
                  </w:r>
                </w:p>
              </w:tc>
              <w:tc>
                <w:tcPr>
                  <w:tcW w:w="936" w:type="pct"/>
                  <w:tcBorders>
                    <w:right w:val="single" w:color="auto" w:sz="4" w:space="0"/>
                  </w:tcBorders>
                  <w:vAlign w:val="center"/>
                </w:tcPr>
                <w:p>
                  <w:pPr>
                    <w:widowControl/>
                    <w:spacing w:line="240" w:lineRule="auto"/>
                    <w:jc w:val="center"/>
                    <w:textAlignment w:val="center"/>
                    <w:rPr>
                      <w:bCs/>
                      <w:color w:val="auto"/>
                      <w:kern w:val="0"/>
                      <w:sz w:val="21"/>
                      <w:szCs w:val="21"/>
                      <w:highlight w:val="none"/>
                    </w:rPr>
                  </w:pPr>
                  <w:r>
                    <w:rPr>
                      <w:rFonts w:hint="eastAsia"/>
                      <w:bCs/>
                      <w:color w:val="auto"/>
                      <w:kern w:val="0"/>
                      <w:sz w:val="21"/>
                      <w:szCs w:val="21"/>
                      <w:highlight w:val="none"/>
                    </w:rPr>
                    <w:t>2</w:t>
                  </w:r>
                </w:p>
              </w:tc>
              <w:tc>
                <w:tcPr>
                  <w:tcW w:w="734" w:type="pct"/>
                  <w:tcBorders>
                    <w:left w:val="single" w:color="auto" w:sz="4" w:space="0"/>
                  </w:tcBorders>
                  <w:vAlign w:val="center"/>
                </w:tcPr>
                <w:p>
                  <w:pPr>
                    <w:spacing w:line="240" w:lineRule="auto"/>
                    <w:jc w:val="center"/>
                    <w:rPr>
                      <w:bCs/>
                      <w:color w:val="auto"/>
                      <w:kern w:val="0"/>
                      <w:sz w:val="21"/>
                      <w:szCs w:val="21"/>
                      <w:highlight w:val="none"/>
                    </w:rPr>
                  </w:pPr>
                  <w:r>
                    <w:rPr>
                      <w:rFonts w:hint="eastAsia"/>
                      <w:bCs/>
                      <w:color w:val="auto"/>
                      <w:kern w:val="0"/>
                      <w:sz w:val="21"/>
                      <w:szCs w:val="21"/>
                      <w:highlight w:val="none"/>
                    </w:rPr>
                    <w:t>修边</w:t>
                  </w:r>
                </w:p>
              </w:tc>
              <w:tc>
                <w:tcPr>
                  <w:tcW w:w="564" w:type="pct"/>
                  <w:vAlign w:val="center"/>
                </w:tcPr>
                <w:p>
                  <w:pPr>
                    <w:spacing w:line="240" w:lineRule="auto"/>
                    <w:jc w:val="center"/>
                    <w:rPr>
                      <w:bCs/>
                      <w:color w:val="auto"/>
                      <w:sz w:val="21"/>
                      <w:szCs w:val="21"/>
                      <w:highlight w:val="none"/>
                    </w:rPr>
                  </w:pPr>
                  <w:r>
                    <w:rPr>
                      <w:bCs/>
                      <w:color w:val="auto"/>
                      <w:sz w:val="21"/>
                      <w:szCs w:val="21"/>
                      <w:highlight w:val="none"/>
                    </w:rPr>
                    <w:t>国产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40" w:hRule="atLeast"/>
              </w:trPr>
              <w:tc>
                <w:tcPr>
                  <w:tcW w:w="693" w:type="pct"/>
                  <w:vMerge w:val="continue"/>
                  <w:vAlign w:val="center"/>
                </w:tcPr>
                <w:p>
                  <w:pPr>
                    <w:pStyle w:val="49"/>
                    <w:spacing w:line="240" w:lineRule="auto"/>
                    <w:rPr>
                      <w:rFonts w:eastAsia="宋体"/>
                      <w:b w:val="0"/>
                      <w:bCs/>
                      <w:color w:val="auto"/>
                      <w:sz w:val="21"/>
                      <w:szCs w:val="21"/>
                      <w:highlight w:val="none"/>
                    </w:rPr>
                  </w:pPr>
                </w:p>
              </w:tc>
              <w:tc>
                <w:tcPr>
                  <w:tcW w:w="1381" w:type="pct"/>
                  <w:vAlign w:val="center"/>
                </w:tcPr>
                <w:p>
                  <w:pPr>
                    <w:widowControl/>
                    <w:spacing w:line="240" w:lineRule="auto"/>
                    <w:jc w:val="center"/>
                    <w:textAlignment w:val="center"/>
                    <w:rPr>
                      <w:bCs/>
                      <w:color w:val="auto"/>
                      <w:sz w:val="21"/>
                      <w:szCs w:val="21"/>
                      <w:highlight w:val="none"/>
                    </w:rPr>
                  </w:pPr>
                  <w:r>
                    <w:rPr>
                      <w:rFonts w:hint="eastAsia"/>
                      <w:bCs/>
                      <w:color w:val="auto"/>
                      <w:sz w:val="21"/>
                      <w:szCs w:val="21"/>
                      <w:highlight w:val="none"/>
                    </w:rPr>
                    <w:t>压花机</w:t>
                  </w:r>
                </w:p>
              </w:tc>
              <w:tc>
                <w:tcPr>
                  <w:tcW w:w="689" w:type="pct"/>
                  <w:vAlign w:val="center"/>
                </w:tcPr>
                <w:p>
                  <w:pPr>
                    <w:widowControl/>
                    <w:spacing w:line="240" w:lineRule="auto"/>
                    <w:jc w:val="center"/>
                    <w:textAlignment w:val="center"/>
                    <w:rPr>
                      <w:bCs/>
                      <w:color w:val="auto"/>
                      <w:sz w:val="21"/>
                      <w:szCs w:val="21"/>
                      <w:highlight w:val="none"/>
                    </w:rPr>
                  </w:pPr>
                  <w:r>
                    <w:rPr>
                      <w:rFonts w:hint="eastAsia"/>
                      <w:bCs/>
                      <w:color w:val="auto"/>
                      <w:sz w:val="21"/>
                      <w:szCs w:val="21"/>
                      <w:highlight w:val="none"/>
                    </w:rPr>
                    <w:t>/</w:t>
                  </w:r>
                </w:p>
              </w:tc>
              <w:tc>
                <w:tcPr>
                  <w:tcW w:w="936" w:type="pct"/>
                  <w:tcBorders>
                    <w:right w:val="single" w:color="auto" w:sz="4" w:space="0"/>
                  </w:tcBorders>
                  <w:vAlign w:val="center"/>
                </w:tcPr>
                <w:p>
                  <w:pPr>
                    <w:widowControl/>
                    <w:spacing w:line="240" w:lineRule="auto"/>
                    <w:jc w:val="center"/>
                    <w:textAlignment w:val="center"/>
                    <w:rPr>
                      <w:bCs/>
                      <w:color w:val="auto"/>
                      <w:kern w:val="0"/>
                      <w:sz w:val="21"/>
                      <w:szCs w:val="21"/>
                      <w:highlight w:val="none"/>
                    </w:rPr>
                  </w:pPr>
                  <w:r>
                    <w:rPr>
                      <w:rFonts w:hint="eastAsia"/>
                      <w:bCs/>
                      <w:color w:val="auto"/>
                      <w:kern w:val="0"/>
                      <w:sz w:val="21"/>
                      <w:szCs w:val="21"/>
                      <w:highlight w:val="none"/>
                    </w:rPr>
                    <w:t>2</w:t>
                  </w:r>
                </w:p>
              </w:tc>
              <w:tc>
                <w:tcPr>
                  <w:tcW w:w="734" w:type="pct"/>
                  <w:tcBorders>
                    <w:left w:val="single" w:color="auto" w:sz="4" w:space="0"/>
                  </w:tcBorders>
                  <w:vAlign w:val="center"/>
                </w:tcPr>
                <w:p>
                  <w:pPr>
                    <w:spacing w:line="240" w:lineRule="auto"/>
                    <w:jc w:val="center"/>
                    <w:rPr>
                      <w:bCs/>
                      <w:color w:val="auto"/>
                      <w:kern w:val="0"/>
                      <w:sz w:val="21"/>
                      <w:szCs w:val="21"/>
                      <w:highlight w:val="none"/>
                    </w:rPr>
                  </w:pPr>
                  <w:r>
                    <w:rPr>
                      <w:rFonts w:hint="eastAsia"/>
                      <w:bCs/>
                      <w:color w:val="auto"/>
                      <w:kern w:val="0"/>
                      <w:sz w:val="21"/>
                      <w:szCs w:val="21"/>
                      <w:highlight w:val="none"/>
                    </w:rPr>
                    <w:t>压花</w:t>
                  </w:r>
                </w:p>
              </w:tc>
              <w:tc>
                <w:tcPr>
                  <w:tcW w:w="564" w:type="pct"/>
                  <w:vAlign w:val="center"/>
                </w:tcPr>
                <w:p>
                  <w:pPr>
                    <w:spacing w:line="240" w:lineRule="auto"/>
                    <w:jc w:val="center"/>
                    <w:rPr>
                      <w:bCs/>
                      <w:color w:val="auto"/>
                      <w:sz w:val="21"/>
                      <w:szCs w:val="21"/>
                      <w:highlight w:val="none"/>
                    </w:rPr>
                  </w:pPr>
                  <w:r>
                    <w:rPr>
                      <w:bCs/>
                      <w:color w:val="auto"/>
                      <w:sz w:val="21"/>
                      <w:szCs w:val="21"/>
                      <w:highlight w:val="none"/>
                    </w:rPr>
                    <w:t>国产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40" w:hRule="atLeast"/>
              </w:trPr>
              <w:tc>
                <w:tcPr>
                  <w:tcW w:w="693" w:type="pct"/>
                  <w:vMerge w:val="continue"/>
                  <w:vAlign w:val="center"/>
                </w:tcPr>
                <w:p>
                  <w:pPr>
                    <w:pStyle w:val="49"/>
                    <w:spacing w:line="240" w:lineRule="auto"/>
                    <w:rPr>
                      <w:rFonts w:eastAsia="宋体"/>
                      <w:b w:val="0"/>
                      <w:bCs/>
                      <w:color w:val="auto"/>
                      <w:sz w:val="21"/>
                      <w:szCs w:val="21"/>
                      <w:highlight w:val="none"/>
                    </w:rPr>
                  </w:pPr>
                </w:p>
              </w:tc>
              <w:tc>
                <w:tcPr>
                  <w:tcW w:w="1381" w:type="pct"/>
                  <w:vAlign w:val="center"/>
                </w:tcPr>
                <w:p>
                  <w:pPr>
                    <w:widowControl/>
                    <w:spacing w:line="240" w:lineRule="auto"/>
                    <w:jc w:val="center"/>
                    <w:textAlignment w:val="center"/>
                    <w:rPr>
                      <w:bCs/>
                      <w:color w:val="auto"/>
                      <w:sz w:val="21"/>
                      <w:szCs w:val="21"/>
                      <w:highlight w:val="none"/>
                    </w:rPr>
                  </w:pPr>
                  <w:r>
                    <w:rPr>
                      <w:rFonts w:hint="eastAsia"/>
                      <w:bCs/>
                      <w:color w:val="auto"/>
                      <w:sz w:val="21"/>
                      <w:szCs w:val="21"/>
                      <w:highlight w:val="none"/>
                    </w:rPr>
                    <w:t>分切机</w:t>
                  </w:r>
                </w:p>
              </w:tc>
              <w:tc>
                <w:tcPr>
                  <w:tcW w:w="689" w:type="pct"/>
                  <w:vAlign w:val="center"/>
                </w:tcPr>
                <w:p>
                  <w:pPr>
                    <w:widowControl/>
                    <w:spacing w:line="240" w:lineRule="auto"/>
                    <w:jc w:val="center"/>
                    <w:textAlignment w:val="center"/>
                    <w:rPr>
                      <w:bCs/>
                      <w:color w:val="auto"/>
                      <w:sz w:val="21"/>
                      <w:szCs w:val="21"/>
                      <w:highlight w:val="none"/>
                    </w:rPr>
                  </w:pPr>
                  <w:r>
                    <w:rPr>
                      <w:rFonts w:hint="eastAsia"/>
                      <w:bCs/>
                      <w:color w:val="auto"/>
                      <w:sz w:val="21"/>
                      <w:szCs w:val="21"/>
                      <w:highlight w:val="none"/>
                    </w:rPr>
                    <w:t>/</w:t>
                  </w:r>
                </w:p>
              </w:tc>
              <w:tc>
                <w:tcPr>
                  <w:tcW w:w="936" w:type="pct"/>
                  <w:tcBorders>
                    <w:right w:val="single" w:color="auto" w:sz="4" w:space="0"/>
                  </w:tcBorders>
                  <w:vAlign w:val="center"/>
                </w:tcPr>
                <w:p>
                  <w:pPr>
                    <w:widowControl/>
                    <w:spacing w:line="240" w:lineRule="auto"/>
                    <w:jc w:val="center"/>
                    <w:textAlignment w:val="center"/>
                    <w:rPr>
                      <w:bCs/>
                      <w:color w:val="auto"/>
                      <w:kern w:val="0"/>
                      <w:sz w:val="21"/>
                      <w:szCs w:val="21"/>
                      <w:highlight w:val="none"/>
                    </w:rPr>
                  </w:pPr>
                  <w:r>
                    <w:rPr>
                      <w:rFonts w:hint="eastAsia"/>
                      <w:bCs/>
                      <w:color w:val="auto"/>
                      <w:kern w:val="0"/>
                      <w:sz w:val="21"/>
                      <w:szCs w:val="21"/>
                      <w:highlight w:val="none"/>
                    </w:rPr>
                    <w:t>2</w:t>
                  </w:r>
                </w:p>
              </w:tc>
              <w:tc>
                <w:tcPr>
                  <w:tcW w:w="734" w:type="pct"/>
                  <w:tcBorders>
                    <w:left w:val="single" w:color="auto" w:sz="4" w:space="0"/>
                  </w:tcBorders>
                  <w:vAlign w:val="center"/>
                </w:tcPr>
                <w:p>
                  <w:pPr>
                    <w:spacing w:line="240" w:lineRule="auto"/>
                    <w:jc w:val="center"/>
                    <w:rPr>
                      <w:bCs/>
                      <w:color w:val="auto"/>
                      <w:kern w:val="0"/>
                      <w:sz w:val="21"/>
                      <w:szCs w:val="21"/>
                      <w:highlight w:val="none"/>
                    </w:rPr>
                  </w:pPr>
                  <w:r>
                    <w:rPr>
                      <w:rFonts w:hint="eastAsia"/>
                      <w:bCs/>
                      <w:color w:val="auto"/>
                      <w:kern w:val="0"/>
                      <w:sz w:val="21"/>
                      <w:szCs w:val="21"/>
                      <w:highlight w:val="none"/>
                    </w:rPr>
                    <w:t>切割</w:t>
                  </w:r>
                </w:p>
              </w:tc>
              <w:tc>
                <w:tcPr>
                  <w:tcW w:w="564" w:type="pct"/>
                  <w:vAlign w:val="center"/>
                </w:tcPr>
                <w:p>
                  <w:pPr>
                    <w:spacing w:line="240" w:lineRule="auto"/>
                    <w:jc w:val="center"/>
                    <w:rPr>
                      <w:bCs/>
                      <w:color w:val="auto"/>
                      <w:sz w:val="21"/>
                      <w:szCs w:val="21"/>
                      <w:highlight w:val="none"/>
                    </w:rPr>
                  </w:pPr>
                  <w:r>
                    <w:rPr>
                      <w:bCs/>
                      <w:color w:val="auto"/>
                      <w:sz w:val="21"/>
                      <w:szCs w:val="21"/>
                      <w:highlight w:val="none"/>
                    </w:rPr>
                    <w:t>国产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40" w:hRule="atLeast"/>
              </w:trPr>
              <w:tc>
                <w:tcPr>
                  <w:tcW w:w="693" w:type="pct"/>
                  <w:vMerge w:val="continue"/>
                  <w:vAlign w:val="center"/>
                </w:tcPr>
                <w:p>
                  <w:pPr>
                    <w:pStyle w:val="49"/>
                    <w:spacing w:line="240" w:lineRule="auto"/>
                    <w:rPr>
                      <w:rFonts w:eastAsia="宋体"/>
                      <w:b w:val="0"/>
                      <w:bCs/>
                      <w:color w:val="auto"/>
                      <w:sz w:val="21"/>
                      <w:szCs w:val="21"/>
                      <w:highlight w:val="none"/>
                    </w:rPr>
                  </w:pPr>
                </w:p>
              </w:tc>
              <w:tc>
                <w:tcPr>
                  <w:tcW w:w="1381" w:type="pct"/>
                  <w:vAlign w:val="center"/>
                </w:tcPr>
                <w:p>
                  <w:pPr>
                    <w:widowControl/>
                    <w:spacing w:line="240" w:lineRule="auto"/>
                    <w:jc w:val="center"/>
                    <w:textAlignment w:val="center"/>
                    <w:rPr>
                      <w:bCs/>
                      <w:color w:val="auto"/>
                      <w:sz w:val="21"/>
                      <w:szCs w:val="21"/>
                      <w:highlight w:val="none"/>
                    </w:rPr>
                  </w:pPr>
                  <w:r>
                    <w:rPr>
                      <w:rFonts w:hint="eastAsia"/>
                      <w:bCs/>
                      <w:color w:val="auto"/>
                      <w:sz w:val="21"/>
                      <w:szCs w:val="21"/>
                      <w:highlight w:val="none"/>
                    </w:rPr>
                    <w:t>粉碎机</w:t>
                  </w:r>
                </w:p>
              </w:tc>
              <w:tc>
                <w:tcPr>
                  <w:tcW w:w="689" w:type="pct"/>
                  <w:vAlign w:val="center"/>
                </w:tcPr>
                <w:p>
                  <w:pPr>
                    <w:widowControl/>
                    <w:spacing w:line="240" w:lineRule="auto"/>
                    <w:jc w:val="center"/>
                    <w:textAlignment w:val="center"/>
                    <w:rPr>
                      <w:bCs/>
                      <w:color w:val="auto"/>
                      <w:sz w:val="21"/>
                      <w:szCs w:val="21"/>
                      <w:highlight w:val="none"/>
                    </w:rPr>
                  </w:pPr>
                  <w:r>
                    <w:rPr>
                      <w:rFonts w:hint="eastAsia"/>
                      <w:bCs/>
                      <w:color w:val="auto"/>
                      <w:sz w:val="21"/>
                      <w:szCs w:val="21"/>
                      <w:highlight w:val="none"/>
                    </w:rPr>
                    <w:t>/</w:t>
                  </w:r>
                </w:p>
              </w:tc>
              <w:tc>
                <w:tcPr>
                  <w:tcW w:w="936" w:type="pct"/>
                  <w:tcBorders>
                    <w:right w:val="single" w:color="auto" w:sz="4" w:space="0"/>
                  </w:tcBorders>
                  <w:vAlign w:val="center"/>
                </w:tcPr>
                <w:p>
                  <w:pPr>
                    <w:widowControl/>
                    <w:spacing w:line="240" w:lineRule="auto"/>
                    <w:jc w:val="center"/>
                    <w:textAlignment w:val="center"/>
                    <w:rPr>
                      <w:bCs/>
                      <w:color w:val="auto"/>
                      <w:kern w:val="0"/>
                      <w:sz w:val="21"/>
                      <w:szCs w:val="21"/>
                      <w:highlight w:val="none"/>
                    </w:rPr>
                  </w:pPr>
                  <w:r>
                    <w:rPr>
                      <w:rFonts w:hint="eastAsia"/>
                      <w:bCs/>
                      <w:color w:val="auto"/>
                      <w:kern w:val="0"/>
                      <w:sz w:val="21"/>
                      <w:szCs w:val="21"/>
                      <w:highlight w:val="none"/>
                    </w:rPr>
                    <w:t>1</w:t>
                  </w:r>
                </w:p>
              </w:tc>
              <w:tc>
                <w:tcPr>
                  <w:tcW w:w="734" w:type="pct"/>
                  <w:tcBorders>
                    <w:left w:val="single" w:color="auto" w:sz="4" w:space="0"/>
                  </w:tcBorders>
                  <w:vAlign w:val="center"/>
                </w:tcPr>
                <w:p>
                  <w:pPr>
                    <w:spacing w:line="240" w:lineRule="auto"/>
                    <w:jc w:val="center"/>
                    <w:rPr>
                      <w:bCs/>
                      <w:color w:val="auto"/>
                      <w:kern w:val="0"/>
                      <w:sz w:val="21"/>
                      <w:szCs w:val="21"/>
                      <w:highlight w:val="none"/>
                    </w:rPr>
                  </w:pPr>
                  <w:r>
                    <w:rPr>
                      <w:rFonts w:hint="eastAsia"/>
                      <w:bCs/>
                      <w:color w:val="auto"/>
                      <w:kern w:val="0"/>
                      <w:sz w:val="21"/>
                      <w:szCs w:val="21"/>
                      <w:highlight w:val="none"/>
                    </w:rPr>
                    <w:t>破碎</w:t>
                  </w:r>
                </w:p>
              </w:tc>
              <w:tc>
                <w:tcPr>
                  <w:tcW w:w="564" w:type="pct"/>
                  <w:vAlign w:val="center"/>
                </w:tcPr>
                <w:p>
                  <w:pPr>
                    <w:spacing w:line="240" w:lineRule="auto"/>
                    <w:jc w:val="center"/>
                    <w:rPr>
                      <w:bCs/>
                      <w:color w:val="auto"/>
                      <w:sz w:val="21"/>
                      <w:szCs w:val="21"/>
                      <w:highlight w:val="none"/>
                    </w:rPr>
                  </w:pPr>
                  <w:r>
                    <w:rPr>
                      <w:bCs/>
                      <w:color w:val="auto"/>
                      <w:sz w:val="21"/>
                      <w:szCs w:val="21"/>
                      <w:highlight w:val="none"/>
                    </w:rPr>
                    <w:t>国产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40" w:hRule="atLeast"/>
              </w:trPr>
              <w:tc>
                <w:tcPr>
                  <w:tcW w:w="693" w:type="pct"/>
                  <w:vMerge w:val="restart"/>
                  <w:vAlign w:val="center"/>
                </w:tcPr>
                <w:p>
                  <w:pPr>
                    <w:pStyle w:val="49"/>
                    <w:spacing w:line="240" w:lineRule="auto"/>
                    <w:rPr>
                      <w:rFonts w:eastAsia="宋体"/>
                      <w:b w:val="0"/>
                      <w:bCs/>
                      <w:color w:val="auto"/>
                      <w:sz w:val="21"/>
                      <w:szCs w:val="21"/>
                      <w:highlight w:val="none"/>
                    </w:rPr>
                  </w:pPr>
                  <w:r>
                    <w:rPr>
                      <w:rFonts w:eastAsia="宋体"/>
                      <w:b w:val="0"/>
                      <w:bCs/>
                      <w:color w:val="auto"/>
                      <w:sz w:val="21"/>
                      <w:szCs w:val="21"/>
                      <w:highlight w:val="none"/>
                    </w:rPr>
                    <w:t>辅助设备</w:t>
                  </w:r>
                </w:p>
              </w:tc>
              <w:tc>
                <w:tcPr>
                  <w:tcW w:w="1381" w:type="pct"/>
                  <w:vAlign w:val="center"/>
                </w:tcPr>
                <w:p>
                  <w:pPr>
                    <w:widowControl/>
                    <w:spacing w:line="240" w:lineRule="auto"/>
                    <w:jc w:val="center"/>
                    <w:textAlignment w:val="center"/>
                    <w:rPr>
                      <w:bCs/>
                      <w:color w:val="auto"/>
                      <w:sz w:val="21"/>
                      <w:szCs w:val="21"/>
                      <w:highlight w:val="none"/>
                    </w:rPr>
                  </w:pPr>
                  <w:r>
                    <w:rPr>
                      <w:rFonts w:hint="eastAsia" w:ascii="宋体" w:hAnsi="宋体" w:cs="宋体"/>
                      <w:color w:val="auto"/>
                      <w:kern w:val="0"/>
                      <w:sz w:val="21"/>
                      <w:szCs w:val="21"/>
                      <w:highlight w:val="none"/>
                      <w:lang w:bidi="ar"/>
                    </w:rPr>
                    <w:t>风机</w:t>
                  </w:r>
                </w:p>
              </w:tc>
              <w:tc>
                <w:tcPr>
                  <w:tcW w:w="689" w:type="pct"/>
                  <w:vAlign w:val="center"/>
                </w:tcPr>
                <w:p>
                  <w:pPr>
                    <w:widowControl/>
                    <w:spacing w:line="240" w:lineRule="auto"/>
                    <w:jc w:val="center"/>
                    <w:textAlignment w:val="center"/>
                    <w:rPr>
                      <w:bCs/>
                      <w:color w:val="auto"/>
                      <w:sz w:val="21"/>
                      <w:szCs w:val="21"/>
                      <w:highlight w:val="none"/>
                    </w:rPr>
                  </w:pPr>
                  <w:r>
                    <w:rPr>
                      <w:rFonts w:hint="eastAsia"/>
                      <w:color w:val="auto"/>
                      <w:kern w:val="0"/>
                      <w:sz w:val="21"/>
                      <w:szCs w:val="21"/>
                      <w:highlight w:val="none"/>
                      <w:lang w:bidi="ar"/>
                    </w:rPr>
                    <w:t>/</w:t>
                  </w:r>
                </w:p>
              </w:tc>
              <w:tc>
                <w:tcPr>
                  <w:tcW w:w="936" w:type="pct"/>
                  <w:tcBorders>
                    <w:right w:val="single" w:color="auto" w:sz="4" w:space="0"/>
                  </w:tcBorders>
                  <w:vAlign w:val="center"/>
                </w:tcPr>
                <w:p>
                  <w:pPr>
                    <w:widowControl/>
                    <w:spacing w:line="240" w:lineRule="auto"/>
                    <w:jc w:val="center"/>
                    <w:textAlignment w:val="center"/>
                    <w:rPr>
                      <w:bCs/>
                      <w:color w:val="auto"/>
                      <w:kern w:val="0"/>
                      <w:sz w:val="21"/>
                      <w:szCs w:val="21"/>
                      <w:highlight w:val="none"/>
                    </w:rPr>
                  </w:pPr>
                  <w:r>
                    <w:rPr>
                      <w:rFonts w:hint="eastAsia"/>
                      <w:color w:val="auto"/>
                      <w:kern w:val="0"/>
                      <w:sz w:val="21"/>
                      <w:szCs w:val="21"/>
                      <w:highlight w:val="none"/>
                      <w:lang w:bidi="ar"/>
                    </w:rPr>
                    <w:t>2</w:t>
                  </w:r>
                </w:p>
              </w:tc>
              <w:tc>
                <w:tcPr>
                  <w:tcW w:w="734" w:type="pct"/>
                  <w:tcBorders>
                    <w:left w:val="single" w:color="auto" w:sz="4" w:space="0"/>
                  </w:tcBorders>
                  <w:vAlign w:val="center"/>
                </w:tcPr>
                <w:p>
                  <w:pPr>
                    <w:spacing w:line="240" w:lineRule="auto"/>
                    <w:jc w:val="center"/>
                    <w:rPr>
                      <w:bCs/>
                      <w:color w:val="auto"/>
                      <w:kern w:val="0"/>
                      <w:sz w:val="21"/>
                      <w:szCs w:val="21"/>
                      <w:highlight w:val="none"/>
                    </w:rPr>
                  </w:pPr>
                  <w:r>
                    <w:rPr>
                      <w:rFonts w:hint="eastAsia"/>
                      <w:bCs/>
                      <w:color w:val="auto"/>
                      <w:kern w:val="0"/>
                      <w:sz w:val="21"/>
                      <w:szCs w:val="21"/>
                      <w:highlight w:val="none"/>
                    </w:rPr>
                    <w:t>/</w:t>
                  </w:r>
                </w:p>
              </w:tc>
              <w:tc>
                <w:tcPr>
                  <w:tcW w:w="564" w:type="pct"/>
                  <w:vAlign w:val="center"/>
                </w:tcPr>
                <w:p>
                  <w:pPr>
                    <w:spacing w:line="240" w:lineRule="auto"/>
                    <w:jc w:val="center"/>
                    <w:rPr>
                      <w:bCs/>
                      <w:color w:val="auto"/>
                      <w:sz w:val="21"/>
                      <w:szCs w:val="21"/>
                      <w:highlight w:val="none"/>
                    </w:rPr>
                  </w:pPr>
                  <w:r>
                    <w:rPr>
                      <w:bCs/>
                      <w:color w:val="auto"/>
                      <w:sz w:val="21"/>
                      <w:szCs w:val="21"/>
                      <w:highlight w:val="none"/>
                    </w:rPr>
                    <w:t>国产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40" w:hRule="atLeast"/>
              </w:trPr>
              <w:tc>
                <w:tcPr>
                  <w:tcW w:w="693" w:type="pct"/>
                  <w:vMerge w:val="continue"/>
                  <w:vAlign w:val="center"/>
                </w:tcPr>
                <w:p>
                  <w:pPr>
                    <w:pStyle w:val="49"/>
                    <w:spacing w:line="240" w:lineRule="auto"/>
                    <w:rPr>
                      <w:rFonts w:eastAsia="宋体"/>
                      <w:b w:val="0"/>
                      <w:bCs/>
                      <w:color w:val="auto"/>
                      <w:sz w:val="21"/>
                      <w:szCs w:val="21"/>
                      <w:highlight w:val="none"/>
                    </w:rPr>
                  </w:pPr>
                </w:p>
              </w:tc>
              <w:tc>
                <w:tcPr>
                  <w:tcW w:w="1381" w:type="pct"/>
                  <w:vAlign w:val="center"/>
                </w:tcPr>
                <w:p>
                  <w:pPr>
                    <w:widowControl/>
                    <w:spacing w:line="240" w:lineRule="auto"/>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空压机</w:t>
                  </w:r>
                </w:p>
              </w:tc>
              <w:tc>
                <w:tcPr>
                  <w:tcW w:w="689" w:type="pct"/>
                  <w:vAlign w:val="center"/>
                </w:tcPr>
                <w:p>
                  <w:pPr>
                    <w:widowControl/>
                    <w:spacing w:line="240" w:lineRule="auto"/>
                    <w:jc w:val="center"/>
                    <w:textAlignment w:val="center"/>
                    <w:rPr>
                      <w:rFonts w:hint="eastAsia"/>
                      <w:color w:val="auto"/>
                      <w:kern w:val="0"/>
                      <w:sz w:val="21"/>
                      <w:szCs w:val="21"/>
                      <w:highlight w:val="none"/>
                      <w:lang w:bidi="ar"/>
                    </w:rPr>
                  </w:pPr>
                  <w:r>
                    <w:rPr>
                      <w:rFonts w:hint="eastAsia"/>
                      <w:color w:val="auto"/>
                      <w:kern w:val="0"/>
                      <w:sz w:val="21"/>
                      <w:szCs w:val="21"/>
                      <w:highlight w:val="none"/>
                      <w:lang w:bidi="ar"/>
                    </w:rPr>
                    <w:t>/</w:t>
                  </w:r>
                </w:p>
              </w:tc>
              <w:tc>
                <w:tcPr>
                  <w:tcW w:w="936" w:type="pct"/>
                  <w:tcBorders>
                    <w:right w:val="single" w:color="auto" w:sz="4" w:space="0"/>
                  </w:tcBorders>
                  <w:vAlign w:val="center"/>
                </w:tcPr>
                <w:p>
                  <w:pPr>
                    <w:widowControl/>
                    <w:spacing w:line="240" w:lineRule="auto"/>
                    <w:jc w:val="center"/>
                    <w:textAlignment w:val="center"/>
                    <w:rPr>
                      <w:rFonts w:hint="eastAsia" w:eastAsia="宋体"/>
                      <w:color w:val="auto"/>
                      <w:kern w:val="0"/>
                      <w:sz w:val="21"/>
                      <w:szCs w:val="21"/>
                      <w:highlight w:val="none"/>
                      <w:lang w:val="en-US" w:eastAsia="zh-CN" w:bidi="ar"/>
                    </w:rPr>
                  </w:pPr>
                  <w:r>
                    <w:rPr>
                      <w:rFonts w:hint="eastAsia"/>
                      <w:color w:val="auto"/>
                      <w:kern w:val="0"/>
                      <w:sz w:val="21"/>
                      <w:szCs w:val="21"/>
                      <w:highlight w:val="none"/>
                      <w:lang w:val="en-US" w:eastAsia="zh-CN" w:bidi="ar"/>
                    </w:rPr>
                    <w:t>1</w:t>
                  </w:r>
                </w:p>
              </w:tc>
              <w:tc>
                <w:tcPr>
                  <w:tcW w:w="734" w:type="pct"/>
                  <w:tcBorders>
                    <w:left w:val="single" w:color="auto" w:sz="4" w:space="0"/>
                  </w:tcBorders>
                  <w:vAlign w:val="center"/>
                </w:tcPr>
                <w:p>
                  <w:pPr>
                    <w:spacing w:line="240" w:lineRule="auto"/>
                    <w:jc w:val="center"/>
                    <w:rPr>
                      <w:rFonts w:hint="eastAsia" w:ascii="Times New Roman" w:hAnsi="Times New Roman" w:eastAsia="宋体" w:cs="Times New Roman"/>
                      <w:bCs/>
                      <w:color w:val="auto"/>
                      <w:kern w:val="0"/>
                      <w:sz w:val="21"/>
                      <w:szCs w:val="21"/>
                      <w:highlight w:val="none"/>
                      <w:lang w:val="en-US" w:eastAsia="zh-CN" w:bidi="ar-SA"/>
                    </w:rPr>
                  </w:pPr>
                  <w:r>
                    <w:rPr>
                      <w:rFonts w:hint="eastAsia"/>
                      <w:bCs/>
                      <w:color w:val="auto"/>
                      <w:kern w:val="0"/>
                      <w:sz w:val="21"/>
                      <w:szCs w:val="21"/>
                      <w:highlight w:val="none"/>
                    </w:rPr>
                    <w:t>/</w:t>
                  </w:r>
                </w:p>
              </w:tc>
              <w:tc>
                <w:tcPr>
                  <w:tcW w:w="564" w:type="pct"/>
                  <w:vAlign w:val="center"/>
                </w:tcPr>
                <w:p>
                  <w:pPr>
                    <w:spacing w:line="240" w:lineRule="auto"/>
                    <w:jc w:val="center"/>
                    <w:rPr>
                      <w:rFonts w:ascii="Times New Roman" w:hAnsi="Times New Roman" w:eastAsia="宋体" w:cs="Times New Roman"/>
                      <w:bCs/>
                      <w:color w:val="auto"/>
                      <w:kern w:val="2"/>
                      <w:sz w:val="21"/>
                      <w:szCs w:val="21"/>
                      <w:highlight w:val="none"/>
                      <w:lang w:val="en-US" w:eastAsia="zh-CN" w:bidi="ar-SA"/>
                    </w:rPr>
                  </w:pPr>
                  <w:r>
                    <w:rPr>
                      <w:bCs/>
                      <w:color w:val="auto"/>
                      <w:sz w:val="21"/>
                      <w:szCs w:val="21"/>
                      <w:highlight w:val="none"/>
                    </w:rPr>
                    <w:t>国产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40" w:hRule="atLeast"/>
              </w:trPr>
              <w:tc>
                <w:tcPr>
                  <w:tcW w:w="693" w:type="pct"/>
                  <w:vMerge w:val="continue"/>
                  <w:vAlign w:val="center"/>
                </w:tcPr>
                <w:p>
                  <w:pPr>
                    <w:pStyle w:val="49"/>
                    <w:spacing w:line="240" w:lineRule="auto"/>
                    <w:rPr>
                      <w:rFonts w:eastAsia="宋体"/>
                      <w:b w:val="0"/>
                      <w:bCs/>
                      <w:color w:val="auto"/>
                      <w:sz w:val="21"/>
                      <w:szCs w:val="21"/>
                      <w:highlight w:val="none"/>
                    </w:rPr>
                  </w:pPr>
                </w:p>
              </w:tc>
              <w:tc>
                <w:tcPr>
                  <w:tcW w:w="1381" w:type="pct"/>
                  <w:vAlign w:val="center"/>
                </w:tcPr>
                <w:p>
                  <w:pPr>
                    <w:widowControl/>
                    <w:spacing w:line="240" w:lineRule="auto"/>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冷却塔</w:t>
                  </w:r>
                </w:p>
              </w:tc>
              <w:tc>
                <w:tcPr>
                  <w:tcW w:w="689" w:type="pct"/>
                  <w:vAlign w:val="center"/>
                </w:tcPr>
                <w:p>
                  <w:pPr>
                    <w:widowControl/>
                    <w:spacing w:line="240" w:lineRule="auto"/>
                    <w:jc w:val="center"/>
                    <w:textAlignment w:val="center"/>
                    <w:rPr>
                      <w:rFonts w:hint="eastAsia" w:ascii="Times New Roman" w:hAnsi="Times New Roman" w:eastAsia="宋体" w:cs="Times New Roman"/>
                      <w:color w:val="auto"/>
                      <w:kern w:val="0"/>
                      <w:sz w:val="21"/>
                      <w:szCs w:val="21"/>
                      <w:highlight w:val="none"/>
                      <w:lang w:val="en-US" w:eastAsia="zh-CN" w:bidi="ar"/>
                    </w:rPr>
                  </w:pPr>
                  <w:r>
                    <w:rPr>
                      <w:rFonts w:hint="eastAsia"/>
                      <w:color w:val="auto"/>
                      <w:kern w:val="0"/>
                      <w:sz w:val="21"/>
                      <w:szCs w:val="21"/>
                      <w:highlight w:val="none"/>
                      <w:lang w:val="en-US" w:eastAsia="zh-CN" w:bidi="ar"/>
                    </w:rPr>
                    <w:t>5t/h</w:t>
                  </w:r>
                </w:p>
              </w:tc>
              <w:tc>
                <w:tcPr>
                  <w:tcW w:w="936" w:type="pct"/>
                  <w:tcBorders>
                    <w:right w:val="single" w:color="auto" w:sz="4" w:space="0"/>
                  </w:tcBorders>
                  <w:vAlign w:val="center"/>
                </w:tcPr>
                <w:p>
                  <w:pPr>
                    <w:widowControl/>
                    <w:spacing w:line="240" w:lineRule="auto"/>
                    <w:jc w:val="center"/>
                    <w:textAlignment w:val="center"/>
                    <w:rPr>
                      <w:rFonts w:hint="eastAsia" w:ascii="Times New Roman" w:hAnsi="Times New Roman" w:eastAsia="宋体" w:cs="Times New Roman"/>
                      <w:color w:val="auto"/>
                      <w:kern w:val="0"/>
                      <w:sz w:val="21"/>
                      <w:szCs w:val="21"/>
                      <w:highlight w:val="none"/>
                      <w:lang w:val="en-US" w:eastAsia="zh-CN" w:bidi="ar"/>
                    </w:rPr>
                  </w:pPr>
                  <w:r>
                    <w:rPr>
                      <w:rFonts w:hint="eastAsia"/>
                      <w:color w:val="auto"/>
                      <w:kern w:val="0"/>
                      <w:sz w:val="21"/>
                      <w:szCs w:val="21"/>
                      <w:highlight w:val="none"/>
                      <w:lang w:val="en-US" w:eastAsia="zh-CN" w:bidi="ar"/>
                    </w:rPr>
                    <w:t>1</w:t>
                  </w:r>
                </w:p>
              </w:tc>
              <w:tc>
                <w:tcPr>
                  <w:tcW w:w="734" w:type="pct"/>
                  <w:tcBorders>
                    <w:left w:val="single" w:color="auto" w:sz="4" w:space="0"/>
                  </w:tcBorders>
                  <w:vAlign w:val="center"/>
                </w:tcPr>
                <w:p>
                  <w:pPr>
                    <w:spacing w:line="240" w:lineRule="auto"/>
                    <w:jc w:val="center"/>
                    <w:rPr>
                      <w:rFonts w:hint="eastAsia" w:ascii="Times New Roman" w:hAnsi="Times New Roman" w:eastAsia="宋体" w:cs="Times New Roman"/>
                      <w:bCs/>
                      <w:color w:val="auto"/>
                      <w:kern w:val="0"/>
                      <w:sz w:val="21"/>
                      <w:szCs w:val="21"/>
                      <w:highlight w:val="none"/>
                      <w:lang w:val="en-US" w:eastAsia="zh-CN" w:bidi="ar-SA"/>
                    </w:rPr>
                  </w:pPr>
                  <w:r>
                    <w:rPr>
                      <w:rFonts w:hint="eastAsia"/>
                      <w:bCs/>
                      <w:color w:val="auto"/>
                      <w:kern w:val="0"/>
                      <w:sz w:val="21"/>
                      <w:szCs w:val="21"/>
                      <w:highlight w:val="none"/>
                      <w:lang w:val="en-US" w:eastAsia="zh-CN"/>
                    </w:rPr>
                    <w:t>冷却</w:t>
                  </w:r>
                </w:p>
              </w:tc>
              <w:tc>
                <w:tcPr>
                  <w:tcW w:w="564" w:type="pct"/>
                  <w:vAlign w:val="center"/>
                </w:tcPr>
                <w:p>
                  <w:pPr>
                    <w:spacing w:line="240" w:lineRule="auto"/>
                    <w:jc w:val="center"/>
                    <w:rPr>
                      <w:rFonts w:hint="eastAsia" w:ascii="Times New Roman" w:hAnsi="Times New Roman" w:eastAsia="宋体" w:cs="Times New Roman"/>
                      <w:bCs/>
                      <w:color w:val="auto"/>
                      <w:kern w:val="2"/>
                      <w:sz w:val="21"/>
                      <w:szCs w:val="21"/>
                      <w:highlight w:val="none"/>
                      <w:lang w:val="en-US" w:eastAsia="zh-CN" w:bidi="ar-SA"/>
                    </w:rPr>
                  </w:pPr>
                  <w:r>
                    <w:rPr>
                      <w:rFonts w:hint="eastAsia"/>
                      <w:bCs/>
                      <w:color w:val="auto"/>
                      <w:sz w:val="21"/>
                      <w:szCs w:val="21"/>
                      <w:highlight w:val="none"/>
                      <w:lang w:val="en-US" w:eastAsia="zh-CN"/>
                    </w:rPr>
                    <w:t>国产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40" w:hRule="atLeast"/>
              </w:trPr>
              <w:tc>
                <w:tcPr>
                  <w:tcW w:w="693" w:type="pct"/>
                  <w:vMerge w:val="restart"/>
                  <w:vAlign w:val="center"/>
                </w:tcPr>
                <w:p>
                  <w:pPr>
                    <w:pStyle w:val="49"/>
                    <w:spacing w:line="240" w:lineRule="auto"/>
                    <w:rPr>
                      <w:rFonts w:eastAsia="宋体"/>
                      <w:b w:val="0"/>
                      <w:bCs/>
                      <w:color w:val="auto"/>
                      <w:sz w:val="21"/>
                      <w:szCs w:val="21"/>
                      <w:highlight w:val="none"/>
                    </w:rPr>
                  </w:pPr>
                  <w:r>
                    <w:rPr>
                      <w:rFonts w:hint="eastAsia" w:eastAsia="宋体"/>
                      <w:b w:val="0"/>
                      <w:bCs/>
                      <w:color w:val="auto"/>
                      <w:sz w:val="21"/>
                      <w:szCs w:val="21"/>
                      <w:highlight w:val="none"/>
                    </w:rPr>
                    <w:t>环保设备</w:t>
                  </w:r>
                </w:p>
              </w:tc>
              <w:tc>
                <w:tcPr>
                  <w:tcW w:w="1381" w:type="pct"/>
                  <w:vAlign w:val="center"/>
                </w:tcPr>
                <w:p>
                  <w:pPr>
                    <w:pStyle w:val="49"/>
                    <w:spacing w:line="240" w:lineRule="auto"/>
                    <w:rPr>
                      <w:rFonts w:eastAsia="宋体"/>
                      <w:b w:val="0"/>
                      <w:bCs/>
                      <w:color w:val="auto"/>
                      <w:sz w:val="21"/>
                      <w:szCs w:val="21"/>
                      <w:highlight w:val="none"/>
                    </w:rPr>
                  </w:pPr>
                  <w:r>
                    <w:rPr>
                      <w:rFonts w:hint="eastAsia" w:eastAsia="宋体"/>
                      <w:b w:val="0"/>
                      <w:bCs/>
                      <w:color w:val="auto"/>
                      <w:sz w:val="21"/>
                      <w:szCs w:val="21"/>
                      <w:highlight w:val="none"/>
                      <w:lang w:val="en-US" w:eastAsia="zh-CN"/>
                    </w:rPr>
                    <w:t>二级</w:t>
                  </w:r>
                  <w:r>
                    <w:rPr>
                      <w:rFonts w:hint="eastAsia" w:eastAsia="宋体"/>
                      <w:b w:val="0"/>
                      <w:bCs/>
                      <w:color w:val="auto"/>
                      <w:sz w:val="21"/>
                      <w:szCs w:val="21"/>
                      <w:highlight w:val="none"/>
                    </w:rPr>
                    <w:t>活性炭吸附装置</w:t>
                  </w:r>
                </w:p>
              </w:tc>
              <w:tc>
                <w:tcPr>
                  <w:tcW w:w="689" w:type="pct"/>
                  <w:vAlign w:val="center"/>
                </w:tcPr>
                <w:p>
                  <w:pPr>
                    <w:widowControl/>
                    <w:spacing w:line="240" w:lineRule="auto"/>
                    <w:jc w:val="center"/>
                    <w:textAlignment w:val="center"/>
                    <w:rPr>
                      <w:bCs/>
                      <w:color w:val="auto"/>
                      <w:sz w:val="21"/>
                      <w:szCs w:val="21"/>
                      <w:highlight w:val="none"/>
                    </w:rPr>
                  </w:pPr>
                  <w:r>
                    <w:rPr>
                      <w:rFonts w:hint="eastAsia"/>
                      <w:bCs/>
                      <w:color w:val="auto"/>
                      <w:sz w:val="21"/>
                      <w:szCs w:val="21"/>
                      <w:highlight w:val="none"/>
                    </w:rPr>
                    <w:t>/</w:t>
                  </w:r>
                </w:p>
              </w:tc>
              <w:tc>
                <w:tcPr>
                  <w:tcW w:w="936" w:type="pct"/>
                  <w:tcBorders>
                    <w:right w:val="single" w:color="auto" w:sz="4" w:space="0"/>
                  </w:tcBorders>
                  <w:vAlign w:val="center"/>
                </w:tcPr>
                <w:p>
                  <w:pPr>
                    <w:spacing w:line="240" w:lineRule="auto"/>
                    <w:jc w:val="center"/>
                    <w:rPr>
                      <w:bCs/>
                      <w:color w:val="auto"/>
                      <w:kern w:val="0"/>
                      <w:sz w:val="21"/>
                      <w:szCs w:val="21"/>
                      <w:highlight w:val="none"/>
                    </w:rPr>
                  </w:pPr>
                  <w:r>
                    <w:rPr>
                      <w:rFonts w:hint="eastAsia"/>
                      <w:bCs/>
                      <w:color w:val="auto"/>
                      <w:kern w:val="0"/>
                      <w:sz w:val="21"/>
                      <w:szCs w:val="21"/>
                      <w:highlight w:val="none"/>
                    </w:rPr>
                    <w:t>1</w:t>
                  </w:r>
                </w:p>
              </w:tc>
              <w:tc>
                <w:tcPr>
                  <w:tcW w:w="734" w:type="pct"/>
                  <w:tcBorders>
                    <w:left w:val="single" w:color="auto" w:sz="4" w:space="0"/>
                  </w:tcBorders>
                  <w:vAlign w:val="center"/>
                </w:tcPr>
                <w:p>
                  <w:pPr>
                    <w:spacing w:line="240" w:lineRule="auto"/>
                    <w:jc w:val="center"/>
                    <w:rPr>
                      <w:bCs/>
                      <w:color w:val="auto"/>
                      <w:kern w:val="0"/>
                      <w:sz w:val="21"/>
                      <w:szCs w:val="21"/>
                      <w:highlight w:val="none"/>
                    </w:rPr>
                  </w:pPr>
                  <w:r>
                    <w:rPr>
                      <w:rFonts w:hint="eastAsia"/>
                      <w:bCs/>
                      <w:color w:val="auto"/>
                      <w:kern w:val="0"/>
                      <w:sz w:val="21"/>
                      <w:szCs w:val="21"/>
                      <w:highlight w:val="none"/>
                    </w:rPr>
                    <w:t>废气处理</w:t>
                  </w:r>
                </w:p>
              </w:tc>
              <w:tc>
                <w:tcPr>
                  <w:tcW w:w="564" w:type="pct"/>
                  <w:vAlign w:val="center"/>
                </w:tcPr>
                <w:p>
                  <w:pPr>
                    <w:spacing w:line="240" w:lineRule="auto"/>
                    <w:jc w:val="center"/>
                    <w:rPr>
                      <w:bCs/>
                      <w:color w:val="auto"/>
                      <w:sz w:val="21"/>
                      <w:szCs w:val="21"/>
                      <w:highlight w:val="none"/>
                    </w:rPr>
                  </w:pPr>
                  <w:r>
                    <w:rPr>
                      <w:rFonts w:hint="eastAsia"/>
                      <w:bCs/>
                      <w:color w:val="auto"/>
                      <w:sz w:val="21"/>
                      <w:szCs w:val="21"/>
                      <w:highlight w:val="none"/>
                    </w:rPr>
                    <w:t>国产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6" w:space="0"/>
                </w:tblBorders>
                <w:tblCellMar>
                  <w:top w:w="0" w:type="dxa"/>
                  <w:left w:w="108" w:type="dxa"/>
                  <w:bottom w:w="0" w:type="dxa"/>
                  <w:right w:w="108" w:type="dxa"/>
                </w:tblCellMar>
              </w:tblPrEx>
              <w:trPr>
                <w:trHeight w:val="340" w:hRule="atLeast"/>
              </w:trPr>
              <w:tc>
                <w:tcPr>
                  <w:tcW w:w="693" w:type="pct"/>
                  <w:vMerge w:val="continue"/>
                  <w:vAlign w:val="center"/>
                </w:tcPr>
                <w:p>
                  <w:pPr>
                    <w:pStyle w:val="49"/>
                    <w:spacing w:line="240" w:lineRule="auto"/>
                    <w:rPr>
                      <w:rFonts w:eastAsia="宋体"/>
                      <w:b w:val="0"/>
                      <w:bCs/>
                      <w:color w:val="auto"/>
                      <w:sz w:val="21"/>
                      <w:szCs w:val="21"/>
                      <w:highlight w:val="none"/>
                    </w:rPr>
                  </w:pPr>
                </w:p>
              </w:tc>
              <w:tc>
                <w:tcPr>
                  <w:tcW w:w="1381" w:type="pct"/>
                  <w:vAlign w:val="center"/>
                </w:tcPr>
                <w:p>
                  <w:pPr>
                    <w:pStyle w:val="49"/>
                    <w:spacing w:line="240" w:lineRule="auto"/>
                    <w:rPr>
                      <w:rFonts w:hint="default" w:eastAsia="宋体"/>
                      <w:b w:val="0"/>
                      <w:bCs/>
                      <w:color w:val="auto"/>
                      <w:sz w:val="21"/>
                      <w:szCs w:val="21"/>
                      <w:highlight w:val="none"/>
                      <w:lang w:val="en-US" w:eastAsia="zh-CN"/>
                    </w:rPr>
                  </w:pPr>
                  <w:r>
                    <w:rPr>
                      <w:rFonts w:hint="eastAsia" w:eastAsia="宋体"/>
                      <w:b w:val="0"/>
                      <w:bCs/>
                      <w:color w:val="auto"/>
                      <w:sz w:val="21"/>
                      <w:szCs w:val="21"/>
                      <w:highlight w:val="none"/>
                      <w:lang w:val="en-US" w:eastAsia="zh-CN"/>
                    </w:rPr>
                    <w:t>移动式布袋除尘器</w:t>
                  </w:r>
                </w:p>
              </w:tc>
              <w:tc>
                <w:tcPr>
                  <w:tcW w:w="689" w:type="pct"/>
                  <w:vAlign w:val="center"/>
                </w:tcPr>
                <w:p>
                  <w:pPr>
                    <w:widowControl/>
                    <w:spacing w:line="240" w:lineRule="auto"/>
                    <w:jc w:val="center"/>
                    <w:textAlignment w:val="center"/>
                    <w:rPr>
                      <w:rFonts w:hint="eastAsia" w:ascii="Times New Roman" w:hAnsi="Times New Roman" w:eastAsia="宋体" w:cs="Times New Roman"/>
                      <w:bCs/>
                      <w:color w:val="auto"/>
                      <w:kern w:val="2"/>
                      <w:sz w:val="21"/>
                      <w:szCs w:val="21"/>
                      <w:highlight w:val="none"/>
                      <w:lang w:val="en-US" w:eastAsia="zh-CN" w:bidi="ar-SA"/>
                    </w:rPr>
                  </w:pPr>
                  <w:r>
                    <w:rPr>
                      <w:rFonts w:hint="eastAsia"/>
                      <w:bCs/>
                      <w:color w:val="auto"/>
                      <w:sz w:val="21"/>
                      <w:szCs w:val="21"/>
                      <w:highlight w:val="none"/>
                    </w:rPr>
                    <w:t>/</w:t>
                  </w:r>
                </w:p>
              </w:tc>
              <w:tc>
                <w:tcPr>
                  <w:tcW w:w="936" w:type="pct"/>
                  <w:tcBorders>
                    <w:right w:val="single" w:color="auto" w:sz="4" w:space="0"/>
                  </w:tcBorders>
                  <w:vAlign w:val="center"/>
                </w:tcPr>
                <w:p>
                  <w:pPr>
                    <w:spacing w:line="240" w:lineRule="auto"/>
                    <w:jc w:val="center"/>
                    <w:rPr>
                      <w:rFonts w:hint="eastAsia" w:ascii="Times New Roman" w:hAnsi="Times New Roman" w:eastAsia="宋体" w:cs="Times New Roman"/>
                      <w:bCs/>
                      <w:color w:val="auto"/>
                      <w:kern w:val="0"/>
                      <w:sz w:val="21"/>
                      <w:szCs w:val="21"/>
                      <w:highlight w:val="none"/>
                      <w:lang w:val="en-US" w:eastAsia="zh-CN" w:bidi="ar-SA"/>
                    </w:rPr>
                  </w:pPr>
                  <w:r>
                    <w:rPr>
                      <w:rFonts w:hint="eastAsia"/>
                      <w:bCs/>
                      <w:color w:val="auto"/>
                      <w:kern w:val="0"/>
                      <w:sz w:val="21"/>
                      <w:szCs w:val="21"/>
                      <w:highlight w:val="none"/>
                    </w:rPr>
                    <w:t>1</w:t>
                  </w:r>
                </w:p>
              </w:tc>
              <w:tc>
                <w:tcPr>
                  <w:tcW w:w="734" w:type="pct"/>
                  <w:tcBorders>
                    <w:left w:val="single" w:color="auto" w:sz="4" w:space="0"/>
                  </w:tcBorders>
                  <w:vAlign w:val="center"/>
                </w:tcPr>
                <w:p>
                  <w:pPr>
                    <w:spacing w:line="240" w:lineRule="auto"/>
                    <w:jc w:val="center"/>
                    <w:rPr>
                      <w:rFonts w:hint="eastAsia" w:ascii="Times New Roman" w:hAnsi="Times New Roman" w:eastAsia="宋体" w:cs="Times New Roman"/>
                      <w:bCs/>
                      <w:color w:val="auto"/>
                      <w:kern w:val="0"/>
                      <w:sz w:val="21"/>
                      <w:szCs w:val="21"/>
                      <w:highlight w:val="none"/>
                      <w:lang w:val="en-US" w:eastAsia="zh-CN" w:bidi="ar-SA"/>
                    </w:rPr>
                  </w:pPr>
                  <w:r>
                    <w:rPr>
                      <w:rFonts w:hint="eastAsia"/>
                      <w:bCs/>
                      <w:color w:val="auto"/>
                      <w:kern w:val="0"/>
                      <w:sz w:val="21"/>
                      <w:szCs w:val="21"/>
                      <w:highlight w:val="none"/>
                    </w:rPr>
                    <w:t>废气处理</w:t>
                  </w:r>
                </w:p>
              </w:tc>
              <w:tc>
                <w:tcPr>
                  <w:tcW w:w="564" w:type="pct"/>
                  <w:vAlign w:val="center"/>
                </w:tcPr>
                <w:p>
                  <w:pPr>
                    <w:spacing w:line="240" w:lineRule="auto"/>
                    <w:jc w:val="center"/>
                    <w:rPr>
                      <w:rFonts w:hint="eastAsia" w:ascii="Times New Roman" w:hAnsi="Times New Roman" w:eastAsia="宋体" w:cs="Times New Roman"/>
                      <w:bCs/>
                      <w:color w:val="auto"/>
                      <w:kern w:val="2"/>
                      <w:sz w:val="21"/>
                      <w:szCs w:val="21"/>
                      <w:highlight w:val="none"/>
                      <w:lang w:val="en-US" w:eastAsia="zh-CN" w:bidi="ar-SA"/>
                    </w:rPr>
                  </w:pPr>
                  <w:r>
                    <w:rPr>
                      <w:rFonts w:hint="eastAsia"/>
                      <w:bCs/>
                      <w:color w:val="auto"/>
                      <w:sz w:val="21"/>
                      <w:szCs w:val="21"/>
                      <w:highlight w:val="none"/>
                    </w:rPr>
                    <w:t>国产</w:t>
                  </w:r>
                </w:p>
              </w:tc>
            </w:tr>
          </w:tbl>
          <w:p>
            <w:pPr>
              <w:spacing w:before="120" w:beforeLines="50" w:line="360" w:lineRule="auto"/>
              <w:ind w:firstLine="422" w:firstLineChars="200"/>
              <w:rPr>
                <w:b/>
                <w:bCs/>
                <w:color w:val="auto"/>
                <w:sz w:val="21"/>
                <w:szCs w:val="21"/>
                <w:highlight w:val="none"/>
              </w:rPr>
            </w:pPr>
            <w:r>
              <w:rPr>
                <w:b/>
                <w:bCs/>
                <w:color w:val="auto"/>
                <w:sz w:val="21"/>
                <w:szCs w:val="21"/>
                <w:highlight w:val="none"/>
              </w:rPr>
              <w:t>5、原辅材料及相关理化性质</w:t>
            </w:r>
          </w:p>
          <w:p>
            <w:pPr>
              <w:pStyle w:val="48"/>
              <w:snapToGrid w:val="0"/>
              <w:spacing w:before="0" w:beforeLines="0" w:after="0" w:afterLines="0" w:line="360" w:lineRule="auto"/>
              <w:ind w:firstLine="420" w:firstLineChars="200"/>
              <w:jc w:val="left"/>
              <w:rPr>
                <w:rFonts w:eastAsia="宋体"/>
                <w:color w:val="auto"/>
                <w:sz w:val="21"/>
                <w:szCs w:val="21"/>
                <w:highlight w:val="none"/>
              </w:rPr>
            </w:pPr>
            <w:r>
              <w:rPr>
                <w:rFonts w:eastAsia="宋体"/>
                <w:b w:val="0"/>
                <w:bCs/>
                <w:color w:val="auto"/>
                <w:sz w:val="21"/>
                <w:szCs w:val="21"/>
                <w:highlight w:val="none"/>
              </w:rPr>
              <w:t>建设项目主要原辅材料及年用量见表2-</w:t>
            </w:r>
            <w:r>
              <w:rPr>
                <w:rFonts w:hint="eastAsia" w:eastAsia="宋体"/>
                <w:b w:val="0"/>
                <w:bCs/>
                <w:color w:val="auto"/>
                <w:sz w:val="21"/>
                <w:szCs w:val="21"/>
                <w:highlight w:val="none"/>
              </w:rPr>
              <w:t>4</w:t>
            </w:r>
            <w:r>
              <w:rPr>
                <w:rFonts w:eastAsia="宋体"/>
                <w:b w:val="0"/>
                <w:bCs/>
                <w:color w:val="auto"/>
                <w:sz w:val="21"/>
                <w:szCs w:val="21"/>
                <w:highlight w:val="none"/>
              </w:rPr>
              <w:t>，项目原辅材料理化性质详见表2-</w:t>
            </w:r>
            <w:r>
              <w:rPr>
                <w:rFonts w:hint="eastAsia" w:eastAsia="宋体"/>
                <w:b w:val="0"/>
                <w:bCs/>
                <w:color w:val="auto"/>
                <w:sz w:val="21"/>
                <w:szCs w:val="21"/>
                <w:highlight w:val="none"/>
              </w:rPr>
              <w:t>5</w:t>
            </w:r>
            <w:r>
              <w:rPr>
                <w:rFonts w:eastAsia="宋体"/>
                <w:b w:val="0"/>
                <w:bCs/>
                <w:color w:val="auto"/>
                <w:sz w:val="21"/>
                <w:szCs w:val="21"/>
                <w:highlight w:val="none"/>
              </w:rPr>
              <w:t>。</w:t>
            </w:r>
          </w:p>
          <w:p>
            <w:pPr>
              <w:pStyle w:val="48"/>
              <w:spacing w:before="0" w:beforeLines="0" w:after="0" w:afterLines="0" w:line="240" w:lineRule="auto"/>
              <w:rPr>
                <w:rFonts w:eastAsia="宋体"/>
                <w:color w:val="auto"/>
                <w:sz w:val="21"/>
                <w:szCs w:val="21"/>
                <w:highlight w:val="none"/>
              </w:rPr>
            </w:pPr>
            <w:r>
              <w:rPr>
                <w:rFonts w:eastAsia="宋体"/>
                <w:color w:val="auto"/>
                <w:sz w:val="21"/>
                <w:szCs w:val="21"/>
                <w:highlight w:val="none"/>
              </w:rPr>
              <w:t>表2-</w:t>
            </w:r>
            <w:r>
              <w:rPr>
                <w:rFonts w:hint="eastAsia" w:eastAsia="宋体"/>
                <w:color w:val="auto"/>
                <w:sz w:val="21"/>
                <w:szCs w:val="21"/>
                <w:highlight w:val="none"/>
              </w:rPr>
              <w:t>4</w:t>
            </w:r>
            <w:r>
              <w:rPr>
                <w:rFonts w:eastAsia="宋体"/>
                <w:color w:val="auto"/>
                <w:sz w:val="21"/>
                <w:szCs w:val="21"/>
                <w:highlight w:val="none"/>
              </w:rPr>
              <w:t xml:space="preserve"> 建设项目主要原辅材料表</w:t>
            </w:r>
          </w:p>
          <w:tbl>
            <w:tblPr>
              <w:tblStyle w:val="25"/>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1276"/>
              <w:gridCol w:w="1477"/>
              <w:gridCol w:w="1117"/>
              <w:gridCol w:w="1474"/>
              <w:gridCol w:w="944"/>
              <w:gridCol w:w="85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2" w:type="pct"/>
                  <w:tcMar>
                    <w:top w:w="0" w:type="dxa"/>
                    <w:left w:w="0" w:type="dxa"/>
                    <w:bottom w:w="0" w:type="dxa"/>
                    <w:right w:w="0" w:type="dxa"/>
                  </w:tcMar>
                  <w:vAlign w:val="center"/>
                </w:tcPr>
                <w:p>
                  <w:pPr>
                    <w:pStyle w:val="49"/>
                    <w:spacing w:line="240" w:lineRule="auto"/>
                    <w:rPr>
                      <w:rFonts w:eastAsia="宋体"/>
                      <w:color w:val="auto"/>
                      <w:sz w:val="21"/>
                      <w:szCs w:val="21"/>
                      <w:highlight w:val="none"/>
                    </w:rPr>
                  </w:pPr>
                  <w:r>
                    <w:rPr>
                      <w:rFonts w:eastAsia="宋体"/>
                      <w:color w:val="auto"/>
                      <w:sz w:val="21"/>
                      <w:szCs w:val="21"/>
                      <w:highlight w:val="none"/>
                    </w:rPr>
                    <w:t>类别</w:t>
                  </w:r>
                </w:p>
              </w:tc>
              <w:tc>
                <w:tcPr>
                  <w:tcW w:w="803" w:type="pct"/>
                  <w:tcMar>
                    <w:top w:w="0" w:type="dxa"/>
                    <w:left w:w="0" w:type="dxa"/>
                    <w:bottom w:w="0" w:type="dxa"/>
                    <w:right w:w="0" w:type="dxa"/>
                  </w:tcMar>
                  <w:vAlign w:val="center"/>
                </w:tcPr>
                <w:p>
                  <w:pPr>
                    <w:pStyle w:val="49"/>
                    <w:spacing w:line="240" w:lineRule="auto"/>
                    <w:rPr>
                      <w:rFonts w:eastAsia="宋体"/>
                      <w:color w:val="auto"/>
                      <w:sz w:val="21"/>
                      <w:szCs w:val="21"/>
                      <w:highlight w:val="none"/>
                    </w:rPr>
                  </w:pPr>
                  <w:r>
                    <w:rPr>
                      <w:rFonts w:eastAsia="宋体"/>
                      <w:color w:val="auto"/>
                      <w:sz w:val="21"/>
                      <w:szCs w:val="21"/>
                      <w:highlight w:val="none"/>
                    </w:rPr>
                    <w:t>名称</w:t>
                  </w:r>
                </w:p>
              </w:tc>
              <w:tc>
                <w:tcPr>
                  <w:tcW w:w="929" w:type="pct"/>
                  <w:tcMar>
                    <w:top w:w="0" w:type="dxa"/>
                    <w:left w:w="0" w:type="dxa"/>
                    <w:bottom w:w="0" w:type="dxa"/>
                    <w:right w:w="0" w:type="dxa"/>
                  </w:tcMar>
                  <w:vAlign w:val="center"/>
                </w:tcPr>
                <w:p>
                  <w:pPr>
                    <w:pStyle w:val="49"/>
                    <w:spacing w:line="240" w:lineRule="auto"/>
                    <w:rPr>
                      <w:rFonts w:eastAsia="宋体"/>
                      <w:color w:val="auto"/>
                      <w:sz w:val="21"/>
                      <w:szCs w:val="21"/>
                      <w:highlight w:val="none"/>
                    </w:rPr>
                  </w:pPr>
                  <w:r>
                    <w:rPr>
                      <w:rFonts w:eastAsia="宋体"/>
                      <w:color w:val="auto"/>
                      <w:sz w:val="21"/>
                      <w:szCs w:val="21"/>
                      <w:highlight w:val="none"/>
                    </w:rPr>
                    <w:t>重要组份、指标</w:t>
                  </w:r>
                </w:p>
              </w:tc>
              <w:tc>
                <w:tcPr>
                  <w:tcW w:w="703" w:type="pct"/>
                  <w:tcMar>
                    <w:top w:w="0" w:type="dxa"/>
                    <w:left w:w="0" w:type="dxa"/>
                    <w:bottom w:w="0" w:type="dxa"/>
                    <w:right w:w="0" w:type="dxa"/>
                  </w:tcMar>
                  <w:vAlign w:val="center"/>
                </w:tcPr>
                <w:p>
                  <w:pPr>
                    <w:pStyle w:val="49"/>
                    <w:spacing w:line="240" w:lineRule="auto"/>
                    <w:rPr>
                      <w:rFonts w:eastAsia="宋体"/>
                      <w:color w:val="auto"/>
                      <w:sz w:val="21"/>
                      <w:szCs w:val="21"/>
                      <w:highlight w:val="none"/>
                    </w:rPr>
                  </w:pPr>
                  <w:r>
                    <w:rPr>
                      <w:rFonts w:eastAsia="宋体"/>
                      <w:color w:val="auto"/>
                      <w:sz w:val="21"/>
                      <w:szCs w:val="21"/>
                      <w:highlight w:val="none"/>
                    </w:rPr>
                    <w:t>年耗量t/a</w:t>
                  </w:r>
                </w:p>
              </w:tc>
              <w:tc>
                <w:tcPr>
                  <w:tcW w:w="927" w:type="pct"/>
                  <w:tcBorders>
                    <w:left w:val="single" w:color="auto" w:sz="4" w:space="0"/>
                    <w:right w:val="single" w:color="auto" w:sz="6" w:space="0"/>
                  </w:tcBorders>
                  <w:tcMar>
                    <w:top w:w="0" w:type="dxa"/>
                    <w:left w:w="0" w:type="dxa"/>
                    <w:bottom w:w="0" w:type="dxa"/>
                    <w:right w:w="0" w:type="dxa"/>
                  </w:tcMar>
                  <w:vAlign w:val="center"/>
                </w:tcPr>
                <w:p>
                  <w:pPr>
                    <w:pStyle w:val="49"/>
                    <w:spacing w:line="240" w:lineRule="auto"/>
                    <w:rPr>
                      <w:rFonts w:eastAsia="宋体"/>
                      <w:color w:val="auto"/>
                      <w:sz w:val="21"/>
                      <w:szCs w:val="21"/>
                      <w:highlight w:val="none"/>
                    </w:rPr>
                  </w:pPr>
                  <w:r>
                    <w:rPr>
                      <w:rFonts w:eastAsia="宋体"/>
                      <w:color w:val="auto"/>
                      <w:sz w:val="21"/>
                      <w:szCs w:val="21"/>
                      <w:highlight w:val="none"/>
                    </w:rPr>
                    <w:t>包装方式/规格</w:t>
                  </w:r>
                </w:p>
              </w:tc>
              <w:tc>
                <w:tcPr>
                  <w:tcW w:w="594" w:type="pct"/>
                  <w:tcMar>
                    <w:top w:w="0" w:type="dxa"/>
                    <w:left w:w="0" w:type="dxa"/>
                    <w:bottom w:w="0" w:type="dxa"/>
                    <w:right w:w="0" w:type="dxa"/>
                  </w:tcMar>
                  <w:vAlign w:val="center"/>
                </w:tcPr>
                <w:p>
                  <w:pPr>
                    <w:pStyle w:val="49"/>
                    <w:spacing w:line="240" w:lineRule="auto"/>
                    <w:rPr>
                      <w:rFonts w:eastAsia="宋体"/>
                      <w:color w:val="auto"/>
                      <w:sz w:val="21"/>
                      <w:szCs w:val="21"/>
                      <w:highlight w:val="none"/>
                    </w:rPr>
                  </w:pPr>
                  <w:r>
                    <w:rPr>
                      <w:rFonts w:eastAsia="宋体"/>
                      <w:color w:val="auto"/>
                      <w:sz w:val="21"/>
                      <w:szCs w:val="21"/>
                      <w:highlight w:val="none"/>
                    </w:rPr>
                    <w:t>最大储存量t</w:t>
                  </w:r>
                </w:p>
              </w:tc>
              <w:tc>
                <w:tcPr>
                  <w:tcW w:w="538" w:type="pct"/>
                  <w:tcMar>
                    <w:top w:w="0" w:type="dxa"/>
                    <w:left w:w="0" w:type="dxa"/>
                    <w:bottom w:w="0" w:type="dxa"/>
                    <w:right w:w="0" w:type="dxa"/>
                  </w:tcMar>
                  <w:vAlign w:val="center"/>
                </w:tcPr>
                <w:p>
                  <w:pPr>
                    <w:pStyle w:val="49"/>
                    <w:spacing w:line="240" w:lineRule="auto"/>
                    <w:rPr>
                      <w:rFonts w:eastAsia="宋体"/>
                      <w:color w:val="auto"/>
                      <w:sz w:val="21"/>
                      <w:szCs w:val="21"/>
                      <w:highlight w:val="none"/>
                    </w:rPr>
                  </w:pPr>
                  <w:r>
                    <w:rPr>
                      <w:rFonts w:eastAsia="宋体"/>
                      <w:color w:val="auto"/>
                      <w:sz w:val="21"/>
                      <w:szCs w:val="21"/>
                      <w:highlight w:val="none"/>
                    </w:rPr>
                    <w:t>形态</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2" w:type="pct"/>
                  <w:vMerge w:val="restart"/>
                  <w:tcMar>
                    <w:top w:w="0" w:type="dxa"/>
                    <w:left w:w="0" w:type="dxa"/>
                    <w:bottom w:w="0" w:type="dxa"/>
                    <w:right w:w="0" w:type="dxa"/>
                  </w:tcMar>
                  <w:vAlign w:val="center"/>
                </w:tcPr>
                <w:p>
                  <w:pPr>
                    <w:pStyle w:val="50"/>
                    <w:spacing w:line="240" w:lineRule="auto"/>
                    <w:rPr>
                      <w:rFonts w:eastAsia="宋体"/>
                      <w:color w:val="auto"/>
                      <w:sz w:val="21"/>
                      <w:szCs w:val="21"/>
                      <w:highlight w:val="none"/>
                    </w:rPr>
                  </w:pPr>
                  <w:r>
                    <w:rPr>
                      <w:rFonts w:eastAsia="宋体"/>
                      <w:color w:val="auto"/>
                      <w:sz w:val="21"/>
                      <w:szCs w:val="21"/>
                      <w:highlight w:val="none"/>
                    </w:rPr>
                    <w:t>原料</w:t>
                  </w:r>
                </w:p>
              </w:tc>
              <w:tc>
                <w:tcPr>
                  <w:tcW w:w="803" w:type="pct"/>
                  <w:tcMar>
                    <w:top w:w="0" w:type="dxa"/>
                    <w:left w:w="0" w:type="dxa"/>
                    <w:bottom w:w="0" w:type="dxa"/>
                    <w:right w:w="0" w:type="dxa"/>
                  </w:tcMar>
                  <w:vAlign w:val="center"/>
                </w:tcPr>
                <w:p>
                  <w:pPr>
                    <w:widowControl/>
                    <w:spacing w:line="240" w:lineRule="auto"/>
                    <w:jc w:val="center"/>
                    <w:textAlignment w:val="center"/>
                    <w:rPr>
                      <w:rFonts w:hint="default" w:eastAsia="宋体"/>
                      <w:color w:val="auto"/>
                      <w:sz w:val="21"/>
                      <w:szCs w:val="21"/>
                      <w:highlight w:val="none"/>
                      <w:lang w:val="en-US" w:eastAsia="zh-CN"/>
                    </w:rPr>
                  </w:pPr>
                  <w:r>
                    <w:rPr>
                      <w:rFonts w:hint="eastAsia"/>
                      <w:color w:val="auto"/>
                      <w:sz w:val="21"/>
                      <w:szCs w:val="21"/>
                      <w:highlight w:val="none"/>
                    </w:rPr>
                    <w:t>EPS（可发性聚苯乙烯）</w:t>
                  </w:r>
                  <w:r>
                    <w:rPr>
                      <w:rFonts w:hint="eastAsia"/>
                      <w:color w:val="auto"/>
                      <w:sz w:val="21"/>
                      <w:szCs w:val="21"/>
                      <w:highlight w:val="none"/>
                      <w:lang w:eastAsia="zh-CN"/>
                    </w:rPr>
                    <w:t>，</w:t>
                  </w:r>
                  <w:r>
                    <w:rPr>
                      <w:rFonts w:hint="eastAsia"/>
                      <w:color w:val="auto"/>
                      <w:sz w:val="21"/>
                      <w:szCs w:val="21"/>
                      <w:highlight w:val="none"/>
                      <w:lang w:val="en-US" w:eastAsia="zh-CN"/>
                    </w:rPr>
                    <w:t>新塑料粒子</w:t>
                  </w:r>
                </w:p>
              </w:tc>
              <w:tc>
                <w:tcPr>
                  <w:tcW w:w="929" w:type="pct"/>
                  <w:tcMar>
                    <w:top w:w="0" w:type="dxa"/>
                    <w:left w:w="0" w:type="dxa"/>
                    <w:bottom w:w="0" w:type="dxa"/>
                    <w:right w:w="0" w:type="dxa"/>
                  </w:tcMar>
                  <w:vAlign w:val="center"/>
                </w:tcPr>
                <w:p>
                  <w:pPr>
                    <w:pStyle w:val="50"/>
                    <w:spacing w:line="240" w:lineRule="auto"/>
                    <w:rPr>
                      <w:rFonts w:eastAsia="宋体"/>
                      <w:color w:val="auto"/>
                      <w:sz w:val="21"/>
                      <w:szCs w:val="21"/>
                      <w:highlight w:val="none"/>
                    </w:rPr>
                  </w:pPr>
                  <w:r>
                    <w:rPr>
                      <w:rFonts w:hint="eastAsia" w:eastAsia="宋体"/>
                      <w:color w:val="auto"/>
                      <w:kern w:val="0"/>
                      <w:sz w:val="21"/>
                      <w:szCs w:val="21"/>
                      <w:highlight w:val="none"/>
                      <w:lang w:bidi="ar"/>
                    </w:rPr>
                    <w:t>聚苯乙烯</w:t>
                  </w:r>
                  <w:r>
                    <w:rPr>
                      <w:rFonts w:hint="eastAsia" w:eastAsia="宋体"/>
                      <w:color w:val="auto"/>
                      <w:kern w:val="0"/>
                      <w:sz w:val="21"/>
                      <w:szCs w:val="21"/>
                      <w:highlight w:val="none"/>
                      <w:lang w:val="en-US" w:eastAsia="zh-CN" w:bidi="ar"/>
                    </w:rPr>
                    <w:t>92%-95%</w:t>
                  </w:r>
                  <w:r>
                    <w:rPr>
                      <w:rFonts w:eastAsia="宋体"/>
                      <w:color w:val="auto"/>
                      <w:kern w:val="0"/>
                      <w:sz w:val="21"/>
                      <w:szCs w:val="21"/>
                      <w:highlight w:val="none"/>
                      <w:lang w:bidi="ar"/>
                    </w:rPr>
                    <w:t>，</w:t>
                  </w:r>
                  <w:r>
                    <w:rPr>
                      <w:rFonts w:hint="eastAsia" w:eastAsia="宋体"/>
                      <w:color w:val="auto"/>
                      <w:kern w:val="0"/>
                      <w:sz w:val="21"/>
                      <w:szCs w:val="21"/>
                      <w:highlight w:val="none"/>
                      <w:lang w:val="en-US" w:eastAsia="zh-CN" w:bidi="ar"/>
                    </w:rPr>
                    <w:t>环戊烷5%-8%，水分≤0.5%，</w:t>
                  </w:r>
                  <w:r>
                    <w:rPr>
                      <w:rFonts w:eastAsia="宋体"/>
                      <w:color w:val="auto"/>
                      <w:kern w:val="0"/>
                      <w:sz w:val="21"/>
                      <w:szCs w:val="21"/>
                      <w:highlight w:val="none"/>
                      <w:lang w:bidi="ar"/>
                    </w:rPr>
                    <w:t>粒径</w:t>
                  </w:r>
                  <w:r>
                    <w:rPr>
                      <w:rFonts w:hint="eastAsia" w:eastAsia="宋体"/>
                      <w:color w:val="auto"/>
                      <w:kern w:val="0"/>
                      <w:sz w:val="21"/>
                      <w:szCs w:val="21"/>
                      <w:highlight w:val="none"/>
                      <w:lang w:bidi="ar"/>
                    </w:rPr>
                    <w:t>3-5</w:t>
                  </w:r>
                  <w:r>
                    <w:rPr>
                      <w:rFonts w:eastAsia="宋体"/>
                      <w:color w:val="auto"/>
                      <w:kern w:val="0"/>
                      <w:sz w:val="21"/>
                      <w:szCs w:val="21"/>
                      <w:highlight w:val="none"/>
                      <w:lang w:bidi="ar"/>
                    </w:rPr>
                    <w:t>mm</w:t>
                  </w:r>
                </w:p>
              </w:tc>
              <w:tc>
                <w:tcPr>
                  <w:tcW w:w="703" w:type="pct"/>
                  <w:tcMar>
                    <w:top w:w="0" w:type="dxa"/>
                    <w:left w:w="0" w:type="dxa"/>
                    <w:bottom w:w="0" w:type="dxa"/>
                    <w:right w:w="0" w:type="dxa"/>
                  </w:tcMar>
                  <w:vAlign w:val="center"/>
                </w:tcPr>
                <w:p>
                  <w:pPr>
                    <w:widowControl/>
                    <w:spacing w:line="240" w:lineRule="auto"/>
                    <w:jc w:val="center"/>
                    <w:textAlignment w:val="center"/>
                    <w:rPr>
                      <w:rFonts w:hint="default" w:eastAsia="宋体"/>
                      <w:color w:val="auto"/>
                      <w:sz w:val="21"/>
                      <w:szCs w:val="21"/>
                      <w:highlight w:val="none"/>
                      <w:lang w:val="en-US" w:eastAsia="zh-CN"/>
                    </w:rPr>
                  </w:pPr>
                  <w:r>
                    <w:rPr>
                      <w:rFonts w:hint="eastAsia"/>
                      <w:color w:val="auto"/>
                      <w:kern w:val="0"/>
                      <w:sz w:val="21"/>
                      <w:szCs w:val="21"/>
                      <w:highlight w:val="none"/>
                      <w:lang w:val="en-US" w:eastAsia="zh-CN" w:bidi="ar"/>
                    </w:rPr>
                    <w:t>1000</w:t>
                  </w:r>
                </w:p>
              </w:tc>
              <w:tc>
                <w:tcPr>
                  <w:tcW w:w="927" w:type="pct"/>
                  <w:tcBorders>
                    <w:left w:val="single" w:color="auto" w:sz="4" w:space="0"/>
                    <w:right w:val="single" w:color="auto" w:sz="6" w:space="0"/>
                  </w:tcBorders>
                  <w:tcMar>
                    <w:top w:w="0" w:type="dxa"/>
                    <w:left w:w="0" w:type="dxa"/>
                    <w:bottom w:w="0" w:type="dxa"/>
                    <w:right w:w="0" w:type="dxa"/>
                  </w:tcMar>
                  <w:vAlign w:val="center"/>
                </w:tcPr>
                <w:p>
                  <w:pPr>
                    <w:pStyle w:val="50"/>
                    <w:spacing w:line="240" w:lineRule="auto"/>
                    <w:rPr>
                      <w:rFonts w:eastAsia="宋体"/>
                      <w:color w:val="auto"/>
                      <w:sz w:val="21"/>
                      <w:szCs w:val="21"/>
                      <w:highlight w:val="none"/>
                    </w:rPr>
                  </w:pPr>
                  <w:r>
                    <w:rPr>
                      <w:rFonts w:eastAsia="宋体"/>
                      <w:color w:val="auto"/>
                      <w:sz w:val="21"/>
                      <w:szCs w:val="21"/>
                      <w:highlight w:val="none"/>
                    </w:rPr>
                    <w:t>袋装，25kg/袋</w:t>
                  </w:r>
                </w:p>
              </w:tc>
              <w:tc>
                <w:tcPr>
                  <w:tcW w:w="594" w:type="pct"/>
                  <w:tcMar>
                    <w:top w:w="0" w:type="dxa"/>
                    <w:left w:w="0" w:type="dxa"/>
                    <w:bottom w:w="0" w:type="dxa"/>
                    <w:right w:w="0" w:type="dxa"/>
                  </w:tcMar>
                  <w:vAlign w:val="center"/>
                </w:tcPr>
                <w:p>
                  <w:pPr>
                    <w:widowControl/>
                    <w:spacing w:line="240" w:lineRule="auto"/>
                    <w:jc w:val="center"/>
                    <w:textAlignment w:val="center"/>
                    <w:rPr>
                      <w:rFonts w:hint="default" w:eastAsia="宋体"/>
                      <w:color w:val="auto"/>
                      <w:sz w:val="21"/>
                      <w:szCs w:val="21"/>
                      <w:highlight w:val="none"/>
                      <w:lang w:val="en-US" w:eastAsia="zh-CN"/>
                    </w:rPr>
                  </w:pPr>
                  <w:r>
                    <w:rPr>
                      <w:rFonts w:hint="eastAsia"/>
                      <w:color w:val="auto"/>
                      <w:lang w:val="en-US" w:eastAsia="zh-CN"/>
                    </w:rPr>
                    <w:t>50</w:t>
                  </w:r>
                </w:p>
              </w:tc>
              <w:tc>
                <w:tcPr>
                  <w:tcW w:w="538" w:type="pct"/>
                  <w:tcMar>
                    <w:top w:w="0" w:type="dxa"/>
                    <w:left w:w="0" w:type="dxa"/>
                    <w:bottom w:w="0" w:type="dxa"/>
                    <w:right w:w="0" w:type="dxa"/>
                  </w:tcMar>
                  <w:vAlign w:val="center"/>
                </w:tcPr>
                <w:p>
                  <w:pPr>
                    <w:pStyle w:val="50"/>
                    <w:spacing w:line="240" w:lineRule="auto"/>
                    <w:rPr>
                      <w:rFonts w:eastAsia="宋体"/>
                      <w:color w:val="auto"/>
                      <w:sz w:val="21"/>
                      <w:szCs w:val="21"/>
                      <w:highlight w:val="none"/>
                    </w:rPr>
                  </w:pPr>
                  <w:r>
                    <w:rPr>
                      <w:rFonts w:eastAsia="宋体"/>
                      <w:color w:val="auto"/>
                      <w:sz w:val="21"/>
                      <w:szCs w:val="21"/>
                      <w:highlight w:val="none"/>
                    </w:rPr>
                    <w:t>颗粒态</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2" w:type="pct"/>
                  <w:vMerge w:val="continue"/>
                  <w:tcMar>
                    <w:top w:w="0" w:type="dxa"/>
                    <w:left w:w="0" w:type="dxa"/>
                    <w:bottom w:w="0" w:type="dxa"/>
                    <w:right w:w="0" w:type="dxa"/>
                  </w:tcMar>
                  <w:vAlign w:val="center"/>
                </w:tcPr>
                <w:p>
                  <w:pPr>
                    <w:pStyle w:val="50"/>
                    <w:spacing w:line="240" w:lineRule="auto"/>
                    <w:rPr>
                      <w:rFonts w:eastAsia="宋体"/>
                      <w:color w:val="auto"/>
                      <w:sz w:val="21"/>
                      <w:szCs w:val="21"/>
                      <w:highlight w:val="none"/>
                    </w:rPr>
                  </w:pPr>
                </w:p>
              </w:tc>
              <w:tc>
                <w:tcPr>
                  <w:tcW w:w="803" w:type="pct"/>
                  <w:tcMar>
                    <w:top w:w="0" w:type="dxa"/>
                    <w:left w:w="0" w:type="dxa"/>
                    <w:bottom w:w="0" w:type="dxa"/>
                    <w:right w:w="0" w:type="dxa"/>
                  </w:tcMar>
                  <w:vAlign w:val="center"/>
                </w:tcPr>
                <w:p>
                  <w:pPr>
                    <w:widowControl/>
                    <w:spacing w:line="240" w:lineRule="auto"/>
                    <w:jc w:val="center"/>
                    <w:textAlignment w:val="center"/>
                    <w:rPr>
                      <w:rFonts w:hint="default" w:eastAsia="宋体"/>
                      <w:color w:val="auto"/>
                      <w:sz w:val="21"/>
                      <w:szCs w:val="21"/>
                      <w:highlight w:val="none"/>
                      <w:lang w:val="en-US" w:eastAsia="zh-CN"/>
                    </w:rPr>
                  </w:pPr>
                  <w:r>
                    <w:rPr>
                      <w:rFonts w:hint="eastAsia"/>
                      <w:color w:val="auto"/>
                      <w:sz w:val="21"/>
                      <w:szCs w:val="21"/>
                      <w:highlight w:val="none"/>
                      <w:lang w:val="en-US" w:eastAsia="zh-CN"/>
                    </w:rPr>
                    <w:t>半成品包装材料</w:t>
                  </w:r>
                </w:p>
              </w:tc>
              <w:tc>
                <w:tcPr>
                  <w:tcW w:w="929" w:type="pct"/>
                  <w:tcMar>
                    <w:top w:w="0" w:type="dxa"/>
                    <w:left w:w="0" w:type="dxa"/>
                    <w:bottom w:w="0" w:type="dxa"/>
                    <w:right w:w="0" w:type="dxa"/>
                  </w:tcMar>
                  <w:vAlign w:val="center"/>
                </w:tcPr>
                <w:p>
                  <w:pPr>
                    <w:pStyle w:val="50"/>
                    <w:spacing w:line="240" w:lineRule="auto"/>
                    <w:rPr>
                      <w:rFonts w:hint="default" w:eastAsia="宋体"/>
                      <w:color w:val="auto"/>
                      <w:kern w:val="0"/>
                      <w:sz w:val="21"/>
                      <w:szCs w:val="21"/>
                      <w:highlight w:val="none"/>
                      <w:lang w:val="en-US" w:eastAsia="zh-CN" w:bidi="ar"/>
                    </w:rPr>
                  </w:pPr>
                  <w:r>
                    <w:rPr>
                      <w:rFonts w:hint="eastAsia" w:eastAsia="宋体"/>
                      <w:color w:val="auto"/>
                      <w:kern w:val="0"/>
                      <w:sz w:val="21"/>
                      <w:szCs w:val="21"/>
                      <w:highlight w:val="none"/>
                      <w:lang w:bidi="ar"/>
                    </w:rPr>
                    <w:t>聚苯乙烯</w:t>
                  </w:r>
                  <w:r>
                    <w:rPr>
                      <w:rFonts w:hint="eastAsia" w:eastAsia="宋体"/>
                      <w:color w:val="auto"/>
                      <w:kern w:val="0"/>
                      <w:sz w:val="21"/>
                      <w:szCs w:val="21"/>
                      <w:highlight w:val="none"/>
                      <w:lang w:val="en-US" w:eastAsia="zh-CN" w:bidi="ar"/>
                    </w:rPr>
                    <w:t>80%-90%</w:t>
                  </w:r>
                  <w:r>
                    <w:rPr>
                      <w:rFonts w:eastAsia="宋体"/>
                      <w:color w:val="auto"/>
                      <w:kern w:val="0"/>
                      <w:sz w:val="21"/>
                      <w:szCs w:val="21"/>
                      <w:highlight w:val="none"/>
                      <w:lang w:bidi="ar"/>
                    </w:rPr>
                    <w:t>，</w:t>
                  </w:r>
                  <w:r>
                    <w:rPr>
                      <w:rFonts w:hint="eastAsia" w:eastAsia="宋体"/>
                      <w:color w:val="auto"/>
                      <w:kern w:val="0"/>
                      <w:sz w:val="21"/>
                      <w:szCs w:val="21"/>
                      <w:highlight w:val="none"/>
                      <w:lang w:val="en-US" w:eastAsia="zh-CN" w:bidi="ar"/>
                    </w:rPr>
                    <w:t>环戊烷5%-8%，水分≤0.5%，色母粒10%-15%，石粉0.5%-1%，块状</w:t>
                  </w:r>
                </w:p>
              </w:tc>
              <w:tc>
                <w:tcPr>
                  <w:tcW w:w="703" w:type="pct"/>
                  <w:tcMar>
                    <w:top w:w="0" w:type="dxa"/>
                    <w:left w:w="0" w:type="dxa"/>
                    <w:bottom w:w="0" w:type="dxa"/>
                    <w:right w:w="0" w:type="dxa"/>
                  </w:tcMar>
                  <w:vAlign w:val="center"/>
                </w:tcPr>
                <w:p>
                  <w:pPr>
                    <w:widowControl/>
                    <w:spacing w:line="240" w:lineRule="auto"/>
                    <w:jc w:val="center"/>
                    <w:textAlignment w:val="center"/>
                    <w:rPr>
                      <w:rFonts w:hint="default" w:eastAsia="宋体"/>
                      <w:color w:val="auto"/>
                      <w:kern w:val="0"/>
                      <w:sz w:val="21"/>
                      <w:szCs w:val="21"/>
                      <w:highlight w:val="none"/>
                      <w:lang w:val="en-US" w:eastAsia="zh-CN" w:bidi="ar"/>
                    </w:rPr>
                  </w:pPr>
                  <w:r>
                    <w:rPr>
                      <w:rFonts w:hint="eastAsia"/>
                      <w:color w:val="auto"/>
                      <w:kern w:val="0"/>
                      <w:sz w:val="21"/>
                      <w:szCs w:val="21"/>
                      <w:highlight w:val="none"/>
                      <w:lang w:val="en-US" w:eastAsia="zh-CN" w:bidi="ar"/>
                    </w:rPr>
                    <w:t>9000</w:t>
                  </w:r>
                </w:p>
              </w:tc>
              <w:tc>
                <w:tcPr>
                  <w:tcW w:w="927" w:type="pct"/>
                  <w:tcBorders>
                    <w:left w:val="single" w:color="auto" w:sz="4" w:space="0"/>
                    <w:right w:val="single" w:color="auto" w:sz="6" w:space="0"/>
                  </w:tcBorders>
                  <w:tcMar>
                    <w:top w:w="0" w:type="dxa"/>
                    <w:left w:w="0" w:type="dxa"/>
                    <w:bottom w:w="0" w:type="dxa"/>
                    <w:right w:w="0" w:type="dxa"/>
                  </w:tcMar>
                  <w:vAlign w:val="center"/>
                </w:tcPr>
                <w:p>
                  <w:pPr>
                    <w:pStyle w:val="50"/>
                    <w:spacing w:line="240" w:lineRule="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堆放</w:t>
                  </w:r>
                </w:p>
              </w:tc>
              <w:tc>
                <w:tcPr>
                  <w:tcW w:w="594" w:type="pct"/>
                  <w:tcMar>
                    <w:top w:w="0" w:type="dxa"/>
                    <w:left w:w="0" w:type="dxa"/>
                    <w:bottom w:w="0" w:type="dxa"/>
                    <w:right w:w="0" w:type="dxa"/>
                  </w:tcMar>
                  <w:vAlign w:val="center"/>
                </w:tcPr>
                <w:p>
                  <w:pPr>
                    <w:widowControl/>
                    <w:spacing w:line="240" w:lineRule="auto"/>
                    <w:jc w:val="center"/>
                    <w:textAlignment w:val="center"/>
                    <w:rPr>
                      <w:rFonts w:hint="default"/>
                      <w:color w:val="auto"/>
                      <w:lang w:val="en-US" w:eastAsia="zh-CN"/>
                    </w:rPr>
                  </w:pPr>
                  <w:r>
                    <w:rPr>
                      <w:rFonts w:hint="eastAsia"/>
                      <w:color w:val="auto"/>
                      <w:lang w:val="en-US" w:eastAsia="zh-CN"/>
                    </w:rPr>
                    <w:t>300</w:t>
                  </w:r>
                </w:p>
              </w:tc>
              <w:tc>
                <w:tcPr>
                  <w:tcW w:w="538" w:type="pct"/>
                  <w:tcMar>
                    <w:top w:w="0" w:type="dxa"/>
                    <w:left w:w="0" w:type="dxa"/>
                    <w:bottom w:w="0" w:type="dxa"/>
                    <w:right w:w="0" w:type="dxa"/>
                  </w:tcMar>
                  <w:vAlign w:val="center"/>
                </w:tcPr>
                <w:p>
                  <w:pPr>
                    <w:pStyle w:val="50"/>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块状</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2" w:type="pct"/>
                  <w:vMerge w:val="restart"/>
                  <w:tcMar>
                    <w:top w:w="0" w:type="dxa"/>
                    <w:left w:w="0" w:type="dxa"/>
                    <w:bottom w:w="0" w:type="dxa"/>
                    <w:right w:w="0" w:type="dxa"/>
                  </w:tcMar>
                  <w:vAlign w:val="center"/>
                </w:tcPr>
                <w:p>
                  <w:pPr>
                    <w:pStyle w:val="50"/>
                    <w:spacing w:line="240" w:lineRule="auto"/>
                    <w:rPr>
                      <w:rFonts w:eastAsia="宋体"/>
                      <w:color w:val="auto"/>
                      <w:sz w:val="21"/>
                      <w:szCs w:val="21"/>
                      <w:highlight w:val="none"/>
                    </w:rPr>
                  </w:pPr>
                  <w:r>
                    <w:rPr>
                      <w:rFonts w:eastAsia="宋体"/>
                      <w:color w:val="auto"/>
                      <w:sz w:val="21"/>
                      <w:szCs w:val="21"/>
                      <w:highlight w:val="none"/>
                    </w:rPr>
                    <w:t>辅料</w:t>
                  </w:r>
                </w:p>
              </w:tc>
              <w:tc>
                <w:tcPr>
                  <w:tcW w:w="803" w:type="pct"/>
                  <w:tcMar>
                    <w:top w:w="0" w:type="dxa"/>
                    <w:left w:w="0" w:type="dxa"/>
                    <w:bottom w:w="0" w:type="dxa"/>
                    <w:right w:w="0" w:type="dxa"/>
                  </w:tcMar>
                  <w:vAlign w:val="center"/>
                </w:tcPr>
                <w:p>
                  <w:pPr>
                    <w:widowControl/>
                    <w:spacing w:line="240" w:lineRule="auto"/>
                    <w:jc w:val="center"/>
                    <w:textAlignment w:val="center"/>
                    <w:rPr>
                      <w:color w:val="auto"/>
                      <w:kern w:val="0"/>
                      <w:sz w:val="21"/>
                      <w:szCs w:val="21"/>
                      <w:highlight w:val="none"/>
                      <w:lang w:bidi="ar"/>
                    </w:rPr>
                  </w:pPr>
                  <w:bookmarkStart w:id="3" w:name="OLE_LINK2"/>
                  <w:r>
                    <w:rPr>
                      <w:rFonts w:hint="eastAsia"/>
                      <w:color w:val="auto"/>
                      <w:kern w:val="0"/>
                      <w:sz w:val="21"/>
                      <w:szCs w:val="21"/>
                      <w:highlight w:val="none"/>
                      <w:lang w:bidi="ar"/>
                    </w:rPr>
                    <w:t>色母粒</w:t>
                  </w:r>
                  <w:bookmarkEnd w:id="3"/>
                </w:p>
              </w:tc>
              <w:tc>
                <w:tcPr>
                  <w:tcW w:w="929" w:type="pct"/>
                  <w:tcMar>
                    <w:top w:w="0" w:type="dxa"/>
                    <w:left w:w="0" w:type="dxa"/>
                    <w:bottom w:w="0" w:type="dxa"/>
                    <w:right w:w="0" w:type="dxa"/>
                  </w:tcMar>
                  <w:vAlign w:val="center"/>
                </w:tcPr>
                <w:p>
                  <w:pPr>
                    <w:pStyle w:val="50"/>
                    <w:spacing w:line="240" w:lineRule="auto"/>
                    <w:rPr>
                      <w:rFonts w:eastAsia="宋体"/>
                      <w:color w:val="auto"/>
                      <w:kern w:val="0"/>
                      <w:sz w:val="21"/>
                      <w:szCs w:val="21"/>
                      <w:highlight w:val="none"/>
                    </w:rPr>
                  </w:pPr>
                  <w:r>
                    <w:rPr>
                      <w:rFonts w:hint="eastAsia" w:eastAsia="宋体"/>
                      <w:color w:val="auto"/>
                      <w:kern w:val="0"/>
                      <w:sz w:val="21"/>
                      <w:szCs w:val="21"/>
                      <w:highlight w:val="none"/>
                      <w:lang w:bidi="ar"/>
                    </w:rPr>
                    <w:t>颜料等，</w:t>
                  </w:r>
                  <w:r>
                    <w:rPr>
                      <w:rFonts w:eastAsia="宋体"/>
                      <w:color w:val="auto"/>
                      <w:kern w:val="0"/>
                      <w:sz w:val="21"/>
                      <w:szCs w:val="21"/>
                      <w:highlight w:val="none"/>
                      <w:lang w:bidi="ar"/>
                    </w:rPr>
                    <w:t>粒径</w:t>
                  </w:r>
                  <w:r>
                    <w:rPr>
                      <w:rFonts w:hint="eastAsia" w:eastAsia="宋体"/>
                      <w:color w:val="auto"/>
                      <w:kern w:val="0"/>
                      <w:sz w:val="21"/>
                      <w:szCs w:val="21"/>
                      <w:highlight w:val="none"/>
                      <w:lang w:bidi="ar"/>
                    </w:rPr>
                    <w:t>3-5</w:t>
                  </w:r>
                  <w:r>
                    <w:rPr>
                      <w:rFonts w:eastAsia="宋体"/>
                      <w:color w:val="auto"/>
                      <w:kern w:val="0"/>
                      <w:sz w:val="21"/>
                      <w:szCs w:val="21"/>
                      <w:highlight w:val="none"/>
                      <w:lang w:bidi="ar"/>
                    </w:rPr>
                    <w:t>mm</w:t>
                  </w:r>
                </w:p>
              </w:tc>
              <w:tc>
                <w:tcPr>
                  <w:tcW w:w="703" w:type="pct"/>
                  <w:tcMar>
                    <w:top w:w="0" w:type="dxa"/>
                    <w:left w:w="0" w:type="dxa"/>
                    <w:bottom w:w="0" w:type="dxa"/>
                    <w:right w:w="0" w:type="dxa"/>
                  </w:tcMar>
                  <w:vAlign w:val="center"/>
                </w:tcPr>
                <w:p>
                  <w:pPr>
                    <w:widowControl/>
                    <w:spacing w:line="240" w:lineRule="auto"/>
                    <w:jc w:val="center"/>
                    <w:textAlignment w:val="center"/>
                    <w:rPr>
                      <w:color w:val="auto"/>
                      <w:kern w:val="0"/>
                      <w:sz w:val="21"/>
                      <w:szCs w:val="21"/>
                      <w:highlight w:val="none"/>
                      <w:lang w:bidi="ar"/>
                    </w:rPr>
                  </w:pPr>
                  <w:r>
                    <w:rPr>
                      <w:rFonts w:hint="eastAsia"/>
                      <w:color w:val="auto"/>
                      <w:kern w:val="0"/>
                      <w:sz w:val="21"/>
                      <w:szCs w:val="21"/>
                      <w:highlight w:val="none"/>
                      <w:lang w:bidi="ar"/>
                    </w:rPr>
                    <w:t>150</w:t>
                  </w:r>
                </w:p>
              </w:tc>
              <w:tc>
                <w:tcPr>
                  <w:tcW w:w="927" w:type="pct"/>
                  <w:tcBorders>
                    <w:left w:val="single" w:color="auto" w:sz="4" w:space="0"/>
                    <w:right w:val="single" w:color="auto" w:sz="6" w:space="0"/>
                  </w:tcBorders>
                  <w:tcMar>
                    <w:top w:w="0" w:type="dxa"/>
                    <w:left w:w="0" w:type="dxa"/>
                    <w:bottom w:w="0" w:type="dxa"/>
                    <w:right w:w="0" w:type="dxa"/>
                  </w:tcMar>
                  <w:vAlign w:val="center"/>
                </w:tcPr>
                <w:p>
                  <w:pPr>
                    <w:pStyle w:val="50"/>
                    <w:spacing w:line="240" w:lineRule="auto"/>
                    <w:rPr>
                      <w:rFonts w:eastAsia="宋体"/>
                      <w:color w:val="auto"/>
                      <w:kern w:val="0"/>
                      <w:sz w:val="21"/>
                      <w:szCs w:val="21"/>
                      <w:highlight w:val="none"/>
                    </w:rPr>
                  </w:pPr>
                  <w:r>
                    <w:rPr>
                      <w:rFonts w:eastAsia="宋体"/>
                      <w:color w:val="auto"/>
                      <w:kern w:val="0"/>
                      <w:sz w:val="21"/>
                      <w:szCs w:val="21"/>
                      <w:highlight w:val="none"/>
                    </w:rPr>
                    <w:t>桶装，</w:t>
                  </w:r>
                  <w:r>
                    <w:rPr>
                      <w:rFonts w:hint="eastAsia" w:eastAsia="宋体"/>
                      <w:color w:val="auto"/>
                      <w:kern w:val="0"/>
                      <w:sz w:val="21"/>
                      <w:szCs w:val="21"/>
                      <w:highlight w:val="none"/>
                    </w:rPr>
                    <w:t>2</w:t>
                  </w:r>
                  <w:r>
                    <w:rPr>
                      <w:rFonts w:eastAsia="宋体"/>
                      <w:color w:val="auto"/>
                      <w:kern w:val="0"/>
                      <w:sz w:val="21"/>
                      <w:szCs w:val="21"/>
                      <w:highlight w:val="none"/>
                    </w:rPr>
                    <w:t>5kg/桶</w:t>
                  </w:r>
                </w:p>
              </w:tc>
              <w:tc>
                <w:tcPr>
                  <w:tcW w:w="594" w:type="pct"/>
                  <w:tcMar>
                    <w:top w:w="0" w:type="dxa"/>
                    <w:left w:w="0" w:type="dxa"/>
                    <w:bottom w:w="0" w:type="dxa"/>
                    <w:right w:w="0" w:type="dxa"/>
                  </w:tcMar>
                  <w:vAlign w:val="center"/>
                </w:tcPr>
                <w:p>
                  <w:pPr>
                    <w:widowControl/>
                    <w:spacing w:line="240" w:lineRule="auto"/>
                    <w:jc w:val="center"/>
                    <w:textAlignment w:val="center"/>
                    <w:rPr>
                      <w:rFonts w:hint="default" w:eastAsia="宋体"/>
                      <w:color w:val="auto"/>
                      <w:kern w:val="0"/>
                      <w:sz w:val="21"/>
                      <w:szCs w:val="21"/>
                      <w:highlight w:val="none"/>
                      <w:lang w:val="en-US" w:eastAsia="zh-CN" w:bidi="ar"/>
                    </w:rPr>
                  </w:pPr>
                  <w:r>
                    <w:rPr>
                      <w:rFonts w:hint="eastAsia"/>
                      <w:color w:val="auto"/>
                      <w:kern w:val="0"/>
                      <w:sz w:val="21"/>
                      <w:szCs w:val="21"/>
                      <w:highlight w:val="none"/>
                      <w:lang w:val="en-US" w:eastAsia="zh-CN" w:bidi="ar"/>
                    </w:rPr>
                    <w:t>20</w:t>
                  </w:r>
                </w:p>
              </w:tc>
              <w:tc>
                <w:tcPr>
                  <w:tcW w:w="538" w:type="pct"/>
                  <w:tcMar>
                    <w:top w:w="0" w:type="dxa"/>
                    <w:left w:w="0" w:type="dxa"/>
                    <w:bottom w:w="0" w:type="dxa"/>
                    <w:right w:w="0" w:type="dxa"/>
                  </w:tcMar>
                  <w:vAlign w:val="center"/>
                </w:tcPr>
                <w:p>
                  <w:pPr>
                    <w:pStyle w:val="50"/>
                    <w:spacing w:line="240" w:lineRule="auto"/>
                    <w:rPr>
                      <w:rFonts w:eastAsia="宋体"/>
                      <w:color w:val="auto"/>
                      <w:sz w:val="21"/>
                      <w:szCs w:val="21"/>
                      <w:highlight w:val="none"/>
                    </w:rPr>
                  </w:pPr>
                  <w:r>
                    <w:rPr>
                      <w:rFonts w:hint="eastAsia" w:eastAsia="宋体"/>
                      <w:color w:val="auto"/>
                      <w:sz w:val="21"/>
                      <w:szCs w:val="21"/>
                      <w:highlight w:val="none"/>
                    </w:rPr>
                    <w:t>颗粒态</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2" w:type="pct"/>
                  <w:vMerge w:val="continue"/>
                  <w:tcMar>
                    <w:top w:w="0" w:type="dxa"/>
                    <w:left w:w="0" w:type="dxa"/>
                    <w:bottom w:w="0" w:type="dxa"/>
                    <w:right w:w="0" w:type="dxa"/>
                  </w:tcMar>
                  <w:vAlign w:val="center"/>
                </w:tcPr>
                <w:p>
                  <w:pPr>
                    <w:pStyle w:val="50"/>
                    <w:spacing w:line="240" w:lineRule="auto"/>
                    <w:rPr>
                      <w:rFonts w:eastAsia="宋体"/>
                      <w:color w:val="auto"/>
                      <w:sz w:val="21"/>
                      <w:szCs w:val="21"/>
                      <w:highlight w:val="none"/>
                    </w:rPr>
                  </w:pPr>
                </w:p>
              </w:tc>
              <w:tc>
                <w:tcPr>
                  <w:tcW w:w="803" w:type="pct"/>
                  <w:tcMar>
                    <w:top w:w="0" w:type="dxa"/>
                    <w:left w:w="0" w:type="dxa"/>
                    <w:bottom w:w="0" w:type="dxa"/>
                    <w:right w:w="0" w:type="dxa"/>
                  </w:tcMar>
                  <w:vAlign w:val="center"/>
                </w:tcPr>
                <w:p>
                  <w:pPr>
                    <w:widowControl/>
                    <w:spacing w:line="240" w:lineRule="auto"/>
                    <w:jc w:val="center"/>
                    <w:textAlignment w:val="center"/>
                    <w:rPr>
                      <w:rFonts w:hint="default"/>
                      <w:color w:val="auto"/>
                      <w:kern w:val="0"/>
                      <w:sz w:val="21"/>
                      <w:szCs w:val="21"/>
                      <w:highlight w:val="none"/>
                      <w:lang w:val="en-US" w:eastAsia="zh-CN" w:bidi="ar"/>
                    </w:rPr>
                  </w:pPr>
                  <w:r>
                    <w:rPr>
                      <w:rFonts w:hint="eastAsia"/>
                      <w:color w:val="auto"/>
                      <w:kern w:val="0"/>
                      <w:sz w:val="21"/>
                      <w:szCs w:val="21"/>
                      <w:highlight w:val="none"/>
                      <w:lang w:val="en-US" w:eastAsia="zh-CN" w:bidi="ar"/>
                    </w:rPr>
                    <w:t>石粉</w:t>
                  </w:r>
                </w:p>
              </w:tc>
              <w:tc>
                <w:tcPr>
                  <w:tcW w:w="929" w:type="pct"/>
                  <w:tcMar>
                    <w:top w:w="0" w:type="dxa"/>
                    <w:left w:w="0" w:type="dxa"/>
                    <w:bottom w:w="0" w:type="dxa"/>
                    <w:right w:w="0" w:type="dxa"/>
                  </w:tcMar>
                  <w:vAlign w:val="center"/>
                </w:tcPr>
                <w:p>
                  <w:pPr>
                    <w:widowControl/>
                    <w:spacing w:line="240" w:lineRule="auto"/>
                    <w:jc w:val="center"/>
                    <w:textAlignment w:val="center"/>
                    <w:rPr>
                      <w:rFonts w:hint="default"/>
                      <w:color w:val="auto"/>
                      <w:kern w:val="0"/>
                      <w:sz w:val="21"/>
                      <w:szCs w:val="21"/>
                      <w:highlight w:val="none"/>
                      <w:lang w:val="en-US" w:eastAsia="zh-CN" w:bidi="ar"/>
                    </w:rPr>
                  </w:pPr>
                  <w:r>
                    <w:rPr>
                      <w:rFonts w:hint="eastAsia"/>
                      <w:color w:val="auto"/>
                      <w:kern w:val="0"/>
                      <w:sz w:val="21"/>
                      <w:szCs w:val="21"/>
                      <w:highlight w:val="none"/>
                      <w:lang w:val="en-US" w:eastAsia="zh-CN" w:bidi="ar"/>
                    </w:rPr>
                    <w:t>碳酸钙</w:t>
                  </w:r>
                </w:p>
              </w:tc>
              <w:tc>
                <w:tcPr>
                  <w:tcW w:w="703" w:type="pct"/>
                  <w:tcMar>
                    <w:top w:w="0" w:type="dxa"/>
                    <w:left w:w="0" w:type="dxa"/>
                    <w:bottom w:w="0" w:type="dxa"/>
                    <w:right w:w="0" w:type="dxa"/>
                  </w:tcMar>
                  <w:vAlign w:val="center"/>
                </w:tcPr>
                <w:p>
                  <w:pPr>
                    <w:widowControl/>
                    <w:spacing w:line="240" w:lineRule="auto"/>
                    <w:jc w:val="center"/>
                    <w:textAlignment w:val="center"/>
                    <w:rPr>
                      <w:rFonts w:hint="eastAsia" w:eastAsia="宋体"/>
                      <w:color w:val="auto"/>
                      <w:kern w:val="0"/>
                      <w:sz w:val="21"/>
                      <w:szCs w:val="21"/>
                      <w:highlight w:val="none"/>
                      <w:lang w:val="en-US" w:eastAsia="zh-CN" w:bidi="ar"/>
                    </w:rPr>
                  </w:pPr>
                  <w:r>
                    <w:rPr>
                      <w:rFonts w:hint="eastAsia"/>
                      <w:color w:val="auto"/>
                      <w:kern w:val="0"/>
                      <w:sz w:val="21"/>
                      <w:szCs w:val="21"/>
                      <w:highlight w:val="none"/>
                      <w:lang w:val="en-US" w:eastAsia="zh-CN" w:bidi="ar"/>
                    </w:rPr>
                    <w:t>6</w:t>
                  </w:r>
                </w:p>
              </w:tc>
              <w:tc>
                <w:tcPr>
                  <w:tcW w:w="927" w:type="pct"/>
                  <w:tcBorders>
                    <w:left w:val="single" w:color="auto" w:sz="4" w:space="0"/>
                    <w:right w:val="single" w:color="auto" w:sz="6" w:space="0"/>
                  </w:tcBorders>
                  <w:tcMar>
                    <w:top w:w="0" w:type="dxa"/>
                    <w:left w:w="0" w:type="dxa"/>
                    <w:bottom w:w="0" w:type="dxa"/>
                    <w:right w:w="0" w:type="dxa"/>
                  </w:tcMar>
                  <w:vAlign w:val="center"/>
                </w:tcPr>
                <w:p>
                  <w:pPr>
                    <w:pStyle w:val="50"/>
                    <w:spacing w:line="240" w:lineRule="auto"/>
                    <w:rPr>
                      <w:rFonts w:hint="eastAsia" w:eastAsia="宋体"/>
                      <w:color w:val="auto"/>
                      <w:kern w:val="0"/>
                      <w:sz w:val="21"/>
                      <w:szCs w:val="21"/>
                      <w:highlight w:val="none"/>
                      <w:lang w:val="en-US" w:eastAsia="zh-CN"/>
                    </w:rPr>
                  </w:pPr>
                  <w:r>
                    <w:rPr>
                      <w:rFonts w:hint="eastAsia" w:eastAsia="宋体"/>
                      <w:color w:val="auto"/>
                      <w:kern w:val="0"/>
                      <w:sz w:val="21"/>
                      <w:szCs w:val="21"/>
                      <w:highlight w:val="none"/>
                      <w:lang w:val="en-US" w:eastAsia="zh-CN"/>
                    </w:rPr>
                    <w:t>袋装</w:t>
                  </w:r>
                  <w:r>
                    <w:rPr>
                      <w:rFonts w:eastAsia="宋体"/>
                      <w:color w:val="auto"/>
                      <w:kern w:val="0"/>
                      <w:sz w:val="21"/>
                      <w:szCs w:val="21"/>
                      <w:highlight w:val="none"/>
                    </w:rPr>
                    <w:t>，</w:t>
                  </w:r>
                  <w:r>
                    <w:rPr>
                      <w:rFonts w:hint="eastAsia" w:eastAsia="宋体"/>
                      <w:color w:val="auto"/>
                      <w:kern w:val="0"/>
                      <w:sz w:val="21"/>
                      <w:szCs w:val="21"/>
                      <w:highlight w:val="none"/>
                    </w:rPr>
                    <w:t>2</w:t>
                  </w:r>
                  <w:r>
                    <w:rPr>
                      <w:rFonts w:eastAsia="宋体"/>
                      <w:color w:val="auto"/>
                      <w:kern w:val="0"/>
                      <w:sz w:val="21"/>
                      <w:szCs w:val="21"/>
                      <w:highlight w:val="none"/>
                    </w:rPr>
                    <w:t>5kg/</w:t>
                  </w:r>
                  <w:r>
                    <w:rPr>
                      <w:rFonts w:hint="eastAsia" w:eastAsia="宋体"/>
                      <w:color w:val="auto"/>
                      <w:kern w:val="0"/>
                      <w:sz w:val="21"/>
                      <w:szCs w:val="21"/>
                      <w:highlight w:val="none"/>
                      <w:lang w:val="en-US" w:eastAsia="zh-CN"/>
                    </w:rPr>
                    <w:t>袋</w:t>
                  </w:r>
                </w:p>
              </w:tc>
              <w:tc>
                <w:tcPr>
                  <w:tcW w:w="594" w:type="pct"/>
                  <w:tcMar>
                    <w:top w:w="0" w:type="dxa"/>
                    <w:left w:w="0" w:type="dxa"/>
                    <w:bottom w:w="0" w:type="dxa"/>
                    <w:right w:w="0" w:type="dxa"/>
                  </w:tcMar>
                  <w:vAlign w:val="center"/>
                </w:tcPr>
                <w:p>
                  <w:pPr>
                    <w:widowControl/>
                    <w:spacing w:line="240" w:lineRule="auto"/>
                    <w:jc w:val="center"/>
                    <w:textAlignment w:val="center"/>
                    <w:rPr>
                      <w:rFonts w:hint="default" w:eastAsia="宋体"/>
                      <w:color w:val="auto"/>
                      <w:kern w:val="0"/>
                      <w:sz w:val="21"/>
                      <w:szCs w:val="21"/>
                      <w:highlight w:val="none"/>
                      <w:lang w:val="en-US" w:eastAsia="zh-CN" w:bidi="ar"/>
                    </w:rPr>
                  </w:pPr>
                  <w:r>
                    <w:rPr>
                      <w:rFonts w:hint="eastAsia"/>
                      <w:color w:val="auto"/>
                      <w:kern w:val="0"/>
                      <w:sz w:val="21"/>
                      <w:szCs w:val="21"/>
                      <w:highlight w:val="none"/>
                      <w:lang w:val="en-US" w:eastAsia="zh-CN" w:bidi="ar"/>
                    </w:rPr>
                    <w:t>0.8</w:t>
                  </w:r>
                </w:p>
              </w:tc>
              <w:tc>
                <w:tcPr>
                  <w:tcW w:w="538" w:type="pct"/>
                  <w:tcMar>
                    <w:top w:w="0" w:type="dxa"/>
                    <w:left w:w="0" w:type="dxa"/>
                    <w:bottom w:w="0" w:type="dxa"/>
                    <w:right w:w="0" w:type="dxa"/>
                  </w:tcMar>
                  <w:vAlign w:val="center"/>
                </w:tcPr>
                <w:p>
                  <w:pPr>
                    <w:pStyle w:val="50"/>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粉末状</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2" w:type="pct"/>
                  <w:vMerge w:val="continue"/>
                  <w:tcMar>
                    <w:top w:w="0" w:type="dxa"/>
                    <w:left w:w="0" w:type="dxa"/>
                    <w:bottom w:w="0" w:type="dxa"/>
                    <w:right w:w="0" w:type="dxa"/>
                  </w:tcMar>
                  <w:vAlign w:val="center"/>
                </w:tcPr>
                <w:p>
                  <w:pPr>
                    <w:pStyle w:val="50"/>
                    <w:spacing w:line="240" w:lineRule="auto"/>
                    <w:rPr>
                      <w:rFonts w:eastAsia="宋体"/>
                      <w:color w:val="auto"/>
                      <w:sz w:val="21"/>
                      <w:szCs w:val="21"/>
                      <w:highlight w:val="none"/>
                    </w:rPr>
                  </w:pPr>
                </w:p>
              </w:tc>
              <w:tc>
                <w:tcPr>
                  <w:tcW w:w="803" w:type="pct"/>
                  <w:tcMar>
                    <w:top w:w="0" w:type="dxa"/>
                    <w:left w:w="0" w:type="dxa"/>
                    <w:bottom w:w="0" w:type="dxa"/>
                    <w:right w:w="0" w:type="dxa"/>
                  </w:tcMar>
                  <w:vAlign w:val="center"/>
                </w:tcPr>
                <w:p>
                  <w:pPr>
                    <w:widowControl/>
                    <w:spacing w:line="240" w:lineRule="auto"/>
                    <w:jc w:val="center"/>
                    <w:textAlignment w:val="center"/>
                    <w:rPr>
                      <w:rFonts w:hint="default" w:eastAsia="宋体"/>
                      <w:color w:val="auto"/>
                      <w:kern w:val="0"/>
                      <w:sz w:val="21"/>
                      <w:szCs w:val="21"/>
                      <w:highlight w:val="none"/>
                      <w:lang w:val="en-US" w:eastAsia="zh-CN" w:bidi="ar"/>
                    </w:rPr>
                  </w:pPr>
                  <w:r>
                    <w:rPr>
                      <w:rFonts w:hint="eastAsia"/>
                      <w:color w:val="auto"/>
                      <w:kern w:val="0"/>
                      <w:sz w:val="21"/>
                      <w:szCs w:val="21"/>
                      <w:highlight w:val="none"/>
                      <w:lang w:val="en-US" w:eastAsia="zh-CN" w:bidi="ar"/>
                    </w:rPr>
                    <w:t>CO</w:t>
                  </w:r>
                  <w:r>
                    <w:rPr>
                      <w:rFonts w:hint="eastAsia"/>
                      <w:color w:val="auto"/>
                      <w:kern w:val="0"/>
                      <w:sz w:val="21"/>
                      <w:szCs w:val="21"/>
                      <w:highlight w:val="none"/>
                      <w:vertAlign w:val="subscript"/>
                      <w:lang w:val="en-US" w:eastAsia="zh-CN" w:bidi="ar"/>
                    </w:rPr>
                    <w:t>2</w:t>
                  </w:r>
                </w:p>
              </w:tc>
              <w:tc>
                <w:tcPr>
                  <w:tcW w:w="929" w:type="pct"/>
                  <w:tcMar>
                    <w:top w:w="0" w:type="dxa"/>
                    <w:left w:w="0" w:type="dxa"/>
                    <w:bottom w:w="0" w:type="dxa"/>
                    <w:right w:w="0" w:type="dxa"/>
                  </w:tcMar>
                  <w:vAlign w:val="center"/>
                </w:tcPr>
                <w:p>
                  <w:pPr>
                    <w:pStyle w:val="50"/>
                    <w:spacing w:line="240" w:lineRule="auto"/>
                    <w:rPr>
                      <w:rFonts w:hint="eastAsia" w:eastAsia="宋体"/>
                      <w:color w:val="auto"/>
                      <w:kern w:val="0"/>
                      <w:sz w:val="21"/>
                      <w:szCs w:val="21"/>
                      <w:highlight w:val="none"/>
                      <w:lang w:val="en-US" w:eastAsia="zh-CN" w:bidi="ar"/>
                    </w:rPr>
                  </w:pPr>
                  <w:r>
                    <w:rPr>
                      <w:rFonts w:hint="eastAsia" w:eastAsia="宋体"/>
                      <w:color w:val="auto"/>
                      <w:kern w:val="0"/>
                      <w:sz w:val="21"/>
                      <w:szCs w:val="21"/>
                      <w:highlight w:val="none"/>
                      <w:lang w:val="en-US" w:eastAsia="zh-CN" w:bidi="ar"/>
                    </w:rPr>
                    <w:t>/</w:t>
                  </w:r>
                </w:p>
              </w:tc>
              <w:tc>
                <w:tcPr>
                  <w:tcW w:w="703" w:type="pct"/>
                  <w:tcMar>
                    <w:top w:w="0" w:type="dxa"/>
                    <w:left w:w="0" w:type="dxa"/>
                    <w:bottom w:w="0" w:type="dxa"/>
                    <w:right w:w="0" w:type="dxa"/>
                  </w:tcMar>
                  <w:vAlign w:val="center"/>
                </w:tcPr>
                <w:p>
                  <w:pPr>
                    <w:widowControl/>
                    <w:spacing w:line="240" w:lineRule="auto"/>
                    <w:jc w:val="center"/>
                    <w:textAlignment w:val="center"/>
                    <w:rPr>
                      <w:rFonts w:hint="default" w:eastAsia="宋体"/>
                      <w:color w:val="auto"/>
                      <w:kern w:val="0"/>
                      <w:sz w:val="21"/>
                      <w:szCs w:val="21"/>
                      <w:highlight w:val="none"/>
                      <w:lang w:val="en-US" w:eastAsia="zh-CN" w:bidi="ar"/>
                    </w:rPr>
                  </w:pPr>
                  <w:r>
                    <w:rPr>
                      <w:rFonts w:hint="eastAsia"/>
                      <w:color w:val="auto"/>
                      <w:kern w:val="0"/>
                      <w:sz w:val="21"/>
                      <w:szCs w:val="21"/>
                      <w:highlight w:val="none"/>
                      <w:lang w:val="en-US" w:eastAsia="zh-CN" w:bidi="ar"/>
                    </w:rPr>
                    <w:t>30（150瓶）</w:t>
                  </w:r>
                </w:p>
              </w:tc>
              <w:tc>
                <w:tcPr>
                  <w:tcW w:w="927" w:type="pct"/>
                  <w:tcBorders>
                    <w:left w:val="single" w:color="auto" w:sz="4" w:space="0"/>
                    <w:right w:val="single" w:color="auto" w:sz="6" w:space="0"/>
                  </w:tcBorders>
                  <w:tcMar>
                    <w:top w:w="0" w:type="dxa"/>
                    <w:left w:w="0" w:type="dxa"/>
                    <w:bottom w:w="0" w:type="dxa"/>
                    <w:right w:w="0" w:type="dxa"/>
                  </w:tcMar>
                  <w:vAlign w:val="center"/>
                </w:tcPr>
                <w:p>
                  <w:pPr>
                    <w:pStyle w:val="50"/>
                    <w:spacing w:line="240" w:lineRule="auto"/>
                    <w:rPr>
                      <w:rFonts w:hint="eastAsia" w:eastAsia="宋体"/>
                      <w:color w:val="auto"/>
                      <w:kern w:val="0"/>
                      <w:sz w:val="21"/>
                      <w:szCs w:val="21"/>
                      <w:highlight w:val="none"/>
                      <w:lang w:val="en-US" w:eastAsia="zh-CN"/>
                    </w:rPr>
                  </w:pPr>
                  <w:r>
                    <w:rPr>
                      <w:rFonts w:hint="eastAsia" w:eastAsia="宋体"/>
                      <w:color w:val="auto"/>
                      <w:kern w:val="0"/>
                      <w:sz w:val="21"/>
                      <w:szCs w:val="21"/>
                      <w:highlight w:val="none"/>
                      <w:lang w:val="en-US" w:eastAsia="zh-CN"/>
                    </w:rPr>
                    <w:t>瓶装</w:t>
                  </w:r>
                  <w:r>
                    <w:rPr>
                      <w:rFonts w:eastAsia="宋体"/>
                      <w:color w:val="auto"/>
                      <w:kern w:val="0"/>
                      <w:sz w:val="21"/>
                      <w:szCs w:val="21"/>
                      <w:highlight w:val="none"/>
                    </w:rPr>
                    <w:t>，</w:t>
                  </w:r>
                  <w:r>
                    <w:rPr>
                      <w:rFonts w:hint="eastAsia" w:eastAsia="宋体"/>
                      <w:color w:val="auto"/>
                      <w:kern w:val="0"/>
                      <w:sz w:val="21"/>
                      <w:szCs w:val="21"/>
                      <w:highlight w:val="none"/>
                      <w:lang w:val="en-US" w:eastAsia="zh-CN"/>
                    </w:rPr>
                    <w:t>200</w:t>
                  </w:r>
                  <w:r>
                    <w:rPr>
                      <w:rFonts w:eastAsia="宋体"/>
                      <w:color w:val="auto"/>
                      <w:kern w:val="0"/>
                      <w:sz w:val="21"/>
                      <w:szCs w:val="21"/>
                      <w:highlight w:val="none"/>
                    </w:rPr>
                    <w:t>kg/</w:t>
                  </w:r>
                  <w:r>
                    <w:rPr>
                      <w:rFonts w:hint="eastAsia" w:eastAsia="宋体"/>
                      <w:color w:val="auto"/>
                      <w:kern w:val="0"/>
                      <w:sz w:val="21"/>
                      <w:szCs w:val="21"/>
                      <w:highlight w:val="none"/>
                      <w:lang w:val="en-US" w:eastAsia="zh-CN"/>
                    </w:rPr>
                    <w:t>瓶</w:t>
                  </w:r>
                </w:p>
              </w:tc>
              <w:tc>
                <w:tcPr>
                  <w:tcW w:w="594" w:type="pct"/>
                  <w:tcMar>
                    <w:top w:w="0" w:type="dxa"/>
                    <w:left w:w="0" w:type="dxa"/>
                    <w:bottom w:w="0" w:type="dxa"/>
                    <w:right w:w="0" w:type="dxa"/>
                  </w:tcMar>
                  <w:vAlign w:val="center"/>
                </w:tcPr>
                <w:p>
                  <w:pPr>
                    <w:widowControl/>
                    <w:spacing w:line="240" w:lineRule="auto"/>
                    <w:jc w:val="center"/>
                    <w:textAlignment w:val="center"/>
                    <w:rPr>
                      <w:rFonts w:hint="eastAsia" w:eastAsia="宋体"/>
                      <w:color w:val="auto"/>
                      <w:kern w:val="0"/>
                      <w:sz w:val="21"/>
                      <w:szCs w:val="21"/>
                      <w:highlight w:val="none"/>
                      <w:lang w:val="en-US" w:eastAsia="zh-CN" w:bidi="ar"/>
                    </w:rPr>
                  </w:pPr>
                  <w:r>
                    <w:rPr>
                      <w:rFonts w:hint="eastAsia"/>
                      <w:color w:val="auto"/>
                      <w:kern w:val="0"/>
                      <w:sz w:val="21"/>
                      <w:szCs w:val="21"/>
                      <w:highlight w:val="none"/>
                      <w:lang w:val="en-US" w:eastAsia="zh-CN" w:bidi="ar"/>
                    </w:rPr>
                    <w:t>3</w:t>
                  </w:r>
                </w:p>
              </w:tc>
              <w:tc>
                <w:tcPr>
                  <w:tcW w:w="538" w:type="pct"/>
                  <w:tcMar>
                    <w:top w:w="0" w:type="dxa"/>
                    <w:left w:w="0" w:type="dxa"/>
                    <w:bottom w:w="0" w:type="dxa"/>
                    <w:right w:w="0" w:type="dxa"/>
                  </w:tcMar>
                  <w:vAlign w:val="center"/>
                </w:tcPr>
                <w:p>
                  <w:pPr>
                    <w:pStyle w:val="50"/>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气态</w:t>
                  </w:r>
                </w:p>
              </w:tc>
            </w:tr>
          </w:tbl>
          <w:p>
            <w:pPr>
              <w:pStyle w:val="48"/>
              <w:keepNext w:val="0"/>
              <w:keepLines w:val="0"/>
              <w:pageBreakBefore w:val="0"/>
              <w:widowControl w:val="0"/>
              <w:kinsoku/>
              <w:wordWrap/>
              <w:overflowPunct/>
              <w:topLinePunct w:val="0"/>
              <w:autoSpaceDE/>
              <w:autoSpaceDN/>
              <w:bidi w:val="0"/>
              <w:adjustRightInd/>
              <w:snapToGrid/>
              <w:spacing w:before="0" w:beforeLines="0" w:after="0" w:afterLines="0" w:line="240" w:lineRule="auto"/>
              <w:jc w:val="both"/>
              <w:textAlignment w:val="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注：本项目不使用再生塑料。</w:t>
            </w:r>
          </w:p>
          <w:p>
            <w:pPr>
              <w:pStyle w:val="48"/>
              <w:spacing w:before="120" w:beforeLines="50" w:after="0" w:afterLines="0"/>
              <w:rPr>
                <w:rFonts w:eastAsia="宋体"/>
                <w:color w:val="auto"/>
                <w:sz w:val="21"/>
                <w:szCs w:val="21"/>
                <w:highlight w:val="none"/>
              </w:rPr>
            </w:pPr>
          </w:p>
          <w:p>
            <w:pPr>
              <w:pStyle w:val="48"/>
              <w:spacing w:before="120" w:beforeLines="50" w:after="0" w:afterLines="0"/>
              <w:rPr>
                <w:rFonts w:eastAsia="宋体"/>
                <w:color w:val="auto"/>
                <w:sz w:val="21"/>
                <w:szCs w:val="21"/>
                <w:highlight w:val="none"/>
              </w:rPr>
            </w:pPr>
          </w:p>
          <w:p>
            <w:pPr>
              <w:pStyle w:val="48"/>
              <w:spacing w:before="120" w:beforeLines="50" w:after="0" w:afterLines="0"/>
              <w:rPr>
                <w:rFonts w:eastAsia="宋体"/>
                <w:color w:val="auto"/>
                <w:sz w:val="21"/>
                <w:szCs w:val="21"/>
                <w:highlight w:val="none"/>
              </w:rPr>
            </w:pPr>
          </w:p>
          <w:p>
            <w:pPr>
              <w:pStyle w:val="48"/>
              <w:spacing w:before="120" w:beforeLines="50" w:after="0" w:afterLines="0"/>
              <w:rPr>
                <w:rFonts w:eastAsia="宋体"/>
                <w:color w:val="auto"/>
                <w:sz w:val="21"/>
                <w:szCs w:val="21"/>
                <w:highlight w:val="none"/>
              </w:rPr>
            </w:pPr>
          </w:p>
          <w:p>
            <w:pPr>
              <w:pStyle w:val="48"/>
              <w:spacing w:before="120" w:beforeLines="50" w:after="0" w:afterLines="0"/>
              <w:jc w:val="center"/>
              <w:rPr>
                <w:rFonts w:eastAsia="宋体"/>
                <w:color w:val="auto"/>
                <w:sz w:val="21"/>
                <w:szCs w:val="21"/>
                <w:highlight w:val="none"/>
              </w:rPr>
            </w:pPr>
            <w:r>
              <w:rPr>
                <w:rFonts w:eastAsia="宋体"/>
                <w:color w:val="auto"/>
                <w:sz w:val="21"/>
                <w:szCs w:val="21"/>
                <w:highlight w:val="none"/>
              </w:rPr>
              <w:t>表2</w:t>
            </w:r>
            <w:r>
              <w:rPr>
                <w:rFonts w:hint="eastAsia" w:eastAsia="宋体"/>
                <w:color w:val="auto"/>
                <w:sz w:val="21"/>
                <w:szCs w:val="21"/>
                <w:highlight w:val="none"/>
              </w:rPr>
              <w:t>-5</w:t>
            </w:r>
            <w:r>
              <w:rPr>
                <w:rFonts w:eastAsia="宋体"/>
                <w:color w:val="auto"/>
                <w:sz w:val="21"/>
                <w:szCs w:val="21"/>
                <w:highlight w:val="none"/>
              </w:rPr>
              <w:t xml:space="preserve"> 主要原辅料及成分理化特性、毒性毒理</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3594"/>
              <w:gridCol w:w="1311"/>
              <w:gridCol w:w="203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32"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原料名称</w:t>
                  </w:r>
                </w:p>
              </w:tc>
              <w:tc>
                <w:tcPr>
                  <w:tcW w:w="2262"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理化特性</w:t>
                  </w:r>
                </w:p>
              </w:tc>
              <w:tc>
                <w:tcPr>
                  <w:tcW w:w="825"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燃烧爆炸性</w:t>
                  </w:r>
                </w:p>
              </w:tc>
              <w:tc>
                <w:tcPr>
                  <w:tcW w:w="1279"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毒性毒理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732" w:hRule="atLeast"/>
                <w:jc w:val="center"/>
              </w:trPr>
              <w:tc>
                <w:tcPr>
                  <w:tcW w:w="632" w:type="pct"/>
                  <w:vAlign w:val="center"/>
                </w:tcPr>
                <w:p>
                  <w:pPr>
                    <w:pStyle w:val="49"/>
                    <w:spacing w:line="240" w:lineRule="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color w:val="auto"/>
                      <w:sz w:val="21"/>
                      <w:szCs w:val="21"/>
                      <w:highlight w:val="none"/>
                    </w:rPr>
                    <w:t>EPS</w:t>
                  </w:r>
                </w:p>
              </w:tc>
              <w:tc>
                <w:tcPr>
                  <w:tcW w:w="2262" w:type="pct"/>
                  <w:vAlign w:val="center"/>
                </w:tcPr>
                <w:p>
                  <w:pPr>
                    <w:pStyle w:val="49"/>
                    <w:spacing w:line="24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color w:val="auto"/>
                      <w:sz w:val="21"/>
                      <w:szCs w:val="21"/>
                      <w:highlight w:val="none"/>
                    </w:rPr>
                    <w:t>又称可发性聚苯乙烯，无色、无臭、无味而有光泽的透明固体，主要用于发泡成型，用作保温、隔热、防震、包装材料及漂浮制品。聚苯乙烯分为PS和EPS，PS没有发泡剂，用来注塑、挤片，做电视机、电话外壳、杯子等，EPS含有发泡剂</w:t>
                  </w:r>
                  <w:r>
                    <w:rPr>
                      <w:rFonts w:hint="eastAsia" w:ascii="Times New Roman" w:hAnsi="Times New Roman" w:eastAsia="宋体" w:cs="Times New Roman"/>
                      <w:b w:val="0"/>
                      <w:bCs/>
                      <w:color w:val="auto"/>
                      <w:sz w:val="21"/>
                      <w:szCs w:val="21"/>
                      <w:highlight w:val="none"/>
                      <w:lang w:eastAsia="zh-CN"/>
                    </w:rPr>
                    <w:t>（</w:t>
                  </w:r>
                  <w:r>
                    <w:rPr>
                      <w:rFonts w:hint="eastAsia" w:ascii="Times New Roman" w:hAnsi="Times New Roman" w:eastAsia="宋体" w:cs="Times New Roman"/>
                      <w:b w:val="0"/>
                      <w:bCs/>
                      <w:color w:val="auto"/>
                      <w:sz w:val="21"/>
                      <w:szCs w:val="21"/>
                      <w:highlight w:val="none"/>
                      <w:lang w:val="en-US" w:eastAsia="zh-CN"/>
                    </w:rPr>
                    <w:t>环戊烷</w:t>
                  </w:r>
                  <w:r>
                    <w:rPr>
                      <w:rFonts w:hint="eastAsia" w:ascii="Times New Roman" w:hAnsi="Times New Roman" w:eastAsia="宋体" w:cs="Times New Roman"/>
                      <w:b w:val="0"/>
                      <w:bCs/>
                      <w:color w:val="auto"/>
                      <w:sz w:val="21"/>
                      <w:szCs w:val="21"/>
                      <w:highlight w:val="none"/>
                      <w:lang w:eastAsia="zh-CN"/>
                    </w:rPr>
                    <w:t>）</w:t>
                  </w:r>
                  <w:r>
                    <w:rPr>
                      <w:rFonts w:hint="default" w:ascii="Times New Roman" w:hAnsi="Times New Roman" w:eastAsia="宋体" w:cs="Times New Roman"/>
                      <w:b w:val="0"/>
                      <w:bCs/>
                      <w:color w:val="auto"/>
                      <w:sz w:val="21"/>
                      <w:szCs w:val="21"/>
                      <w:highlight w:val="none"/>
                    </w:rPr>
                    <w:t>的，用</w:t>
                  </w:r>
                  <w:r>
                    <w:rPr>
                      <w:rFonts w:hint="default" w:ascii="Times New Roman" w:hAnsi="Times New Roman" w:eastAsia="宋体" w:cs="Times New Roman"/>
                      <w:b w:val="0"/>
                      <w:bCs/>
                      <w:color w:val="auto"/>
                      <w:sz w:val="21"/>
                      <w:szCs w:val="21"/>
                      <w:highlight w:val="none"/>
                      <w:lang w:val="en-US" w:eastAsia="zh-CN"/>
                    </w:rPr>
                    <w:t>来</w:t>
                  </w:r>
                  <w:r>
                    <w:rPr>
                      <w:rFonts w:hint="default" w:ascii="Times New Roman" w:hAnsi="Times New Roman" w:eastAsia="宋体" w:cs="Times New Roman"/>
                      <w:b w:val="0"/>
                      <w:bCs/>
                      <w:color w:val="auto"/>
                      <w:sz w:val="21"/>
                      <w:szCs w:val="21"/>
                      <w:highlight w:val="none"/>
                    </w:rPr>
                    <w:t>做泡沫塑料。本</w:t>
                  </w:r>
                  <w:r>
                    <w:rPr>
                      <w:rFonts w:hint="default" w:ascii="Times New Roman" w:hAnsi="Times New Roman" w:eastAsia="宋体" w:cs="Times New Roman"/>
                      <w:b w:val="0"/>
                      <w:bCs/>
                      <w:color w:val="auto"/>
                      <w:sz w:val="21"/>
                      <w:szCs w:val="21"/>
                      <w:highlight w:val="none"/>
                      <w:lang w:val="en-US" w:eastAsia="zh-CN"/>
                    </w:rPr>
                    <w:t>项目</w:t>
                  </w:r>
                  <w:r>
                    <w:rPr>
                      <w:rFonts w:hint="default" w:ascii="Times New Roman" w:hAnsi="Times New Roman" w:eastAsia="宋体" w:cs="Times New Roman"/>
                      <w:b w:val="0"/>
                      <w:bCs/>
                      <w:color w:val="auto"/>
                      <w:sz w:val="21"/>
                      <w:szCs w:val="21"/>
                      <w:highlight w:val="none"/>
                    </w:rPr>
                    <w:t>原料为EPS，为阻燃型(F)，受热后可增大5~50倍。</w:t>
                  </w:r>
                </w:p>
              </w:tc>
              <w:tc>
                <w:tcPr>
                  <w:tcW w:w="825" w:type="pct"/>
                  <w:vAlign w:val="center"/>
                </w:tcPr>
                <w:p>
                  <w:pPr>
                    <w:spacing w:line="240" w:lineRule="auto"/>
                    <w:jc w:val="center"/>
                    <w:rPr>
                      <w:rFonts w:ascii="Times New Roman" w:hAnsi="Times New Roman" w:eastAsia="宋体" w:cs="Times New Roman"/>
                      <w:color w:val="auto"/>
                      <w:kern w:val="2"/>
                      <w:sz w:val="21"/>
                      <w:szCs w:val="21"/>
                      <w:highlight w:val="none"/>
                      <w:lang w:val="en-US" w:eastAsia="zh-CN" w:bidi="ar-SA"/>
                    </w:rPr>
                  </w:pPr>
                  <w:r>
                    <w:rPr>
                      <w:rFonts w:hint="eastAsia"/>
                      <w:color w:val="auto"/>
                      <w:kern w:val="0"/>
                      <w:sz w:val="21"/>
                      <w:szCs w:val="21"/>
                      <w:highlight w:val="none"/>
                    </w:rPr>
                    <w:t>可燃</w:t>
                  </w:r>
                </w:p>
              </w:tc>
              <w:tc>
                <w:tcPr>
                  <w:tcW w:w="1279" w:type="pct"/>
                  <w:vAlign w:val="center"/>
                </w:tcPr>
                <w:p>
                  <w:pPr>
                    <w:spacing w:line="240" w:lineRule="auto"/>
                    <w:jc w:val="center"/>
                    <w:rPr>
                      <w:rFonts w:hint="eastAsia"/>
                      <w:color w:val="auto"/>
                    </w:rPr>
                  </w:pPr>
                  <w:r>
                    <w:rPr>
                      <w:rFonts w:hint="eastAsia"/>
                      <w:color w:val="auto"/>
                    </w:rPr>
                    <w:t>[毒性]</w:t>
                  </w:r>
                  <w:r>
                    <w:rPr>
                      <w:rFonts w:hint="eastAsia"/>
                      <w:color w:val="auto"/>
                      <w:lang w:eastAsia="zh-CN"/>
                    </w:rPr>
                    <w:t>：</w:t>
                  </w:r>
                  <w:r>
                    <w:rPr>
                      <w:rFonts w:hint="eastAsia"/>
                      <w:color w:val="auto"/>
                    </w:rPr>
                    <w:t>属低毒类</w:t>
                  </w:r>
                </w:p>
                <w:p>
                  <w:pPr>
                    <w:pStyle w:val="6"/>
                    <w:spacing w:line="240" w:lineRule="auto"/>
                    <w:ind w:left="0" w:leftChars="0" w:firstLine="0" w:firstLineChars="0"/>
                    <w:jc w:val="center"/>
                    <w:rPr>
                      <w:rFonts w:hint="eastAsia"/>
                      <w:color w:val="auto"/>
                      <w:lang w:val="en-US" w:eastAsia="zh-CN"/>
                    </w:rPr>
                  </w:pPr>
                  <w:r>
                    <w:rPr>
                      <w:rFonts w:hint="eastAsia"/>
                      <w:color w:val="auto"/>
                      <w:lang w:val="en-US" w:eastAsia="zh-CN"/>
                    </w:rPr>
                    <w:t>LD</w:t>
                  </w:r>
                  <w:r>
                    <w:rPr>
                      <w:rFonts w:hint="eastAsia"/>
                      <w:color w:val="auto"/>
                      <w:vertAlign w:val="subscript"/>
                      <w:lang w:val="en-US" w:eastAsia="zh-CN"/>
                    </w:rPr>
                    <w:t>50</w:t>
                  </w:r>
                  <w:r>
                    <w:rPr>
                      <w:rFonts w:hint="eastAsia"/>
                      <w:color w:val="auto"/>
                      <w:lang w:val="en-US" w:eastAsia="zh-CN"/>
                    </w:rPr>
                    <w:t>：5000mg/kg(大鼠经口)[毒性]:属低毒类</w:t>
                  </w:r>
                </w:p>
                <w:p>
                  <w:pPr>
                    <w:pStyle w:val="6"/>
                    <w:spacing w:line="240" w:lineRule="auto"/>
                    <w:ind w:left="0" w:leftChars="0" w:firstLine="0" w:firstLineChars="0"/>
                    <w:jc w:val="center"/>
                    <w:rPr>
                      <w:color w:val="auto"/>
                      <w:lang w:val="en-US" w:eastAsia="zh-CN"/>
                    </w:rPr>
                  </w:pPr>
                  <w:r>
                    <w:rPr>
                      <w:rFonts w:hint="eastAsia"/>
                      <w:color w:val="auto"/>
                      <w:lang w:val="en-US" w:eastAsia="zh-CN"/>
                    </w:rPr>
                    <w:t>LC</w:t>
                  </w:r>
                  <w:r>
                    <w:rPr>
                      <w:rFonts w:hint="eastAsia"/>
                      <w:color w:val="auto"/>
                      <w:vertAlign w:val="subscript"/>
                      <w:lang w:val="en-US" w:eastAsia="zh-CN"/>
                    </w:rPr>
                    <w:t>50</w:t>
                  </w:r>
                  <w:r>
                    <w:rPr>
                      <w:rFonts w:hint="eastAsia"/>
                      <w:color w:val="auto"/>
                      <w:lang w:val="en-US" w:eastAsia="zh-CN"/>
                    </w:rPr>
                    <w:t>：24000mg/m</w:t>
                  </w:r>
                  <w:r>
                    <w:rPr>
                      <w:rFonts w:hint="eastAsia"/>
                      <w:color w:val="auto"/>
                      <w:vertAlign w:val="superscript"/>
                      <w:lang w:val="en-US" w:eastAsia="zh-CN"/>
                    </w:rPr>
                    <w:t>3</w:t>
                  </w:r>
                  <w:r>
                    <w:rPr>
                      <w:rFonts w:hint="eastAsia"/>
                      <w:color w:val="auto"/>
                      <w:lang w:val="en-US" w:eastAsia="zh-CN"/>
                    </w:rPr>
                    <w:t>4小时(大鼠吸入)</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054" w:hRule="atLeast"/>
                <w:jc w:val="center"/>
              </w:trPr>
              <w:tc>
                <w:tcPr>
                  <w:tcW w:w="632" w:type="pct"/>
                  <w:vAlign w:val="center"/>
                </w:tcPr>
                <w:p>
                  <w:pPr>
                    <w:spacing w:before="48" w:beforeLines="20" w:after="48" w:afterLines="20"/>
                    <w:jc w:val="center"/>
                    <w:rPr>
                      <w:rFonts w:hint="default" w:ascii="Times New Roman" w:hAnsi="Times New Roman" w:eastAsia="宋体" w:cs="Times New Roman"/>
                      <w:color w:val="auto"/>
                      <w:kern w:val="2"/>
                      <w:sz w:val="21"/>
                      <w:szCs w:val="21"/>
                      <w:highlight w:val="none"/>
                      <w:lang w:val="en-US" w:eastAsia="zh-CN" w:bidi="ar-SA"/>
                    </w:rPr>
                  </w:pPr>
                  <w:r>
                    <w:rPr>
                      <w:rFonts w:hint="eastAsia"/>
                      <w:color w:val="auto"/>
                      <w:kern w:val="0"/>
                      <w:sz w:val="21"/>
                      <w:szCs w:val="21"/>
                      <w:highlight w:val="none"/>
                      <w:lang w:bidi="ar"/>
                    </w:rPr>
                    <w:t>聚苯乙烯</w:t>
                  </w:r>
                </w:p>
              </w:tc>
              <w:tc>
                <w:tcPr>
                  <w:tcW w:w="2262" w:type="pct"/>
                  <w:vAlign w:val="center"/>
                </w:tcPr>
                <w:p>
                  <w:pPr>
                    <w:rPr>
                      <w:color w:val="auto"/>
                      <w:kern w:val="0"/>
                      <w:sz w:val="21"/>
                      <w:szCs w:val="21"/>
                      <w:highlight w:val="none"/>
                    </w:rPr>
                  </w:pPr>
                  <w:r>
                    <w:rPr>
                      <w:rFonts w:hint="eastAsia"/>
                      <w:color w:val="auto"/>
                      <w:kern w:val="0"/>
                      <w:sz w:val="21"/>
                      <w:szCs w:val="21"/>
                      <w:highlight w:val="none"/>
                    </w:rPr>
                    <w:t>性状：无色、无臭、无味而有光泽的透明固体；</w:t>
                  </w:r>
                </w:p>
                <w:p>
                  <w:pPr>
                    <w:rPr>
                      <w:color w:val="auto"/>
                      <w:kern w:val="0"/>
                      <w:sz w:val="21"/>
                      <w:szCs w:val="21"/>
                      <w:highlight w:val="none"/>
                    </w:rPr>
                  </w:pPr>
                  <w:r>
                    <w:rPr>
                      <w:rFonts w:hint="eastAsia"/>
                      <w:color w:val="auto"/>
                      <w:kern w:val="0"/>
                      <w:sz w:val="21"/>
                      <w:szCs w:val="21"/>
                      <w:highlight w:val="none"/>
                    </w:rPr>
                    <w:t>相对密度：1.04~1.06；</w:t>
                  </w:r>
                </w:p>
                <w:p>
                  <w:pPr>
                    <w:rPr>
                      <w:rFonts w:hint="default" w:ascii="Times New Roman" w:hAnsi="Times New Roman" w:eastAsia="宋体" w:cs="Times New Roman"/>
                      <w:color w:val="auto"/>
                      <w:kern w:val="2"/>
                      <w:sz w:val="21"/>
                      <w:szCs w:val="21"/>
                      <w:highlight w:val="none"/>
                      <w:lang w:val="en-US" w:eastAsia="zh-CN" w:bidi="ar-SA"/>
                    </w:rPr>
                  </w:pPr>
                  <w:r>
                    <w:rPr>
                      <w:rFonts w:hint="eastAsia"/>
                      <w:color w:val="auto"/>
                      <w:kern w:val="0"/>
                      <w:sz w:val="21"/>
                      <w:szCs w:val="21"/>
                      <w:highlight w:val="none"/>
                    </w:rPr>
                    <w:t>溶解性：溶于芳香烃、氯代烃、脂肪族酮和酯等。</w:t>
                  </w:r>
                </w:p>
              </w:tc>
              <w:tc>
                <w:tcPr>
                  <w:tcW w:w="825" w:type="pct"/>
                  <w:vAlign w:val="center"/>
                </w:tcPr>
                <w:p>
                  <w:pPr>
                    <w:jc w:val="center"/>
                    <w:rPr>
                      <w:rFonts w:hint="eastAsia" w:ascii="Times New Roman" w:hAnsi="Times New Roman" w:eastAsia="宋体" w:cs="Times New Roman"/>
                      <w:color w:val="auto"/>
                      <w:kern w:val="2"/>
                      <w:sz w:val="21"/>
                      <w:szCs w:val="21"/>
                      <w:highlight w:val="none"/>
                      <w:lang w:val="en-US" w:eastAsia="zh-CN" w:bidi="ar-SA"/>
                    </w:rPr>
                  </w:pPr>
                  <w:r>
                    <w:rPr>
                      <w:rFonts w:hint="eastAsia"/>
                      <w:color w:val="auto"/>
                      <w:kern w:val="0"/>
                      <w:sz w:val="21"/>
                      <w:szCs w:val="21"/>
                      <w:highlight w:val="none"/>
                    </w:rPr>
                    <w:t>可燃</w:t>
                  </w:r>
                </w:p>
              </w:tc>
              <w:tc>
                <w:tcPr>
                  <w:tcW w:w="1279" w:type="pct"/>
                  <w:vAlign w:val="center"/>
                </w:tcPr>
                <w:p>
                  <w:pPr>
                    <w:jc w:val="center"/>
                    <w:rPr>
                      <w:rFonts w:ascii="Times New Roman" w:hAnsi="Times New Roman" w:eastAsia="宋体" w:cs="Times New Roman"/>
                      <w:color w:val="auto"/>
                      <w:kern w:val="2"/>
                      <w:sz w:val="21"/>
                      <w:szCs w:val="21"/>
                      <w:highlight w:val="none"/>
                      <w:lang w:val="en-US" w:eastAsia="zh-CN" w:bidi="ar-SA"/>
                    </w:rPr>
                  </w:pPr>
                  <w:r>
                    <w:rPr>
                      <w:rFonts w:hint="eastAsia"/>
                      <w:color w:val="auto"/>
                      <w:kern w:val="0"/>
                      <w:sz w:val="21"/>
                      <w:szCs w:val="21"/>
                      <w:highlight w:val="none"/>
                    </w:rPr>
                    <w:t>无资料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632" w:type="pct"/>
                  <w:vAlign w:val="center"/>
                </w:tcPr>
                <w:p>
                  <w:pPr>
                    <w:spacing w:before="48" w:beforeLines="20" w:after="48" w:afterLines="20"/>
                    <w:jc w:val="center"/>
                    <w:rPr>
                      <w:rFonts w:hint="eastAsia" w:eastAsia="宋体"/>
                      <w:color w:val="auto"/>
                      <w:kern w:val="0"/>
                      <w:sz w:val="21"/>
                      <w:szCs w:val="21"/>
                      <w:highlight w:val="none"/>
                      <w:lang w:val="en-US" w:eastAsia="zh-CN" w:bidi="ar"/>
                    </w:rPr>
                  </w:pPr>
                  <w:r>
                    <w:rPr>
                      <w:rFonts w:hint="eastAsia"/>
                      <w:color w:val="auto"/>
                      <w:kern w:val="0"/>
                      <w:sz w:val="21"/>
                      <w:szCs w:val="21"/>
                      <w:highlight w:val="none"/>
                      <w:lang w:val="en-US" w:eastAsia="zh-CN" w:bidi="ar"/>
                    </w:rPr>
                    <w:t>环戊烷</w:t>
                  </w:r>
                </w:p>
              </w:tc>
              <w:tc>
                <w:tcPr>
                  <w:tcW w:w="2262" w:type="pct"/>
                  <w:vAlign w:val="center"/>
                </w:tcPr>
                <w:p>
                  <w:pPr>
                    <w:rPr>
                      <w:rFonts w:hint="default" w:eastAsia="宋体"/>
                      <w:color w:val="auto"/>
                      <w:kern w:val="0"/>
                      <w:sz w:val="21"/>
                      <w:szCs w:val="21"/>
                      <w:highlight w:val="none"/>
                      <w:lang w:val="en-US" w:eastAsia="zh-CN"/>
                    </w:rPr>
                  </w:pPr>
                  <w:r>
                    <w:rPr>
                      <w:rFonts w:hint="eastAsia"/>
                      <w:color w:val="auto"/>
                      <w:kern w:val="0"/>
                      <w:sz w:val="21"/>
                      <w:szCs w:val="21"/>
                      <w:highlight w:val="none"/>
                      <w:lang w:val="en-US" w:eastAsia="zh-CN"/>
                    </w:rPr>
                    <w:t>无色透明液体，有苯样的气味，相对密度（空气=1）2.42，不溶于水，溶于醇、苯、四氯化碳、丙酮等多数有机溶剂，沸点：49.3℃，熔点-93.7℃，闪点-25℃，引燃温度361摄氏度；遇到明火、高热极易燃烧爆炸。爆炸上限%：8.0，爆炸下限：1.4%</w:t>
                  </w:r>
                </w:p>
              </w:tc>
              <w:tc>
                <w:tcPr>
                  <w:tcW w:w="825" w:type="pct"/>
                  <w:vAlign w:val="center"/>
                </w:tcPr>
                <w:p>
                  <w:pPr>
                    <w:jc w:val="center"/>
                    <w:rPr>
                      <w:rFonts w:hint="default"/>
                      <w:color w:val="auto"/>
                      <w:lang w:val="en-US" w:eastAsia="zh-CN"/>
                    </w:rPr>
                  </w:pPr>
                  <w:r>
                    <w:rPr>
                      <w:rFonts w:hint="eastAsia"/>
                      <w:color w:val="auto"/>
                      <w:lang w:val="en-US" w:eastAsia="zh-CN"/>
                    </w:rPr>
                    <w:t>极度易燃</w:t>
                  </w:r>
                </w:p>
              </w:tc>
              <w:tc>
                <w:tcPr>
                  <w:tcW w:w="1279" w:type="pct"/>
                  <w:vAlign w:val="center"/>
                </w:tcPr>
                <w:p>
                  <w:pPr>
                    <w:pStyle w:val="6"/>
                    <w:spacing w:line="240" w:lineRule="auto"/>
                    <w:ind w:left="0" w:leftChars="0" w:firstLine="0" w:firstLineChars="0"/>
                    <w:jc w:val="center"/>
                    <w:rPr>
                      <w:rFonts w:hint="eastAsia"/>
                      <w:color w:val="auto"/>
                      <w:kern w:val="0"/>
                      <w:sz w:val="21"/>
                      <w:szCs w:val="21"/>
                      <w:highlight w:val="none"/>
                    </w:rPr>
                  </w:pPr>
                  <w:r>
                    <w:rPr>
                      <w:rFonts w:hint="eastAsia"/>
                      <w:color w:val="auto"/>
                      <w:lang w:val="en-US" w:eastAsia="zh-CN"/>
                    </w:rPr>
                    <w:t>LC</w:t>
                  </w:r>
                  <w:r>
                    <w:rPr>
                      <w:rFonts w:hint="eastAsia"/>
                      <w:color w:val="auto"/>
                      <w:vertAlign w:val="subscript"/>
                      <w:lang w:val="en-US" w:eastAsia="zh-CN"/>
                    </w:rPr>
                    <w:t>50</w:t>
                  </w:r>
                  <w:r>
                    <w:rPr>
                      <w:rFonts w:hint="eastAsia"/>
                      <w:color w:val="auto"/>
                      <w:lang w:val="en-US" w:eastAsia="zh-CN"/>
                    </w:rPr>
                    <w:t>：38000ppm×2小时(小鼠吸入)</w:t>
                  </w: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b/>
                <w:bCs/>
                <w:color w:val="auto"/>
                <w:sz w:val="21"/>
                <w:szCs w:val="21"/>
                <w:highlight w:val="none"/>
              </w:rPr>
            </w:pPr>
            <w:r>
              <w:rPr>
                <w:b/>
                <w:bCs/>
                <w:color w:val="auto"/>
                <w:sz w:val="21"/>
                <w:szCs w:val="21"/>
                <w:highlight w:val="none"/>
              </w:rPr>
              <w:t>6、本项目用水情况</w:t>
            </w:r>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textAlignment w:val="auto"/>
              <w:rPr>
                <w:b/>
                <w:color w:val="auto"/>
                <w:sz w:val="21"/>
                <w:szCs w:val="21"/>
                <w:highlight w:val="none"/>
              </w:rPr>
            </w:pPr>
            <w:r>
              <w:rPr>
                <w:b/>
                <w:color w:val="auto"/>
                <w:sz w:val="21"/>
                <w:szCs w:val="21"/>
                <w:highlight w:val="none"/>
              </w:rPr>
              <w:t>①给水：</w:t>
            </w:r>
          </w:p>
          <w:p>
            <w:pPr>
              <w:spacing w:line="360" w:lineRule="auto"/>
              <w:ind w:firstLine="465"/>
              <w:jc w:val="both"/>
              <w:rPr>
                <w:color w:val="auto"/>
                <w:sz w:val="21"/>
                <w:szCs w:val="21"/>
                <w:highlight w:val="none"/>
              </w:rPr>
            </w:pPr>
            <w:r>
              <w:rPr>
                <w:rFonts w:hint="eastAsia"/>
                <w:color w:val="auto"/>
                <w:sz w:val="21"/>
                <w:szCs w:val="21"/>
                <w:highlight w:val="none"/>
              </w:rPr>
              <w:t>本</w:t>
            </w:r>
            <w:r>
              <w:rPr>
                <w:color w:val="auto"/>
                <w:sz w:val="21"/>
                <w:szCs w:val="21"/>
                <w:highlight w:val="none"/>
              </w:rPr>
              <w:t>项目</w:t>
            </w:r>
            <w:r>
              <w:rPr>
                <w:rFonts w:hint="eastAsia"/>
                <w:color w:val="auto"/>
                <w:sz w:val="21"/>
                <w:szCs w:val="21"/>
                <w:highlight w:val="none"/>
              </w:rPr>
              <w:t>用水为生活用水</w:t>
            </w:r>
            <w:r>
              <w:rPr>
                <w:rFonts w:hint="eastAsia"/>
                <w:color w:val="auto"/>
                <w:sz w:val="21"/>
                <w:szCs w:val="21"/>
                <w:highlight w:val="none"/>
                <w:lang w:eastAsia="zh-CN"/>
              </w:rPr>
              <w:t>、</w:t>
            </w:r>
            <w:r>
              <w:rPr>
                <w:rFonts w:hint="eastAsia"/>
                <w:color w:val="auto"/>
                <w:sz w:val="21"/>
                <w:szCs w:val="21"/>
                <w:highlight w:val="none"/>
                <w:lang w:val="en-US" w:eastAsia="zh-CN"/>
              </w:rPr>
              <w:t>冷却用水</w:t>
            </w:r>
            <w:r>
              <w:rPr>
                <w:rFonts w:hint="eastAsia"/>
                <w:color w:val="auto"/>
                <w:sz w:val="21"/>
                <w:szCs w:val="21"/>
                <w:highlight w:val="none"/>
              </w:rPr>
              <w:t>和</w:t>
            </w:r>
            <w:r>
              <w:rPr>
                <w:rFonts w:hint="eastAsia"/>
                <w:color w:val="auto"/>
                <w:sz w:val="21"/>
                <w:szCs w:val="21"/>
                <w:highlight w:val="none"/>
                <w:lang w:val="en-US" w:eastAsia="zh-CN"/>
              </w:rPr>
              <w:t>挤出成型用水</w:t>
            </w:r>
            <w:r>
              <w:rPr>
                <w:color w:val="auto"/>
                <w:sz w:val="21"/>
                <w:szCs w:val="21"/>
                <w:highlight w:val="none"/>
              </w:rPr>
              <w:t>。</w:t>
            </w:r>
          </w:p>
          <w:p>
            <w:pPr>
              <w:snapToGrid w:val="0"/>
              <w:spacing w:line="360" w:lineRule="auto"/>
              <w:ind w:firstLine="422" w:firstLineChars="200"/>
              <w:jc w:val="both"/>
              <w:rPr>
                <w:color w:val="auto"/>
                <w:sz w:val="21"/>
                <w:szCs w:val="21"/>
                <w:highlight w:val="none"/>
              </w:rPr>
            </w:pPr>
            <w:r>
              <w:rPr>
                <w:b/>
                <w:color w:val="auto"/>
                <w:sz w:val="21"/>
                <w:szCs w:val="21"/>
                <w:highlight w:val="none"/>
              </w:rPr>
              <w:t>生</w:t>
            </w:r>
            <w:r>
              <w:rPr>
                <w:b/>
                <w:bCs/>
                <w:color w:val="auto"/>
                <w:sz w:val="21"/>
                <w:szCs w:val="21"/>
                <w:highlight w:val="none"/>
              </w:rPr>
              <w:t>活用水：</w:t>
            </w:r>
            <w:r>
              <w:rPr>
                <w:color w:val="auto"/>
                <w:sz w:val="21"/>
                <w:szCs w:val="21"/>
                <w:highlight w:val="none"/>
              </w:rPr>
              <w:t>本项目劳动定员</w:t>
            </w:r>
            <w:r>
              <w:rPr>
                <w:rFonts w:hint="eastAsia"/>
                <w:color w:val="auto"/>
                <w:sz w:val="21"/>
                <w:szCs w:val="21"/>
                <w:highlight w:val="none"/>
              </w:rPr>
              <w:t>15</w:t>
            </w:r>
            <w:r>
              <w:rPr>
                <w:color w:val="auto"/>
                <w:sz w:val="21"/>
                <w:szCs w:val="21"/>
                <w:highlight w:val="none"/>
              </w:rPr>
              <w:t>人，年工作</w:t>
            </w:r>
            <w:r>
              <w:rPr>
                <w:rFonts w:hint="eastAsia"/>
                <w:color w:val="auto"/>
                <w:sz w:val="21"/>
                <w:szCs w:val="21"/>
                <w:highlight w:val="none"/>
              </w:rPr>
              <w:t>300</w:t>
            </w:r>
            <w:r>
              <w:rPr>
                <w:color w:val="auto"/>
                <w:sz w:val="21"/>
                <w:szCs w:val="21"/>
                <w:highlight w:val="none"/>
              </w:rPr>
              <w:t>天，不</w:t>
            </w:r>
            <w:r>
              <w:rPr>
                <w:rFonts w:hint="eastAsia"/>
                <w:color w:val="auto"/>
                <w:sz w:val="21"/>
                <w:szCs w:val="21"/>
                <w:highlight w:val="none"/>
              </w:rPr>
              <w:t>设</w:t>
            </w:r>
            <w:r>
              <w:rPr>
                <w:color w:val="auto"/>
                <w:sz w:val="21"/>
                <w:szCs w:val="21"/>
                <w:highlight w:val="none"/>
              </w:rPr>
              <w:t>食宿。根据《江苏省工业、服务业和生活用水定额(2014年修订)》中，企业管理服务用水量为80-150L/人•d。本次取100L/人•d，则生活用水量为</w:t>
            </w:r>
            <w:r>
              <w:rPr>
                <w:rFonts w:hint="eastAsia"/>
                <w:color w:val="auto"/>
                <w:sz w:val="21"/>
                <w:szCs w:val="21"/>
                <w:highlight w:val="none"/>
              </w:rPr>
              <w:t>450</w:t>
            </w:r>
            <w:r>
              <w:rPr>
                <w:color w:val="auto"/>
                <w:sz w:val="21"/>
                <w:szCs w:val="21"/>
                <w:highlight w:val="none"/>
              </w:rPr>
              <w:t>m</w:t>
            </w:r>
            <w:r>
              <w:rPr>
                <w:color w:val="auto"/>
                <w:sz w:val="21"/>
                <w:szCs w:val="21"/>
                <w:highlight w:val="none"/>
                <w:vertAlign w:val="superscript"/>
              </w:rPr>
              <w:t>3</w:t>
            </w:r>
            <w:r>
              <w:rPr>
                <w:color w:val="auto"/>
                <w:sz w:val="21"/>
                <w:szCs w:val="21"/>
                <w:highlight w:val="none"/>
              </w:rPr>
              <w:t>/a。</w:t>
            </w:r>
          </w:p>
          <w:p>
            <w:pPr>
              <w:pStyle w:val="6"/>
              <w:keepNext w:val="0"/>
              <w:keepLines w:val="0"/>
              <w:pageBreakBefore w:val="0"/>
              <w:widowControl w:val="0"/>
              <w:kinsoku/>
              <w:wordWrap/>
              <w:overflowPunct/>
              <w:topLinePunct w:val="0"/>
              <w:autoSpaceDE/>
              <w:autoSpaceDN/>
              <w:bidi w:val="0"/>
              <w:adjustRightInd/>
              <w:snapToGrid w:val="0"/>
              <w:spacing w:line="360" w:lineRule="auto"/>
              <w:ind w:firstLine="482"/>
              <w:jc w:val="both"/>
              <w:textAlignment w:val="auto"/>
              <w:rPr>
                <w:color w:val="auto"/>
                <w:highlight w:val="none"/>
              </w:rPr>
            </w:pPr>
            <w:r>
              <w:rPr>
                <w:rFonts w:hint="eastAsia"/>
                <w:b/>
                <w:bCs/>
                <w:color w:val="auto"/>
                <w:sz w:val="21"/>
                <w:szCs w:val="21"/>
                <w:highlight w:val="none"/>
              </w:rPr>
              <w:t>冷却用水：</w:t>
            </w:r>
            <w:r>
              <w:rPr>
                <w:rFonts w:hint="eastAsia"/>
                <w:color w:val="auto"/>
                <w:sz w:val="21"/>
                <w:szCs w:val="21"/>
                <w:highlight w:val="none"/>
              </w:rPr>
              <w:t>本项目挤出成型机在运行时需要添加冷却水，所加的冷却水为自来水，冷却水</w:t>
            </w:r>
            <w:r>
              <w:rPr>
                <w:rFonts w:hint="eastAsia"/>
                <w:color w:val="auto"/>
                <w:sz w:val="21"/>
                <w:szCs w:val="21"/>
                <w:highlight w:val="none"/>
                <w:lang w:val="en-US" w:eastAsia="zh-CN"/>
              </w:rPr>
              <w:t>间接</w:t>
            </w:r>
            <w:r>
              <w:rPr>
                <w:rFonts w:hint="eastAsia"/>
                <w:color w:val="auto"/>
                <w:sz w:val="21"/>
                <w:szCs w:val="21"/>
                <w:highlight w:val="none"/>
              </w:rPr>
              <w:t>循环使用，</w:t>
            </w:r>
            <w:r>
              <w:rPr>
                <w:rFonts w:hint="eastAsia"/>
                <w:color w:val="auto"/>
                <w:sz w:val="21"/>
                <w:szCs w:val="21"/>
                <w:highlight w:val="none"/>
                <w:lang w:val="en-US" w:eastAsia="zh-CN"/>
              </w:rPr>
              <w:t>冷却塔为5t/h</w:t>
            </w:r>
            <w:r>
              <w:rPr>
                <w:rFonts w:hint="eastAsia"/>
                <w:color w:val="auto"/>
                <w:sz w:val="21"/>
                <w:szCs w:val="21"/>
                <w:highlight w:val="none"/>
              </w:rPr>
              <w:t>，</w:t>
            </w:r>
            <w:r>
              <w:rPr>
                <w:rFonts w:hint="eastAsia"/>
                <w:color w:val="auto"/>
                <w:sz w:val="21"/>
                <w:szCs w:val="21"/>
                <w:highlight w:val="none"/>
                <w:lang w:val="en-US" w:eastAsia="zh-CN"/>
              </w:rPr>
              <w:t>则年循环量为36000t/a，</w:t>
            </w:r>
            <w:r>
              <w:rPr>
                <w:rFonts w:hint="eastAsia"/>
                <w:color w:val="auto"/>
                <w:sz w:val="21"/>
                <w:szCs w:val="21"/>
                <w:highlight w:val="none"/>
              </w:rPr>
              <w:t>损耗量</w:t>
            </w:r>
            <w:r>
              <w:rPr>
                <w:rFonts w:hint="eastAsia"/>
                <w:color w:val="auto"/>
                <w:sz w:val="21"/>
                <w:szCs w:val="21"/>
                <w:highlight w:val="none"/>
                <w:lang w:val="en-US" w:eastAsia="zh-CN"/>
              </w:rPr>
              <w:t>按照2</w:t>
            </w:r>
            <w:r>
              <w:rPr>
                <w:rFonts w:hint="eastAsia"/>
                <w:color w:val="auto"/>
                <w:sz w:val="21"/>
                <w:szCs w:val="21"/>
                <w:highlight w:val="none"/>
              </w:rPr>
              <w:t>%，则年补充新鲜水</w:t>
            </w:r>
            <w:r>
              <w:rPr>
                <w:rFonts w:hint="eastAsia"/>
                <w:color w:val="auto"/>
                <w:sz w:val="21"/>
                <w:szCs w:val="21"/>
                <w:highlight w:val="none"/>
                <w:lang w:val="en-US" w:eastAsia="zh-CN"/>
              </w:rPr>
              <w:t>720</w:t>
            </w:r>
            <w:r>
              <w:rPr>
                <w:rFonts w:hint="eastAsia"/>
                <w:color w:val="auto"/>
                <w:sz w:val="21"/>
                <w:szCs w:val="21"/>
                <w:highlight w:val="none"/>
              </w:rPr>
              <w:t>t/a。</w:t>
            </w:r>
          </w:p>
          <w:p>
            <w:pPr>
              <w:pStyle w:val="6"/>
              <w:snapToGrid w:val="0"/>
              <w:spacing w:line="360" w:lineRule="auto"/>
              <w:ind w:firstLine="482"/>
              <w:jc w:val="both"/>
              <w:rPr>
                <w:rFonts w:hint="default"/>
                <w:b/>
                <w:bCs/>
                <w:color w:val="auto"/>
                <w:sz w:val="21"/>
                <w:szCs w:val="21"/>
                <w:highlight w:val="none"/>
                <w:lang w:val="en-US" w:eastAsia="zh-CN"/>
              </w:rPr>
            </w:pPr>
            <w:r>
              <w:rPr>
                <w:rFonts w:hint="eastAsia"/>
                <w:b/>
                <w:bCs/>
                <w:color w:val="auto"/>
                <w:sz w:val="21"/>
                <w:szCs w:val="21"/>
                <w:highlight w:val="none"/>
                <w:lang w:val="en-US" w:eastAsia="zh-CN"/>
              </w:rPr>
              <w:t>挤出成型用水：</w:t>
            </w:r>
            <w:r>
              <w:rPr>
                <w:rFonts w:hint="eastAsia"/>
                <w:b w:val="0"/>
                <w:bCs w:val="0"/>
                <w:color w:val="auto"/>
                <w:sz w:val="21"/>
                <w:szCs w:val="21"/>
                <w:highlight w:val="none"/>
                <w:lang w:val="en-US" w:eastAsia="zh-CN"/>
              </w:rPr>
              <w:t>项目在挤出成型过程中会使用到蒸汽，挤出成型机自带螺杆加热泵，将自来水加热成蒸汽通过螺杆管输入挤出成型机中进行挤出成型过程，项目用水采用100kg桶装，约使用1桶/天，则年用水量为30t/a，均在使用中消耗。</w:t>
            </w:r>
          </w:p>
          <w:p>
            <w:pPr>
              <w:pStyle w:val="11"/>
              <w:spacing w:line="360" w:lineRule="auto"/>
              <w:ind w:left="0" w:leftChars="0" w:right="0" w:rightChars="0" w:firstLine="482"/>
              <w:rPr>
                <w:b/>
                <w:color w:val="auto"/>
                <w:sz w:val="21"/>
                <w:szCs w:val="21"/>
                <w:highlight w:val="none"/>
              </w:rPr>
            </w:pPr>
            <w:r>
              <w:rPr>
                <w:b/>
                <w:color w:val="auto"/>
                <w:sz w:val="21"/>
                <w:szCs w:val="21"/>
                <w:highlight w:val="none"/>
              </w:rPr>
              <w:t>②排水：</w:t>
            </w:r>
          </w:p>
          <w:p>
            <w:pPr>
              <w:spacing w:line="360" w:lineRule="auto"/>
              <w:ind w:firstLine="420" w:firstLineChars="200"/>
              <w:rPr>
                <w:color w:val="auto"/>
                <w:sz w:val="21"/>
                <w:szCs w:val="21"/>
                <w:highlight w:val="none"/>
              </w:rPr>
            </w:pPr>
            <w:r>
              <w:rPr>
                <w:color w:val="auto"/>
                <w:sz w:val="21"/>
                <w:szCs w:val="21"/>
                <w:highlight w:val="none"/>
              </w:rPr>
              <w:t>本项目排水为员工生活污水。</w:t>
            </w:r>
          </w:p>
          <w:p>
            <w:pPr>
              <w:spacing w:line="360" w:lineRule="auto"/>
              <w:ind w:firstLine="465"/>
              <w:rPr>
                <w:color w:val="auto"/>
                <w:sz w:val="21"/>
                <w:szCs w:val="21"/>
                <w:highlight w:val="none"/>
              </w:rPr>
            </w:pPr>
            <w:r>
              <w:rPr>
                <w:b/>
                <w:bCs/>
                <w:color w:val="auto"/>
                <w:sz w:val="21"/>
                <w:szCs w:val="21"/>
                <w:highlight w:val="none"/>
              </w:rPr>
              <w:t>生活污水</w:t>
            </w:r>
            <w:r>
              <w:rPr>
                <w:color w:val="auto"/>
                <w:sz w:val="21"/>
                <w:szCs w:val="21"/>
                <w:highlight w:val="none"/>
              </w:rPr>
              <w:t>：生活用水排放系数以0.8计，则生活污水排放量</w:t>
            </w:r>
            <w:r>
              <w:rPr>
                <w:rFonts w:hint="eastAsia"/>
                <w:color w:val="auto"/>
                <w:sz w:val="21"/>
                <w:szCs w:val="21"/>
                <w:highlight w:val="none"/>
              </w:rPr>
              <w:t>360</w:t>
            </w:r>
            <w:r>
              <w:rPr>
                <w:color w:val="auto"/>
                <w:sz w:val="21"/>
                <w:szCs w:val="21"/>
                <w:highlight w:val="none"/>
              </w:rPr>
              <w:t>m</w:t>
            </w:r>
            <w:r>
              <w:rPr>
                <w:color w:val="auto"/>
                <w:sz w:val="21"/>
                <w:szCs w:val="21"/>
                <w:highlight w:val="none"/>
                <w:vertAlign w:val="superscript"/>
              </w:rPr>
              <w:t>3</w:t>
            </w:r>
            <w:r>
              <w:rPr>
                <w:color w:val="auto"/>
                <w:sz w:val="21"/>
                <w:szCs w:val="21"/>
                <w:highlight w:val="none"/>
              </w:rPr>
              <w:t>/a，生活污水水质较为简单，主要污染物为COD、SS、NH</w:t>
            </w:r>
            <w:r>
              <w:rPr>
                <w:color w:val="auto"/>
                <w:sz w:val="21"/>
                <w:szCs w:val="21"/>
                <w:highlight w:val="none"/>
                <w:vertAlign w:val="subscript"/>
              </w:rPr>
              <w:t>3</w:t>
            </w:r>
            <w:r>
              <w:rPr>
                <w:color w:val="auto"/>
                <w:sz w:val="21"/>
                <w:szCs w:val="21"/>
                <w:highlight w:val="none"/>
              </w:rPr>
              <w:t>-H，TP、TN。其中pH为6~9，COD浓度400mg/L，NH</w:t>
            </w:r>
            <w:r>
              <w:rPr>
                <w:color w:val="auto"/>
                <w:sz w:val="21"/>
                <w:szCs w:val="21"/>
                <w:highlight w:val="none"/>
                <w:vertAlign w:val="subscript"/>
              </w:rPr>
              <w:t>3</w:t>
            </w:r>
            <w:r>
              <w:rPr>
                <w:color w:val="auto"/>
                <w:sz w:val="21"/>
                <w:szCs w:val="21"/>
                <w:highlight w:val="none"/>
              </w:rPr>
              <w:t>-N浓度35mg/L，SS浓度200mg/L，TP浓度约3mg/L，TN浓度约50mg/L。</w:t>
            </w:r>
          </w:p>
          <w:p>
            <w:pPr>
              <w:spacing w:line="360" w:lineRule="auto"/>
              <w:ind w:firstLine="422" w:firstLineChars="200"/>
              <w:rPr>
                <w:b/>
                <w:bCs/>
                <w:color w:val="auto"/>
                <w:sz w:val="21"/>
                <w:szCs w:val="21"/>
                <w:highlight w:val="none"/>
              </w:rPr>
            </w:pPr>
            <w:r>
              <w:rPr>
                <w:b/>
                <w:bCs/>
                <w:color w:val="auto"/>
                <w:sz w:val="21"/>
                <w:szCs w:val="21"/>
                <w:highlight w:val="none"/>
              </w:rPr>
              <w:t>本项目水平衡详见下图：</w:t>
            </w:r>
          </w:p>
          <w:p>
            <w:pPr>
              <w:spacing w:line="360" w:lineRule="auto"/>
              <w:jc w:val="center"/>
              <w:rPr>
                <w:b/>
                <w:bCs/>
                <w:color w:val="auto"/>
                <w:sz w:val="21"/>
                <w:szCs w:val="21"/>
                <w:highlight w:val="none"/>
              </w:rPr>
            </w:pPr>
            <w:r>
              <w:rPr>
                <w:b/>
                <w:bCs/>
                <w:color w:val="auto"/>
                <w:sz w:val="21"/>
                <w:szCs w:val="21"/>
                <w:highlight w:val="none"/>
              </w:rPr>
              <w:object>
                <v:shape id="_x0000_i1025" o:spt="75" type="#_x0000_t75" style="height:173.65pt;width:333.0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jc w:val="center"/>
              <w:rPr>
                <w:b/>
                <w:bCs/>
                <w:color w:val="auto"/>
                <w:sz w:val="21"/>
                <w:szCs w:val="21"/>
                <w:highlight w:val="none"/>
              </w:rPr>
            </w:pPr>
            <w:r>
              <w:rPr>
                <w:b/>
                <w:bCs/>
                <w:color w:val="auto"/>
                <w:sz w:val="21"/>
                <w:szCs w:val="21"/>
                <w:highlight w:val="none"/>
              </w:rPr>
              <w:t>图2-1 本项目水平衡图（单位：t/a）</w:t>
            </w:r>
          </w:p>
          <w:p>
            <w:pPr>
              <w:spacing w:before="120" w:beforeLines="50" w:line="360" w:lineRule="auto"/>
              <w:ind w:firstLine="422" w:firstLineChars="200"/>
              <w:rPr>
                <w:b/>
                <w:bCs/>
                <w:color w:val="auto"/>
                <w:sz w:val="21"/>
                <w:szCs w:val="21"/>
                <w:highlight w:val="none"/>
              </w:rPr>
            </w:pPr>
            <w:r>
              <w:rPr>
                <w:b/>
                <w:bCs/>
                <w:color w:val="auto"/>
                <w:sz w:val="21"/>
                <w:szCs w:val="21"/>
                <w:highlight w:val="none"/>
              </w:rPr>
              <w:t>7、厂区平面布置</w:t>
            </w:r>
          </w:p>
          <w:p>
            <w:pPr>
              <w:spacing w:line="360" w:lineRule="auto"/>
              <w:ind w:firstLine="420" w:firstLineChars="200"/>
              <w:rPr>
                <w:color w:val="auto"/>
                <w:sz w:val="21"/>
                <w:szCs w:val="21"/>
                <w:highlight w:val="none"/>
                <w:lang w:bidi="ar"/>
              </w:rPr>
            </w:pPr>
            <w:r>
              <w:rPr>
                <w:color w:val="auto"/>
                <w:sz w:val="21"/>
                <w:szCs w:val="21"/>
                <w:highlight w:val="none"/>
                <w:lang w:bidi="ar"/>
              </w:rPr>
              <w:t>本项目位于</w:t>
            </w:r>
            <w:r>
              <w:rPr>
                <w:rFonts w:hint="eastAsia"/>
                <w:color w:val="auto"/>
                <w:sz w:val="21"/>
                <w:szCs w:val="21"/>
                <w:highlight w:val="none"/>
              </w:rPr>
              <w:t>江苏省金坛经济开发区汇福路3号</w:t>
            </w:r>
            <w:r>
              <w:rPr>
                <w:color w:val="auto"/>
                <w:sz w:val="21"/>
                <w:szCs w:val="21"/>
                <w:highlight w:val="none"/>
                <w:lang w:bidi="ar"/>
              </w:rPr>
              <w:t>，</w:t>
            </w:r>
            <w:r>
              <w:rPr>
                <w:rFonts w:hint="eastAsia"/>
                <w:color w:val="auto"/>
                <w:sz w:val="21"/>
                <w:szCs w:val="21"/>
                <w:highlight w:val="none"/>
                <w:lang w:bidi="ar"/>
              </w:rPr>
              <w:t>租赁</w:t>
            </w:r>
            <w:r>
              <w:rPr>
                <w:rFonts w:hint="eastAsia"/>
                <w:bCs/>
                <w:color w:val="auto"/>
                <w:sz w:val="21"/>
                <w:szCs w:val="21"/>
                <w:highlight w:val="none"/>
              </w:rPr>
              <w:t>常州市奥翔服装印花有限公司空置厂房</w:t>
            </w:r>
            <w:r>
              <w:rPr>
                <w:color w:val="auto"/>
                <w:sz w:val="21"/>
                <w:szCs w:val="21"/>
                <w:highlight w:val="none"/>
                <w:lang w:bidi="ar"/>
              </w:rPr>
              <w:t>，</w:t>
            </w:r>
            <w:r>
              <w:rPr>
                <w:rFonts w:hint="eastAsia"/>
                <w:color w:val="auto"/>
                <w:sz w:val="21"/>
                <w:szCs w:val="21"/>
                <w:highlight w:val="none"/>
                <w:lang w:bidi="ar"/>
              </w:rPr>
              <w:t>厂房一</w:t>
            </w:r>
            <w:r>
              <w:rPr>
                <w:color w:val="auto"/>
                <w:sz w:val="21"/>
                <w:szCs w:val="21"/>
                <w:highlight w:val="none"/>
                <w:lang w:bidi="ar"/>
              </w:rPr>
              <w:t>共</w:t>
            </w:r>
            <w:r>
              <w:rPr>
                <w:rFonts w:hint="eastAsia"/>
                <w:color w:val="auto"/>
                <w:sz w:val="21"/>
                <w:szCs w:val="21"/>
                <w:highlight w:val="none"/>
                <w:lang w:bidi="ar"/>
              </w:rPr>
              <w:t>3</w:t>
            </w:r>
            <w:r>
              <w:rPr>
                <w:color w:val="auto"/>
                <w:sz w:val="21"/>
                <w:szCs w:val="21"/>
                <w:highlight w:val="none"/>
                <w:lang w:bidi="ar"/>
              </w:rPr>
              <w:t>层，</w:t>
            </w:r>
            <w:r>
              <w:rPr>
                <w:rFonts w:hint="eastAsia"/>
                <w:color w:val="auto"/>
                <w:sz w:val="21"/>
                <w:szCs w:val="21"/>
                <w:highlight w:val="none"/>
                <w:lang w:bidi="ar"/>
              </w:rPr>
              <w:t>本项目租赁其中2层进行生产，</w:t>
            </w:r>
            <w:r>
              <w:rPr>
                <w:color w:val="auto"/>
                <w:sz w:val="21"/>
                <w:szCs w:val="21"/>
                <w:highlight w:val="none"/>
                <w:lang w:bidi="ar"/>
              </w:rPr>
              <w:t>建筑面积约为</w:t>
            </w:r>
            <w:r>
              <w:rPr>
                <w:rFonts w:hint="eastAsia"/>
                <w:color w:val="auto"/>
                <w:sz w:val="21"/>
                <w:szCs w:val="21"/>
                <w:highlight w:val="none"/>
                <w:lang w:bidi="ar"/>
              </w:rPr>
              <w:t>1000</w:t>
            </w:r>
            <w:r>
              <w:rPr>
                <w:color w:val="auto"/>
                <w:sz w:val="21"/>
                <w:szCs w:val="21"/>
                <w:highlight w:val="none"/>
                <w:lang w:bidi="ar"/>
              </w:rPr>
              <w:t>m</w:t>
            </w:r>
            <w:r>
              <w:rPr>
                <w:color w:val="auto"/>
                <w:sz w:val="21"/>
                <w:szCs w:val="21"/>
                <w:highlight w:val="none"/>
                <w:vertAlign w:val="superscript"/>
                <w:lang w:bidi="ar"/>
              </w:rPr>
              <w:t>2</w:t>
            </w:r>
            <w:r>
              <w:rPr>
                <w:color w:val="auto"/>
                <w:sz w:val="21"/>
                <w:szCs w:val="21"/>
                <w:highlight w:val="none"/>
                <w:lang w:bidi="ar"/>
              </w:rPr>
              <w:t>。</w:t>
            </w:r>
          </w:p>
          <w:p>
            <w:pPr>
              <w:spacing w:line="360" w:lineRule="auto"/>
              <w:ind w:firstLine="420" w:firstLineChars="200"/>
              <w:rPr>
                <w:color w:val="auto"/>
                <w:sz w:val="21"/>
                <w:szCs w:val="21"/>
                <w:highlight w:val="yellow"/>
                <w:lang w:bidi="ar"/>
              </w:rPr>
            </w:pPr>
            <w:r>
              <w:rPr>
                <w:rFonts w:hint="eastAsia"/>
                <w:color w:val="auto"/>
                <w:sz w:val="21"/>
                <w:szCs w:val="21"/>
                <w:highlight w:val="none"/>
                <w:lang w:bidi="ar"/>
              </w:rPr>
              <w:t>车间</w:t>
            </w:r>
            <w:r>
              <w:rPr>
                <w:rFonts w:hint="eastAsia"/>
                <w:color w:val="auto"/>
                <w:sz w:val="21"/>
                <w:szCs w:val="21"/>
                <w:highlight w:val="none"/>
                <w:lang w:val="en-US" w:eastAsia="zh-CN" w:bidi="ar"/>
              </w:rPr>
              <w:t>主体生产线</w:t>
            </w:r>
            <w:r>
              <w:rPr>
                <w:rFonts w:hint="eastAsia"/>
                <w:color w:val="auto"/>
                <w:sz w:val="21"/>
                <w:szCs w:val="21"/>
                <w:highlight w:val="none"/>
                <w:lang w:bidi="ar"/>
              </w:rPr>
              <w:t>由西至东依次为检验包装-切割区-压花区-修边区-</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lang w:val="en-US" w:eastAsia="zh-CN" w:bidi="ar"/>
              </w:rPr>
              <w:t>车间，破碎机及挤出成型机位于</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lang w:val="en-US" w:eastAsia="zh-CN" w:bidi="ar"/>
              </w:rPr>
              <w:t>车间内</w:t>
            </w:r>
            <w:r>
              <w:rPr>
                <w:rFonts w:hint="eastAsia"/>
                <w:color w:val="auto"/>
                <w:sz w:val="21"/>
                <w:szCs w:val="21"/>
                <w:highlight w:val="none"/>
                <w:lang w:eastAsia="zh-CN" w:bidi="ar"/>
              </w:rPr>
              <w:t>，</w:t>
            </w:r>
            <w:r>
              <w:rPr>
                <w:rFonts w:hint="eastAsia"/>
                <w:color w:val="auto"/>
                <w:sz w:val="21"/>
                <w:szCs w:val="21"/>
                <w:highlight w:val="none"/>
                <w:lang w:val="en-US" w:eastAsia="zh-CN" w:bidi="ar"/>
              </w:rPr>
              <w:t>危废仓库位于车间内部西北角</w:t>
            </w:r>
            <w:r>
              <w:rPr>
                <w:rFonts w:hint="eastAsia"/>
                <w:color w:val="auto"/>
                <w:sz w:val="21"/>
                <w:szCs w:val="21"/>
                <w:highlight w:val="none"/>
                <w:lang w:bidi="ar"/>
              </w:rPr>
              <w:t>。</w:t>
            </w:r>
          </w:p>
          <w:p>
            <w:pPr>
              <w:spacing w:line="360" w:lineRule="auto"/>
              <w:ind w:firstLine="420" w:firstLineChars="200"/>
              <w:rPr>
                <w:color w:val="auto"/>
                <w:sz w:val="21"/>
                <w:szCs w:val="21"/>
                <w:highlight w:val="none"/>
                <w:lang w:bidi="ar"/>
              </w:rPr>
            </w:pPr>
            <w:r>
              <w:rPr>
                <w:color w:val="auto"/>
                <w:sz w:val="21"/>
                <w:szCs w:val="21"/>
                <w:highlight w:val="none"/>
                <w:lang w:bidi="ar"/>
              </w:rPr>
              <w:t>项目平面布置图详见附图3。</w:t>
            </w:r>
          </w:p>
          <w:p>
            <w:pPr>
              <w:spacing w:line="360" w:lineRule="auto"/>
              <w:ind w:firstLine="422" w:firstLineChars="200"/>
              <w:rPr>
                <w:b/>
                <w:bCs/>
                <w:color w:val="auto"/>
                <w:sz w:val="21"/>
                <w:szCs w:val="21"/>
                <w:highlight w:val="none"/>
              </w:rPr>
            </w:pPr>
            <w:r>
              <w:rPr>
                <w:b/>
                <w:bCs/>
                <w:color w:val="auto"/>
                <w:sz w:val="21"/>
                <w:szCs w:val="21"/>
                <w:highlight w:val="none"/>
              </w:rPr>
              <w:t>8、周边环境概况</w:t>
            </w:r>
          </w:p>
          <w:p>
            <w:pPr>
              <w:spacing w:line="360" w:lineRule="auto"/>
              <w:ind w:firstLine="420" w:firstLineChars="200"/>
              <w:rPr>
                <w:color w:val="auto"/>
                <w:sz w:val="21"/>
                <w:szCs w:val="21"/>
                <w:highlight w:val="none"/>
              </w:rPr>
            </w:pPr>
            <w:r>
              <w:rPr>
                <w:color w:val="auto"/>
                <w:sz w:val="21"/>
                <w:szCs w:val="21"/>
                <w:highlight w:val="none"/>
              </w:rPr>
              <w:t>本项目位于</w:t>
            </w:r>
            <w:r>
              <w:rPr>
                <w:rFonts w:hint="eastAsia"/>
                <w:color w:val="auto"/>
                <w:sz w:val="21"/>
                <w:szCs w:val="21"/>
                <w:highlight w:val="none"/>
              </w:rPr>
              <w:t>江苏省金坛经济开发区汇福路3号</w:t>
            </w:r>
            <w:r>
              <w:rPr>
                <w:rFonts w:hint="eastAsia"/>
                <w:color w:val="auto"/>
                <w:sz w:val="21"/>
                <w:szCs w:val="21"/>
                <w:highlight w:val="none"/>
                <w:lang w:eastAsia="zh-CN"/>
              </w:rPr>
              <w:t>，</w:t>
            </w:r>
            <w:r>
              <w:rPr>
                <w:rFonts w:hint="eastAsia"/>
                <w:color w:val="auto"/>
                <w:sz w:val="21"/>
                <w:szCs w:val="21"/>
                <w:highlight w:val="none"/>
                <w:lang w:bidi="ar"/>
              </w:rPr>
              <w:t>租赁</w:t>
            </w:r>
            <w:r>
              <w:rPr>
                <w:rFonts w:hint="eastAsia"/>
                <w:bCs/>
                <w:color w:val="auto"/>
                <w:sz w:val="21"/>
                <w:szCs w:val="21"/>
                <w:highlight w:val="none"/>
              </w:rPr>
              <w:t>常州市奥翔服装印花有限公司空置厂房</w:t>
            </w:r>
            <w:r>
              <w:rPr>
                <w:rFonts w:hint="eastAsia"/>
                <w:color w:val="auto"/>
                <w:sz w:val="21"/>
                <w:szCs w:val="21"/>
                <w:highlight w:val="none"/>
                <w:lang w:eastAsia="zh-CN" w:bidi="ar"/>
              </w:rPr>
              <w:t>。</w:t>
            </w:r>
            <w:r>
              <w:rPr>
                <w:rFonts w:hint="eastAsia"/>
                <w:color w:val="auto"/>
                <w:sz w:val="21"/>
                <w:szCs w:val="21"/>
                <w:highlight w:val="none"/>
                <w:lang w:bidi="ar"/>
              </w:rPr>
              <w:t>厂房一</w:t>
            </w:r>
            <w:r>
              <w:rPr>
                <w:color w:val="auto"/>
                <w:sz w:val="21"/>
                <w:szCs w:val="21"/>
                <w:highlight w:val="none"/>
                <w:lang w:bidi="ar"/>
              </w:rPr>
              <w:t>共</w:t>
            </w:r>
            <w:r>
              <w:rPr>
                <w:rFonts w:hint="eastAsia"/>
                <w:color w:val="auto"/>
                <w:sz w:val="21"/>
                <w:szCs w:val="21"/>
                <w:highlight w:val="none"/>
                <w:lang w:bidi="ar"/>
              </w:rPr>
              <w:t>3</w:t>
            </w:r>
            <w:r>
              <w:rPr>
                <w:color w:val="auto"/>
                <w:sz w:val="21"/>
                <w:szCs w:val="21"/>
                <w:highlight w:val="none"/>
                <w:lang w:bidi="ar"/>
              </w:rPr>
              <w:t>层，</w:t>
            </w:r>
            <w:r>
              <w:rPr>
                <w:rFonts w:hint="eastAsia"/>
                <w:color w:val="auto"/>
                <w:sz w:val="21"/>
                <w:szCs w:val="21"/>
                <w:highlight w:val="none"/>
                <w:lang w:bidi="ar"/>
              </w:rPr>
              <w:t>本项目租赁其中2层进行生产</w:t>
            </w:r>
            <w:r>
              <w:rPr>
                <w:rFonts w:hint="eastAsia"/>
                <w:color w:val="auto"/>
                <w:sz w:val="21"/>
                <w:szCs w:val="21"/>
                <w:highlight w:val="none"/>
                <w:lang w:eastAsia="zh-CN" w:bidi="ar"/>
              </w:rPr>
              <w:t>，</w:t>
            </w:r>
            <w:r>
              <w:rPr>
                <w:rFonts w:hint="eastAsia"/>
                <w:color w:val="auto"/>
                <w:sz w:val="21"/>
                <w:szCs w:val="21"/>
                <w:highlight w:val="none"/>
                <w:lang w:val="en-US" w:eastAsia="zh-CN" w:bidi="ar"/>
              </w:rPr>
              <w:t>1层为常州市天翊电子有限公司，3层空置</w:t>
            </w:r>
            <w:r>
              <w:rPr>
                <w:color w:val="auto"/>
                <w:sz w:val="21"/>
                <w:szCs w:val="21"/>
                <w:highlight w:val="none"/>
              </w:rPr>
              <w:t>。</w:t>
            </w:r>
            <w:r>
              <w:rPr>
                <w:color w:val="auto"/>
                <w:szCs w:val="21"/>
                <w:highlight w:val="none"/>
              </w:rPr>
              <w:t>项目</w:t>
            </w:r>
            <w:r>
              <w:rPr>
                <w:rFonts w:hint="eastAsia"/>
                <w:color w:val="auto"/>
                <w:szCs w:val="21"/>
                <w:highlight w:val="none"/>
              </w:rPr>
              <w:t>所在厂房东侧</w:t>
            </w:r>
            <w:r>
              <w:rPr>
                <w:rFonts w:hint="eastAsia"/>
                <w:color w:val="auto"/>
                <w:sz w:val="21"/>
                <w:szCs w:val="21"/>
                <w:highlight w:val="none"/>
              </w:rPr>
              <w:t>为</w:t>
            </w:r>
            <w:r>
              <w:rPr>
                <w:rFonts w:hint="eastAsia"/>
                <w:bCs/>
                <w:color w:val="auto"/>
                <w:sz w:val="21"/>
                <w:szCs w:val="21"/>
                <w:highlight w:val="none"/>
              </w:rPr>
              <w:t>常州市奥翔服装印花有限公司生产车间</w:t>
            </w:r>
            <w:r>
              <w:rPr>
                <w:rFonts w:hint="eastAsia"/>
                <w:color w:val="auto"/>
                <w:sz w:val="21"/>
                <w:szCs w:val="21"/>
                <w:highlight w:val="none"/>
              </w:rPr>
              <w:t>，南侧为江苏润德精密机械有限公司，西侧隔汇福路为</w:t>
            </w:r>
            <w:r>
              <w:rPr>
                <w:rFonts w:hint="eastAsia"/>
                <w:color w:val="auto"/>
                <w:sz w:val="21"/>
                <w:szCs w:val="21"/>
                <w:highlight w:val="none"/>
                <w:lang w:eastAsia="zh-CN"/>
              </w:rPr>
              <w:t>常州易顺包装科技有限公司</w:t>
            </w:r>
            <w:r>
              <w:rPr>
                <w:rFonts w:hint="eastAsia"/>
                <w:color w:val="auto"/>
                <w:sz w:val="21"/>
                <w:szCs w:val="21"/>
                <w:highlight w:val="none"/>
              </w:rPr>
              <w:t>，北侧为金坛旭邦塑料厂，</w:t>
            </w:r>
            <w:r>
              <w:rPr>
                <w:rFonts w:hint="eastAsia"/>
                <w:bCs/>
                <w:color w:val="auto"/>
                <w:sz w:val="21"/>
                <w:szCs w:val="21"/>
                <w:highlight w:val="none"/>
              </w:rPr>
              <w:t>距离项目车间边界最近的敏感点为厂界西北侧95米处的金坛韩式中医关节病专科医院。</w:t>
            </w:r>
          </w:p>
          <w:p>
            <w:pPr>
              <w:spacing w:line="360" w:lineRule="auto"/>
              <w:ind w:left="-42" w:firstLine="455" w:firstLineChars="217"/>
              <w:rPr>
                <w:color w:val="auto"/>
                <w:sz w:val="24"/>
                <w:highlight w:val="none"/>
              </w:rPr>
            </w:pPr>
            <w:r>
              <w:rPr>
                <w:color w:val="auto"/>
                <w:sz w:val="21"/>
                <w:szCs w:val="21"/>
                <w:highlight w:val="none"/>
              </w:rPr>
              <w:t>项目周围概况详见附图2。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551" w:hRule="atLeast"/>
          <w:jc w:val="center"/>
        </w:trPr>
        <w:tc>
          <w:tcPr>
            <w:tcW w:w="823" w:type="dxa"/>
            <w:vAlign w:val="center"/>
          </w:tcPr>
          <w:p>
            <w:pPr>
              <w:pStyle w:val="22"/>
              <w:adjustRightInd w:val="0"/>
              <w:snapToGrid w:val="0"/>
              <w:spacing w:before="0" w:beforeAutospacing="0" w:after="0" w:afterAutospacing="0"/>
              <w:jc w:val="center"/>
              <w:rPr>
                <w:rFonts w:ascii="Times New Roman" w:hAnsi="Times New Roman" w:cs="Times New Roman"/>
                <w:color w:val="auto"/>
                <w:szCs w:val="24"/>
                <w:highlight w:val="none"/>
              </w:rPr>
            </w:pPr>
            <w:r>
              <w:rPr>
                <w:rFonts w:ascii="Times New Roman" w:hAnsi="Times New Roman" w:cs="Times New Roman"/>
                <w:color w:val="auto"/>
                <w:sz w:val="21"/>
                <w:szCs w:val="21"/>
                <w:highlight w:val="none"/>
              </w:rPr>
              <w:t>工艺流程和产排污环节</w:t>
            </w:r>
          </w:p>
        </w:tc>
        <w:tc>
          <w:tcPr>
            <w:tcW w:w="8161" w:type="dxa"/>
            <w:vAlign w:val="center"/>
          </w:tcPr>
          <w:p>
            <w:pPr>
              <w:snapToGrid w:val="0"/>
              <w:spacing w:line="360" w:lineRule="auto"/>
              <w:ind w:firstLine="420" w:firstLineChars="200"/>
              <w:rPr>
                <w:color w:val="auto"/>
                <w:sz w:val="21"/>
                <w:szCs w:val="21"/>
                <w:highlight w:val="none"/>
              </w:rPr>
            </w:pPr>
            <w:r>
              <w:rPr>
                <w:rFonts w:hint="eastAsia"/>
                <w:color w:val="auto"/>
                <w:sz w:val="21"/>
                <w:szCs w:val="21"/>
                <w:highlight w:val="none"/>
              </w:rPr>
              <w:t>本项目产品为塑料包装材料，生产工艺流程如下图所示：</w:t>
            </w:r>
          </w:p>
          <w:p>
            <w:pPr>
              <w:snapToGrid w:val="0"/>
              <w:spacing w:line="360" w:lineRule="auto"/>
              <w:jc w:val="center"/>
              <w:rPr>
                <w:rFonts w:hAnsi="宋体"/>
                <w:color w:val="auto"/>
                <w:sz w:val="21"/>
                <w:szCs w:val="21"/>
                <w:highlight w:val="none"/>
              </w:rPr>
            </w:pPr>
            <w:r>
              <w:rPr>
                <w:rFonts w:hAnsi="宋体"/>
                <w:color w:val="auto"/>
                <w:sz w:val="21"/>
                <w:szCs w:val="21"/>
                <w:highlight w:val="none"/>
              </w:rPr>
              <w:object>
                <v:shape id="_x0000_i1026" o:spt="75" type="#_x0000_t75" style="height:350.95pt;width:312.45pt;" o:ole="t" filled="f" o:preferrelative="t" stroked="t" coordsize="21600,21600">
                  <v:path/>
                  <v:fill on="f" focussize="0,0"/>
                  <v:stroke color="#000000"/>
                  <v:imagedata r:id="rId10" o:title=""/>
                  <o:lock v:ext="edit" aspectratio="f"/>
                  <w10:wrap type="none"/>
                  <w10:anchorlock/>
                </v:shape>
                <o:OLEObject Type="Embed" ProgID="Visio.Drawing.11" ShapeID="_x0000_i1026" DrawAspect="Content" ObjectID="_1468075726" r:id="rId9">
                  <o:LockedField>false</o:LockedField>
                </o:OLEObject>
              </w:objec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b/>
                <w:bCs/>
                <w:color w:val="auto"/>
                <w:sz w:val="21"/>
                <w:szCs w:val="21"/>
                <w:highlight w:val="none"/>
              </w:rPr>
            </w:pPr>
            <w:bookmarkStart w:id="4" w:name="OLE_LINK1"/>
            <w:r>
              <w:rPr>
                <w:rFonts w:hAnsi="宋体"/>
                <w:b/>
                <w:bCs/>
                <w:color w:val="auto"/>
                <w:sz w:val="21"/>
                <w:szCs w:val="21"/>
                <w:highlight w:val="none"/>
              </w:rPr>
              <w:t>图</w:t>
            </w:r>
            <w:r>
              <w:rPr>
                <w:rFonts w:hint="eastAsia" w:hAnsi="宋体"/>
                <w:b/>
                <w:bCs/>
                <w:color w:val="auto"/>
                <w:sz w:val="21"/>
                <w:szCs w:val="21"/>
                <w:highlight w:val="none"/>
              </w:rPr>
              <w:t>2-2</w:t>
            </w:r>
            <w:r>
              <w:rPr>
                <w:rFonts w:hint="eastAsia" w:hAnsi="宋体"/>
                <w:b/>
                <w:bCs/>
                <w:color w:val="auto"/>
                <w:sz w:val="21"/>
                <w:szCs w:val="21"/>
                <w:highlight w:val="none"/>
                <w:lang w:val="en-US" w:eastAsia="zh-CN"/>
              </w:rPr>
              <w:t xml:space="preserve"> </w:t>
            </w:r>
            <w:r>
              <w:rPr>
                <w:rFonts w:hint="eastAsia" w:hAnsi="宋体"/>
                <w:b/>
                <w:bCs/>
                <w:color w:val="auto"/>
                <w:sz w:val="21"/>
                <w:szCs w:val="21"/>
                <w:highlight w:val="none"/>
              </w:rPr>
              <w:t>塑料</w:t>
            </w:r>
            <w:r>
              <w:rPr>
                <w:rFonts w:hint="eastAsia" w:hAnsi="宋体"/>
                <w:b/>
                <w:bCs/>
                <w:color w:val="auto"/>
                <w:sz w:val="21"/>
                <w:szCs w:val="21"/>
                <w:highlight w:val="none"/>
                <w:lang w:val="en-US" w:eastAsia="zh-CN"/>
              </w:rPr>
              <w:t>包装材料</w:t>
            </w:r>
            <w:r>
              <w:rPr>
                <w:rFonts w:hAnsi="宋体"/>
                <w:b/>
                <w:bCs/>
                <w:color w:val="auto"/>
                <w:sz w:val="21"/>
                <w:szCs w:val="21"/>
                <w:highlight w:val="none"/>
              </w:rPr>
              <w:t>生产工艺流程图</w:t>
            </w:r>
          </w:p>
          <w:bookmarkEnd w:id="4"/>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bCs/>
                <w:color w:val="auto"/>
                <w:sz w:val="21"/>
                <w:szCs w:val="21"/>
                <w:highlight w:val="none"/>
              </w:rPr>
            </w:pPr>
            <w:r>
              <w:rPr>
                <w:b/>
                <w:bCs/>
                <w:color w:val="auto"/>
                <w:sz w:val="21"/>
                <w:szCs w:val="21"/>
                <w:highlight w:val="none"/>
              </w:rPr>
              <w:t>工艺流程及产污环节简述</w:t>
            </w:r>
            <w:r>
              <w:rPr>
                <w:rFonts w:hint="eastAsia"/>
                <w:b/>
                <w:bCs/>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rPr>
                <w:color w:val="auto"/>
                <w:sz w:val="21"/>
                <w:szCs w:val="21"/>
                <w:highlight w:val="none"/>
              </w:rPr>
            </w:pPr>
            <w:r>
              <w:rPr>
                <w:b/>
                <w:bCs/>
                <w:color w:val="auto"/>
                <w:sz w:val="21"/>
                <w:szCs w:val="21"/>
                <w:highlight w:val="none"/>
              </w:rPr>
              <w:t>投料：</w:t>
            </w:r>
            <w:r>
              <w:rPr>
                <w:b/>
                <w:bCs/>
                <w:color w:val="auto"/>
                <w:szCs w:val="21"/>
                <w:highlight w:val="none"/>
              </w:rPr>
              <w:t>投料：</w:t>
            </w:r>
            <w:r>
              <w:rPr>
                <w:color w:val="auto"/>
                <w:szCs w:val="21"/>
                <w:highlight w:val="none"/>
              </w:rPr>
              <w:t>人工将</w:t>
            </w:r>
            <w:r>
              <w:rPr>
                <w:rFonts w:hint="eastAsia"/>
                <w:color w:val="auto"/>
                <w:szCs w:val="21"/>
                <w:highlight w:val="none"/>
                <w:lang w:val="en-US" w:eastAsia="zh-CN"/>
              </w:rPr>
              <w:t>新</w:t>
            </w:r>
            <w:r>
              <w:rPr>
                <w:color w:val="auto"/>
                <w:szCs w:val="21"/>
                <w:highlight w:val="none"/>
              </w:rPr>
              <w:t>塑料粒子</w:t>
            </w:r>
            <w:r>
              <w:rPr>
                <w:rFonts w:hint="eastAsia"/>
                <w:color w:val="auto"/>
                <w:szCs w:val="21"/>
                <w:highlight w:val="none"/>
              </w:rPr>
              <w:t>EPS、色母粒</w:t>
            </w:r>
            <w:r>
              <w:rPr>
                <w:rFonts w:hint="eastAsia"/>
                <w:color w:val="auto"/>
                <w:szCs w:val="21"/>
                <w:highlight w:val="none"/>
                <w:lang w:eastAsia="zh-CN"/>
              </w:rPr>
              <w:t>、</w:t>
            </w:r>
            <w:r>
              <w:rPr>
                <w:rFonts w:hint="eastAsia"/>
                <w:color w:val="auto"/>
                <w:szCs w:val="21"/>
                <w:highlight w:val="none"/>
                <w:lang w:val="en-US" w:eastAsia="zh-CN"/>
              </w:rPr>
              <w:t>石粉</w:t>
            </w:r>
            <w:r>
              <w:rPr>
                <w:rFonts w:hint="eastAsia"/>
                <w:color w:val="auto"/>
                <w:szCs w:val="21"/>
                <w:highlight w:val="none"/>
              </w:rPr>
              <w:t>以及破碎后的边角料投入成型机的混料仓中搅拌均匀，EPS和色母粒的粒径为3-5mm，破碎后的边角料为</w:t>
            </w:r>
            <w:r>
              <w:rPr>
                <w:rFonts w:hint="eastAsia"/>
                <w:color w:val="auto"/>
                <w:szCs w:val="21"/>
                <w:highlight w:val="none"/>
                <w:lang w:val="en-US" w:eastAsia="zh-CN"/>
              </w:rPr>
              <w:t>粒子状</w:t>
            </w:r>
            <w:r>
              <w:rPr>
                <w:rFonts w:hint="eastAsia"/>
                <w:color w:val="auto"/>
                <w:szCs w:val="21"/>
                <w:highlight w:val="none"/>
              </w:rPr>
              <w:t>（</w:t>
            </w:r>
            <w:r>
              <w:rPr>
                <w:rFonts w:hint="eastAsia"/>
                <w:color w:val="auto"/>
                <w:szCs w:val="21"/>
                <w:highlight w:val="none"/>
                <w:lang w:val="en-US" w:eastAsia="zh-CN"/>
              </w:rPr>
              <w:t>粒径约5mm</w:t>
            </w:r>
            <w:r>
              <w:rPr>
                <w:rFonts w:hint="eastAsia"/>
                <w:color w:val="auto"/>
                <w:szCs w:val="21"/>
                <w:highlight w:val="none"/>
              </w:rPr>
              <w:t>）</w:t>
            </w:r>
            <w:r>
              <w:rPr>
                <w:color w:val="auto"/>
                <w:szCs w:val="21"/>
                <w:highlight w:val="none"/>
              </w:rPr>
              <w:t>，</w:t>
            </w:r>
            <w:r>
              <w:rPr>
                <w:rFonts w:hint="eastAsia"/>
                <w:color w:val="auto"/>
                <w:szCs w:val="21"/>
                <w:highlight w:val="none"/>
                <w:lang w:val="en-US" w:eastAsia="zh-CN"/>
              </w:rPr>
              <w:t>石粉为粉末状，因此</w:t>
            </w:r>
            <w:r>
              <w:rPr>
                <w:color w:val="auto"/>
                <w:szCs w:val="21"/>
                <w:highlight w:val="none"/>
              </w:rPr>
              <w:t>此工序会有</w:t>
            </w:r>
            <w:r>
              <w:rPr>
                <w:rFonts w:hint="eastAsia"/>
                <w:color w:val="auto"/>
                <w:szCs w:val="21"/>
                <w:highlight w:val="none"/>
                <w:lang w:val="en-US" w:eastAsia="zh-CN"/>
              </w:rPr>
              <w:t>投料粉尘G</w:t>
            </w:r>
            <w:r>
              <w:rPr>
                <w:rFonts w:hint="eastAsia"/>
                <w:color w:val="auto"/>
                <w:szCs w:val="21"/>
                <w:highlight w:val="none"/>
                <w:vertAlign w:val="subscript"/>
                <w:lang w:val="en-US" w:eastAsia="zh-CN"/>
              </w:rPr>
              <w:t>1</w:t>
            </w:r>
            <w:r>
              <w:rPr>
                <w:rFonts w:hint="eastAsia"/>
                <w:color w:val="auto"/>
                <w:szCs w:val="21"/>
                <w:highlight w:val="none"/>
                <w:lang w:val="en-US" w:eastAsia="zh-CN"/>
              </w:rPr>
              <w:t>和</w:t>
            </w:r>
            <w:r>
              <w:rPr>
                <w:color w:val="auto"/>
                <w:szCs w:val="21"/>
                <w:highlight w:val="none"/>
              </w:rPr>
              <w:t>废包装袋S</w:t>
            </w:r>
            <w:r>
              <w:rPr>
                <w:color w:val="auto"/>
                <w:szCs w:val="21"/>
                <w:highlight w:val="none"/>
                <w:vertAlign w:val="subscript"/>
              </w:rPr>
              <w:t>1</w:t>
            </w:r>
            <w:r>
              <w:rPr>
                <w:color w:val="auto"/>
                <w:szCs w:val="21"/>
                <w:highlight w:val="none"/>
              </w:rPr>
              <w:t>产生</w:t>
            </w:r>
            <w:r>
              <w:rPr>
                <w:rFonts w:hint="eastAsia"/>
                <w:color w:val="auto"/>
                <w:szCs w:val="21"/>
                <w:highlight w:val="none"/>
              </w:rPr>
              <w:t>生</w:t>
            </w:r>
            <w:r>
              <w:rPr>
                <w:color w:val="auto"/>
                <w:szCs w:val="21"/>
                <w:highlight w:val="none"/>
              </w:rPr>
              <w:t>。</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b/>
                <w:bCs/>
                <w:color w:val="auto"/>
                <w:sz w:val="21"/>
                <w:szCs w:val="21"/>
                <w:highlight w:val="none"/>
                <w:lang w:val="en-US" w:eastAsia="zh-CN"/>
              </w:rPr>
              <w:t>挤出成型：</w:t>
            </w:r>
            <w:r>
              <w:rPr>
                <w:rFonts w:hint="default" w:ascii="Times New Roman" w:hAnsi="Times New Roman" w:eastAsia="宋体" w:cs="Times New Roman"/>
                <w:b w:val="0"/>
                <w:bCs w:val="0"/>
                <w:color w:val="auto"/>
                <w:sz w:val="21"/>
                <w:szCs w:val="21"/>
                <w:highlight w:val="none"/>
                <w:lang w:val="en-US" w:eastAsia="zh-CN"/>
              </w:rPr>
              <w:t>原料经过输送螺杆输送至挤出成型机中，含有发泡剂的EPS</w:t>
            </w:r>
            <w:r>
              <w:rPr>
                <w:rFonts w:hint="eastAsia" w:ascii="Times New Roman" w:hAnsi="Times New Roman" w:eastAsia="宋体" w:cs="Times New Roman"/>
                <w:b w:val="0"/>
                <w:bCs w:val="0"/>
                <w:color w:val="auto"/>
                <w:sz w:val="21"/>
                <w:szCs w:val="21"/>
                <w:highlight w:val="none"/>
                <w:lang w:val="en-US" w:eastAsia="zh-CN"/>
              </w:rPr>
              <w:t>通过</w:t>
            </w:r>
            <w:r>
              <w:rPr>
                <w:rFonts w:hint="default" w:ascii="Times New Roman" w:hAnsi="Times New Roman" w:eastAsia="宋体" w:cs="Times New Roman"/>
                <w:b w:val="0"/>
                <w:bCs w:val="0"/>
                <w:color w:val="auto"/>
                <w:sz w:val="21"/>
                <w:szCs w:val="21"/>
                <w:highlight w:val="none"/>
                <w:lang w:val="en-US" w:eastAsia="zh-CN"/>
              </w:rPr>
              <w:t>螺杆</w:t>
            </w:r>
            <w:r>
              <w:rPr>
                <w:rFonts w:hint="eastAsia" w:ascii="Times New Roman" w:hAnsi="Times New Roman" w:eastAsia="宋体" w:cs="Times New Roman"/>
                <w:b w:val="0"/>
                <w:bCs w:val="0"/>
                <w:color w:val="auto"/>
                <w:sz w:val="21"/>
                <w:szCs w:val="21"/>
                <w:highlight w:val="none"/>
                <w:lang w:val="en-US" w:eastAsia="zh-CN"/>
              </w:rPr>
              <w:t>加热</w:t>
            </w:r>
            <w:r>
              <w:rPr>
                <w:rFonts w:hint="default" w:ascii="Times New Roman" w:hAnsi="Times New Roman" w:eastAsia="宋体" w:cs="Times New Roman"/>
                <w:b w:val="0"/>
                <w:bCs w:val="0"/>
                <w:color w:val="auto"/>
                <w:sz w:val="21"/>
                <w:szCs w:val="21"/>
                <w:highlight w:val="none"/>
                <w:lang w:val="en-US" w:eastAsia="zh-CN"/>
              </w:rPr>
              <w:t>管输入</w:t>
            </w:r>
            <w:r>
              <w:rPr>
                <w:rFonts w:hint="eastAsia" w:ascii="Times New Roman" w:hAnsi="Times New Roman" w:eastAsia="宋体" w:cs="Times New Roman"/>
                <w:b w:val="0"/>
                <w:bCs w:val="0"/>
                <w:color w:val="auto"/>
                <w:sz w:val="21"/>
                <w:szCs w:val="21"/>
                <w:highlight w:val="none"/>
                <w:lang w:val="en-US" w:eastAsia="zh-CN"/>
              </w:rPr>
              <w:t>热蒸汽</w:t>
            </w:r>
            <w:r>
              <w:rPr>
                <w:rFonts w:hint="default" w:ascii="Times New Roman" w:hAnsi="Times New Roman" w:eastAsia="宋体" w:cs="Times New Roman"/>
                <w:b w:val="0"/>
                <w:bCs w:val="0"/>
                <w:color w:val="auto"/>
                <w:sz w:val="21"/>
                <w:szCs w:val="21"/>
                <w:highlight w:val="none"/>
                <w:lang w:val="en-US" w:eastAsia="zh-CN"/>
              </w:rPr>
              <w:t>缓缓加热至</w:t>
            </w:r>
            <w:r>
              <w:rPr>
                <w:rFonts w:hint="eastAsia" w:ascii="Times New Roman" w:hAnsi="Times New Roman" w:eastAsia="宋体" w:cs="Times New Roman"/>
                <w:b w:val="0"/>
                <w:bCs w:val="0"/>
                <w:color w:val="auto"/>
                <w:sz w:val="21"/>
                <w:szCs w:val="21"/>
                <w:highlight w:val="none"/>
                <w:lang w:val="en-US" w:eastAsia="zh-CN"/>
              </w:rPr>
              <w:t>110</w:t>
            </w:r>
            <w:r>
              <w:rPr>
                <w:rFonts w:hint="default" w:ascii="Times New Roman" w:hAnsi="Times New Roman" w:eastAsia="宋体" w:cs="Times New Roman"/>
                <w:b w:val="0"/>
                <w:bCs w:val="0"/>
                <w:color w:val="auto"/>
                <w:sz w:val="21"/>
                <w:szCs w:val="21"/>
                <w:highlight w:val="none"/>
                <w:lang w:val="en-US" w:eastAsia="zh-CN"/>
              </w:rPr>
              <w:t>℃以上</w:t>
            </w:r>
            <w:r>
              <w:rPr>
                <w:rFonts w:hint="eastAsia" w:ascii="Times New Roman" w:hAnsi="Times New Roman" w:eastAsia="宋体"/>
                <w:b w:val="0"/>
                <w:bCs w:val="0"/>
                <w:color w:val="auto"/>
                <w:sz w:val="21"/>
                <w:szCs w:val="21"/>
                <w:highlight w:val="none"/>
                <w:lang w:val="en-US" w:eastAsia="zh-CN"/>
              </w:rPr>
              <w:t>进行预发泡，</w:t>
            </w:r>
            <w:r>
              <w:rPr>
                <w:rFonts w:hint="eastAsia" w:ascii="Times New Roman" w:hAnsi="Times New Roman" w:eastAsia="宋体" w:cs="Times New Roman"/>
                <w:b w:val="0"/>
                <w:bCs w:val="0"/>
                <w:color w:val="auto"/>
                <w:sz w:val="21"/>
                <w:szCs w:val="21"/>
                <w:highlight w:val="none"/>
                <w:lang w:val="en-US" w:eastAsia="zh-CN"/>
              </w:rPr>
              <w:t>同时，</w:t>
            </w:r>
            <w:r>
              <w:rPr>
                <w:rFonts w:hint="default" w:ascii="Times New Roman" w:hAnsi="Times New Roman" w:eastAsia="宋体" w:cs="Times New Roman"/>
                <w:b w:val="0"/>
                <w:bCs w:val="0"/>
                <w:color w:val="auto"/>
                <w:sz w:val="21"/>
                <w:szCs w:val="21"/>
                <w:highlight w:val="none"/>
                <w:lang w:val="en-US" w:eastAsia="zh-CN"/>
              </w:rPr>
              <w:t>通过螺杆将CO</w:t>
            </w:r>
            <w:r>
              <w:rPr>
                <w:rFonts w:hint="default" w:ascii="Times New Roman" w:hAnsi="Times New Roman" w:eastAsia="宋体" w:cs="Times New Roman"/>
                <w:b w:val="0"/>
                <w:bCs w:val="0"/>
                <w:color w:val="auto"/>
                <w:sz w:val="21"/>
                <w:szCs w:val="21"/>
                <w:highlight w:val="none"/>
                <w:vertAlign w:val="subscript"/>
                <w:lang w:val="en-US" w:eastAsia="zh-CN"/>
              </w:rPr>
              <w:t>2</w:t>
            </w:r>
            <w:r>
              <w:rPr>
                <w:rFonts w:hint="default" w:ascii="Times New Roman" w:hAnsi="Times New Roman" w:eastAsia="宋体" w:cs="Times New Roman"/>
                <w:b w:val="0"/>
                <w:bCs w:val="0"/>
                <w:color w:val="auto"/>
                <w:sz w:val="21"/>
                <w:szCs w:val="21"/>
                <w:highlight w:val="none"/>
                <w:lang w:val="en-US" w:eastAsia="zh-CN"/>
              </w:rPr>
              <w:t>输入挤出成型机中进行</w:t>
            </w:r>
            <w:r>
              <w:rPr>
                <w:rFonts w:hint="eastAsia" w:ascii="Times New Roman" w:hAnsi="Times New Roman" w:eastAsia="宋体" w:cs="Times New Roman"/>
                <w:b w:val="0"/>
                <w:bCs w:val="0"/>
                <w:color w:val="auto"/>
                <w:sz w:val="21"/>
                <w:szCs w:val="21"/>
                <w:highlight w:val="none"/>
                <w:lang w:val="en-US" w:eastAsia="zh-CN"/>
              </w:rPr>
              <w:t>预</w:t>
            </w:r>
            <w:r>
              <w:rPr>
                <w:rFonts w:hint="default" w:ascii="Times New Roman" w:hAnsi="Times New Roman" w:eastAsia="宋体" w:cs="Times New Roman"/>
                <w:b w:val="0"/>
                <w:bCs w:val="0"/>
                <w:color w:val="auto"/>
                <w:sz w:val="21"/>
                <w:szCs w:val="21"/>
                <w:highlight w:val="none"/>
                <w:lang w:val="en-US" w:eastAsia="zh-CN"/>
              </w:rPr>
              <w:t>发泡过程，</w:t>
            </w:r>
            <w:r>
              <w:rPr>
                <w:rFonts w:hint="eastAsia" w:ascii="Times New Roman" w:hAnsi="Times New Roman" w:eastAsia="宋体"/>
                <w:b w:val="0"/>
                <w:bCs w:val="0"/>
                <w:color w:val="auto"/>
                <w:sz w:val="21"/>
                <w:szCs w:val="21"/>
                <w:highlight w:val="none"/>
                <w:lang w:val="en-US" w:eastAsia="zh-CN"/>
              </w:rPr>
              <w:t>加热时长约150s。处于EPS中分子架自由空间内的发泡剂受热汽化产生压力，而使粒子膨胀，并形成互不连通的泡孔（闭孔），同时蒸汽和</w:t>
            </w:r>
            <w:r>
              <w:rPr>
                <w:rFonts w:hint="default" w:ascii="Times New Roman" w:hAnsi="Times New Roman" w:eastAsia="宋体" w:cs="Times New Roman"/>
                <w:b w:val="0"/>
                <w:bCs w:val="0"/>
                <w:color w:val="auto"/>
                <w:sz w:val="21"/>
                <w:szCs w:val="21"/>
                <w:highlight w:val="none"/>
                <w:lang w:val="en-US" w:eastAsia="zh-CN"/>
              </w:rPr>
              <w:t>CO</w:t>
            </w:r>
            <w:r>
              <w:rPr>
                <w:rFonts w:hint="default" w:ascii="Times New Roman" w:hAnsi="Times New Roman" w:eastAsia="宋体" w:cs="Times New Roman"/>
                <w:b w:val="0"/>
                <w:bCs w:val="0"/>
                <w:color w:val="auto"/>
                <w:sz w:val="21"/>
                <w:szCs w:val="21"/>
                <w:highlight w:val="none"/>
                <w:vertAlign w:val="subscript"/>
                <w:lang w:val="en-US" w:eastAsia="zh-CN"/>
              </w:rPr>
              <w:t>2</w:t>
            </w:r>
            <w:r>
              <w:rPr>
                <w:rFonts w:hint="eastAsia" w:ascii="Times New Roman" w:hAnsi="Times New Roman" w:eastAsia="宋体"/>
                <w:b w:val="0"/>
                <w:bCs w:val="0"/>
                <w:color w:val="auto"/>
                <w:sz w:val="21"/>
                <w:szCs w:val="21"/>
                <w:highlight w:val="none"/>
                <w:lang w:val="en-US" w:eastAsia="zh-CN"/>
              </w:rPr>
              <w:t>也渗透到已膨胀的泡孔中，加热时，发泡剂也会由粒子向外渗出，当蒸气和</w:t>
            </w:r>
            <w:r>
              <w:rPr>
                <w:rFonts w:hint="default" w:ascii="Times New Roman" w:hAnsi="Times New Roman" w:eastAsia="宋体" w:cs="Times New Roman"/>
                <w:b w:val="0"/>
                <w:bCs w:val="0"/>
                <w:color w:val="auto"/>
                <w:sz w:val="21"/>
                <w:szCs w:val="21"/>
                <w:highlight w:val="none"/>
                <w:lang w:val="en-US" w:eastAsia="zh-CN"/>
              </w:rPr>
              <w:t>CO</w:t>
            </w:r>
            <w:r>
              <w:rPr>
                <w:rFonts w:hint="default" w:ascii="Times New Roman" w:hAnsi="Times New Roman" w:eastAsia="宋体" w:cs="Times New Roman"/>
                <w:b w:val="0"/>
                <w:bCs w:val="0"/>
                <w:color w:val="auto"/>
                <w:sz w:val="21"/>
                <w:szCs w:val="21"/>
                <w:highlight w:val="none"/>
                <w:vertAlign w:val="subscript"/>
                <w:lang w:val="en-US" w:eastAsia="zh-CN"/>
              </w:rPr>
              <w:t>2</w:t>
            </w:r>
            <w:r>
              <w:rPr>
                <w:rFonts w:hint="eastAsia" w:ascii="Times New Roman" w:hAnsi="Times New Roman" w:eastAsia="宋体"/>
                <w:b w:val="0"/>
                <w:bCs w:val="0"/>
                <w:color w:val="auto"/>
                <w:sz w:val="21"/>
                <w:szCs w:val="21"/>
                <w:highlight w:val="none"/>
                <w:lang w:val="en-US" w:eastAsia="zh-CN"/>
              </w:rPr>
              <w:t>透入泡孔的速率超过发泡剂从泡孔中渗出的速率，使发泡气体绝大多数留在泡孔内，从而使泡孔总压力增加，发泡剂在泡孔中来不及溢出，使聚合物牵伸呈橡胶状态，其强度足以平衡内部的压力，从而使粒子得到预发，使聚合物得到延伸，粒子得到膨胀。</w:t>
            </w:r>
            <w:r>
              <w:rPr>
                <w:rFonts w:hint="eastAsia" w:ascii="Times New Roman" w:hAnsi="Times New Roman" w:eastAsia="宋体"/>
                <w:color w:val="auto"/>
                <w:sz w:val="21"/>
                <w:szCs w:val="21"/>
                <w:highlight w:val="none"/>
                <w:lang w:val="en-US" w:eastAsia="zh-CN"/>
              </w:rPr>
              <w:t>然后</w:t>
            </w:r>
            <w:r>
              <w:rPr>
                <w:rFonts w:hint="eastAsia" w:ascii="Times New Roman" w:hAnsi="Times New Roman" w:eastAsia="宋体"/>
                <w:b w:val="0"/>
                <w:bCs w:val="0"/>
                <w:color w:val="auto"/>
                <w:sz w:val="21"/>
                <w:szCs w:val="21"/>
                <w:highlight w:val="none"/>
                <w:lang w:val="en-US" w:eastAsia="zh-CN"/>
              </w:rPr>
              <w:t>将预发泡好的粒子输送至料仓中进行熟化。刚预发的粒子是潮湿的，粒子中保留一定量的发泡剂和水蒸气。预发输送到料仓后，由于吸收空气，骤然遇冷，致使泡孔中发泡剂冷凝使得泡孔内形成负压，所以粒子在预发后必须放置一段时间，一方面使其干燥自然冷却，另一方面使空气通过泡孔膜</w:t>
            </w:r>
            <w:r>
              <w:rPr>
                <w:rFonts w:hint="default" w:ascii="Times New Roman" w:hAnsi="Times New Roman" w:eastAsia="宋体" w:cs="Times New Roman"/>
                <w:b w:val="0"/>
                <w:bCs w:val="0"/>
                <w:color w:val="auto"/>
                <w:sz w:val="21"/>
                <w:szCs w:val="21"/>
                <w:highlight w:val="none"/>
                <w:lang w:val="en-US" w:eastAsia="zh-CN"/>
              </w:rPr>
              <w:t>渗透到泡孔内部，使泡孔内的压力与外界压力相平衡，防止成型后的收缩。熟化时间约4-8h。熟化后的粒子</w:t>
            </w:r>
            <w:r>
              <w:rPr>
                <w:rFonts w:hint="eastAsia" w:ascii="Times New Roman" w:hAnsi="Times New Roman" w:eastAsia="宋体" w:cs="Times New Roman"/>
                <w:b w:val="0"/>
                <w:bCs w:val="0"/>
                <w:color w:val="auto"/>
                <w:sz w:val="21"/>
                <w:szCs w:val="21"/>
                <w:highlight w:val="none"/>
                <w:lang w:val="en-US" w:eastAsia="zh-CN"/>
              </w:rPr>
              <w:t>自动输送进入</w:t>
            </w:r>
            <w:r>
              <w:rPr>
                <w:rFonts w:hint="default" w:ascii="Times New Roman" w:hAnsi="Times New Roman" w:eastAsia="宋体" w:cs="Times New Roman"/>
                <w:b w:val="0"/>
                <w:bCs w:val="0"/>
                <w:color w:val="auto"/>
                <w:sz w:val="21"/>
                <w:szCs w:val="21"/>
                <w:highlight w:val="none"/>
                <w:lang w:val="en-US" w:eastAsia="zh-CN"/>
              </w:rPr>
              <w:t>模具模腔中进行成型，</w:t>
            </w:r>
            <w:r>
              <w:rPr>
                <w:rFonts w:hint="eastAsia" w:ascii="Times New Roman" w:hAnsi="Times New Roman" w:eastAsia="宋体" w:cs="Times New Roman"/>
                <w:b w:val="0"/>
                <w:bCs w:val="0"/>
                <w:color w:val="auto"/>
                <w:sz w:val="21"/>
                <w:szCs w:val="21"/>
                <w:highlight w:val="none"/>
                <w:lang w:val="en-US" w:eastAsia="zh-CN"/>
              </w:rPr>
              <w:t>同时</w:t>
            </w:r>
            <w:r>
              <w:rPr>
                <w:rFonts w:hint="default" w:ascii="Times New Roman" w:hAnsi="Times New Roman" w:eastAsia="宋体" w:cs="Times New Roman"/>
                <w:b w:val="0"/>
                <w:bCs w:val="0"/>
                <w:color w:val="auto"/>
                <w:sz w:val="21"/>
                <w:szCs w:val="21"/>
                <w:highlight w:val="none"/>
                <w:lang w:val="en-US" w:eastAsia="zh-CN"/>
              </w:rPr>
              <w:t>将蒸汽通过螺杆加热管输入挤出成型机中，利用蒸汽进行直接加热，</w:t>
            </w:r>
            <w:r>
              <w:rPr>
                <w:rFonts w:hint="default" w:ascii="Times New Roman" w:hAnsi="Times New Roman" w:eastAsia="宋体" w:cs="Times New Roman"/>
                <w:color w:val="auto"/>
                <w:sz w:val="21"/>
                <w:szCs w:val="21"/>
                <w:highlight w:val="none"/>
              </w:rPr>
              <w:t>温度控制在110℃左右</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加热时长为90s，使得模腔内的粒子软化进一步膨胀粘结为一体，</w:t>
            </w:r>
            <w:r>
              <w:rPr>
                <w:rFonts w:hint="default" w:ascii="Times New Roman" w:hAnsi="Times New Roman" w:eastAsia="宋体" w:cs="Times New Roman"/>
                <w:b w:val="0"/>
                <w:bCs w:val="0"/>
                <w:color w:val="auto"/>
                <w:sz w:val="21"/>
                <w:szCs w:val="21"/>
                <w:highlight w:val="none"/>
                <w:lang w:val="en-US" w:eastAsia="zh-CN"/>
              </w:rPr>
              <w:t>结成均匀的泡沫体。然后通过</w:t>
            </w:r>
            <w:r>
              <w:rPr>
                <w:rFonts w:hint="default" w:ascii="Times New Roman" w:hAnsi="Times New Roman" w:eastAsia="宋体" w:cs="Times New Roman"/>
                <w:color w:val="auto"/>
                <w:sz w:val="21"/>
                <w:szCs w:val="21"/>
                <w:highlight w:val="none"/>
              </w:rPr>
              <w:t>螺杆挤出机自带冷却水循环系统进行降温</w:t>
            </w:r>
            <w:r>
              <w:rPr>
                <w:rFonts w:hint="eastAsia" w:ascii="Times New Roman" w:hAnsi="Times New Roman" w:eastAsia="宋体" w:cs="Times New Roman"/>
                <w:color w:val="auto"/>
                <w:sz w:val="21"/>
                <w:szCs w:val="21"/>
                <w:highlight w:val="none"/>
                <w:lang w:val="en-US" w:eastAsia="zh-CN"/>
              </w:rPr>
              <w:t>脱模</w:t>
            </w:r>
            <w:r>
              <w:rPr>
                <w:rFonts w:hint="default" w:ascii="Times New Roman" w:hAnsi="Times New Roman" w:eastAsia="宋体" w:cs="Times New Roman"/>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脱模出来的产品表面附着水分及产品泡粒蒸汽凝结成水分须以蒸发，同时产品泡粒呈真空状态以及冷减压产生较大收缩力，因而需要熟化，经仓库放置</w:t>
            </w:r>
            <w:r>
              <w:rPr>
                <w:rFonts w:hint="eastAsia" w:ascii="Times New Roman" w:hAnsi="Times New Roman" w:eastAsia="宋体" w:cs="Times New Roman"/>
                <w:color w:val="auto"/>
                <w:lang w:val="en-US" w:eastAsia="zh-CN"/>
              </w:rPr>
              <w:t>进行熟化</w:t>
            </w:r>
            <w:r>
              <w:rPr>
                <w:rFonts w:hint="default" w:ascii="Times New Roman" w:hAnsi="Times New Roman" w:eastAsia="宋体" w:cs="Times New Roman"/>
                <w:color w:val="auto"/>
                <w:lang w:val="en-US" w:eastAsia="zh-CN"/>
              </w:rPr>
              <w:t>。熟化时间约为24h。</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Times New Roman" w:hAnsi="Times New Roman" w:eastAsia="宋体"/>
                <w:b/>
                <w:bCs/>
                <w:color w:val="auto"/>
                <w:sz w:val="21"/>
                <w:szCs w:val="21"/>
                <w:highlight w:val="none"/>
                <w:lang w:val="en-US" w:eastAsia="zh-CN"/>
              </w:rPr>
            </w:pPr>
            <w:r>
              <w:rPr>
                <w:rFonts w:hint="eastAsia" w:ascii="Times New Roman" w:hAnsi="Times New Roman" w:eastAsia="宋体"/>
                <w:color w:val="auto"/>
                <w:sz w:val="21"/>
                <w:szCs w:val="21"/>
                <w:highlight w:val="none"/>
              </w:rPr>
              <w:t>此工序会产生</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ascii="Times New Roman" w:hAnsi="Times New Roman" w:eastAsia="宋体"/>
                <w:color w:val="auto"/>
                <w:sz w:val="21"/>
                <w:szCs w:val="21"/>
                <w:highlight w:val="none"/>
              </w:rPr>
              <w:t>废气G</w:t>
            </w:r>
            <w:r>
              <w:rPr>
                <w:rFonts w:hint="eastAsia" w:ascii="Times New Roman" w:hAnsi="Times New Roman" w:eastAsia="宋体"/>
                <w:color w:val="auto"/>
                <w:sz w:val="21"/>
                <w:szCs w:val="21"/>
                <w:highlight w:val="none"/>
                <w:vertAlign w:val="subscript"/>
                <w:lang w:val="en-US" w:eastAsia="zh-CN"/>
              </w:rPr>
              <w:t>2</w:t>
            </w:r>
            <w:r>
              <w:rPr>
                <w:rFonts w:hint="eastAsia" w:ascii="Times New Roman" w:hAnsi="Times New Roman" w:eastAsia="宋体"/>
                <w:color w:val="auto"/>
                <w:sz w:val="21"/>
                <w:szCs w:val="21"/>
                <w:highlight w:val="none"/>
              </w:rPr>
              <w:t>和噪声N。</w:t>
            </w:r>
          </w:p>
          <w:p>
            <w:pPr>
              <w:pStyle w:val="14"/>
              <w:numPr>
                <w:ilvl w:val="0"/>
                <w:numId w:val="0"/>
              </w:numPr>
              <w:adjustRightInd w:val="0"/>
              <w:snapToGrid w:val="0"/>
              <w:spacing w:line="360" w:lineRule="auto"/>
              <w:ind w:firstLine="422" w:firstLineChars="200"/>
              <w:rPr>
                <w:color w:val="auto"/>
                <w:sz w:val="21"/>
                <w:szCs w:val="21"/>
                <w:highlight w:val="none"/>
              </w:rPr>
            </w:pPr>
            <w:r>
              <w:rPr>
                <w:rFonts w:hint="eastAsia"/>
                <w:b/>
                <w:bCs/>
                <w:color w:val="auto"/>
                <w:sz w:val="21"/>
                <w:szCs w:val="21"/>
                <w:highlight w:val="none"/>
              </w:rPr>
              <w:t>修边：</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rPr>
              <w:t>后的</w:t>
            </w:r>
            <w:r>
              <w:rPr>
                <w:rFonts w:hint="eastAsia"/>
                <w:color w:val="auto"/>
                <w:sz w:val="21"/>
                <w:szCs w:val="21"/>
                <w:highlight w:val="none"/>
                <w:lang w:val="en-US" w:eastAsia="zh-CN"/>
              </w:rPr>
              <w:t>泡沫体需要利用修边机</w:t>
            </w:r>
            <w:r>
              <w:rPr>
                <w:rFonts w:hint="eastAsia"/>
                <w:color w:val="auto"/>
                <w:sz w:val="21"/>
                <w:szCs w:val="21"/>
                <w:highlight w:val="none"/>
              </w:rPr>
              <w:t>对周边进行修剪，根</w:t>
            </w:r>
            <w:r>
              <w:rPr>
                <w:rFonts w:hint="eastAsia"/>
                <w:color w:val="auto"/>
                <w:sz w:val="21"/>
                <w:szCs w:val="21"/>
                <w:highlight w:val="none"/>
                <w:lang w:val="en-US" w:eastAsia="zh-CN"/>
              </w:rPr>
              <w:t>据客户</w:t>
            </w:r>
            <w:r>
              <w:rPr>
                <w:rFonts w:hint="eastAsia"/>
                <w:color w:val="auto"/>
                <w:sz w:val="21"/>
                <w:szCs w:val="21"/>
                <w:highlight w:val="none"/>
              </w:rPr>
              <w:t>要求，修剪成需要的形状，此工序会产生边角料S</w:t>
            </w:r>
            <w:r>
              <w:rPr>
                <w:rFonts w:hint="eastAsia"/>
                <w:color w:val="auto"/>
                <w:sz w:val="21"/>
                <w:szCs w:val="21"/>
                <w:highlight w:val="none"/>
                <w:vertAlign w:val="subscript"/>
              </w:rPr>
              <w:t>2</w:t>
            </w:r>
            <w:r>
              <w:rPr>
                <w:rFonts w:hint="eastAsia"/>
                <w:color w:val="auto"/>
                <w:sz w:val="21"/>
                <w:szCs w:val="21"/>
                <w:highlight w:val="none"/>
              </w:rPr>
              <w:t>以及噪声N。</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rPr>
                <w:color w:val="auto"/>
                <w:sz w:val="21"/>
                <w:szCs w:val="21"/>
                <w:highlight w:val="none"/>
              </w:rPr>
            </w:pPr>
            <w:r>
              <w:rPr>
                <w:rFonts w:hint="eastAsia"/>
                <w:b/>
                <w:bCs/>
                <w:color w:val="auto"/>
                <w:sz w:val="21"/>
                <w:szCs w:val="21"/>
                <w:highlight w:val="none"/>
              </w:rPr>
              <w:t>压花</w:t>
            </w:r>
            <w:r>
              <w:rPr>
                <w:b/>
                <w:bCs/>
                <w:color w:val="auto"/>
                <w:sz w:val="21"/>
                <w:szCs w:val="21"/>
                <w:highlight w:val="none"/>
              </w:rPr>
              <w:t>：</w:t>
            </w:r>
            <w:r>
              <w:rPr>
                <w:rFonts w:hint="eastAsia"/>
                <w:color w:val="auto"/>
                <w:sz w:val="21"/>
                <w:szCs w:val="21"/>
                <w:highlight w:val="none"/>
              </w:rPr>
              <w:t>通过压花机</w:t>
            </w:r>
            <w:r>
              <w:rPr>
                <w:rFonts w:hint="eastAsia"/>
                <w:color w:val="auto"/>
                <w:sz w:val="21"/>
                <w:szCs w:val="21"/>
                <w:highlight w:val="none"/>
                <w:lang w:val="en-US" w:eastAsia="zh-CN"/>
              </w:rPr>
              <w:t>表面滚动齿轮</w:t>
            </w:r>
            <w:r>
              <w:rPr>
                <w:rFonts w:hint="eastAsia"/>
                <w:color w:val="auto"/>
                <w:sz w:val="21"/>
                <w:szCs w:val="21"/>
                <w:highlight w:val="none"/>
              </w:rPr>
              <w:t>压成固定花型</w:t>
            </w:r>
            <w:r>
              <w:rPr>
                <w:rFonts w:hint="eastAsia"/>
                <w:color w:val="auto"/>
                <w:sz w:val="21"/>
                <w:szCs w:val="21"/>
                <w:highlight w:val="none"/>
                <w:lang w:val="en-US" w:eastAsia="zh-CN"/>
              </w:rPr>
              <w:t>，</w:t>
            </w:r>
            <w:r>
              <w:rPr>
                <w:rFonts w:hint="eastAsia"/>
                <w:color w:val="auto"/>
                <w:sz w:val="21"/>
                <w:szCs w:val="21"/>
                <w:highlight w:val="none"/>
              </w:rPr>
              <w:t>此工序会产生噪声N。</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rPr>
                <w:color w:val="auto"/>
                <w:sz w:val="21"/>
                <w:szCs w:val="21"/>
                <w:highlight w:val="none"/>
              </w:rPr>
            </w:pPr>
            <w:r>
              <w:rPr>
                <w:rFonts w:hint="eastAsia"/>
                <w:b/>
                <w:bCs/>
                <w:color w:val="auto"/>
                <w:sz w:val="21"/>
                <w:szCs w:val="21"/>
                <w:highlight w:val="none"/>
              </w:rPr>
              <w:t>切割：</w:t>
            </w:r>
            <w:r>
              <w:rPr>
                <w:rFonts w:hint="eastAsia"/>
                <w:color w:val="auto"/>
                <w:sz w:val="21"/>
                <w:szCs w:val="21"/>
                <w:highlight w:val="none"/>
              </w:rPr>
              <w:t>利用分切机将半成品切割成需要的尺寸，此工序会产生边角料S</w:t>
            </w:r>
            <w:r>
              <w:rPr>
                <w:rFonts w:hint="eastAsia"/>
                <w:color w:val="auto"/>
                <w:sz w:val="21"/>
                <w:szCs w:val="21"/>
                <w:highlight w:val="none"/>
                <w:vertAlign w:val="subscript"/>
              </w:rPr>
              <w:t>3</w:t>
            </w:r>
            <w:r>
              <w:rPr>
                <w:rFonts w:hint="eastAsia"/>
                <w:color w:val="auto"/>
                <w:sz w:val="21"/>
                <w:szCs w:val="21"/>
                <w:highlight w:val="none"/>
              </w:rPr>
              <w:t>噪声N。</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default" w:ascii="Times New Roman" w:hAnsi="Times New Roman" w:eastAsia="宋体" w:cs="Times New Roman"/>
                <w:color w:val="auto"/>
                <w:sz w:val="21"/>
                <w:szCs w:val="21"/>
                <w:highlight w:val="none"/>
              </w:rPr>
            </w:pPr>
            <w:r>
              <w:rPr>
                <w:b/>
                <w:bCs/>
                <w:color w:val="auto"/>
                <w:sz w:val="21"/>
                <w:szCs w:val="21"/>
                <w:highlight w:val="none"/>
              </w:rPr>
              <w:t>检验包装：</w:t>
            </w:r>
            <w:r>
              <w:rPr>
                <w:rFonts w:hint="eastAsia"/>
                <w:color w:val="auto"/>
                <w:sz w:val="21"/>
                <w:szCs w:val="21"/>
                <w:highlight w:val="none"/>
              </w:rPr>
              <w:t>人工对成</w:t>
            </w:r>
            <w:r>
              <w:rPr>
                <w:rFonts w:hint="default" w:ascii="Times New Roman" w:hAnsi="Times New Roman" w:eastAsia="宋体" w:cs="Times New Roman"/>
                <w:color w:val="auto"/>
                <w:sz w:val="21"/>
                <w:szCs w:val="21"/>
                <w:highlight w:val="none"/>
              </w:rPr>
              <w:t>品进行检验，主要检查是否有破损，残缺，此工序会产生少量的不合格品S</w:t>
            </w:r>
            <w:r>
              <w:rPr>
                <w:rFonts w:hint="default" w:ascii="Times New Roman" w:hAnsi="Times New Roman" w:eastAsia="宋体" w:cs="Times New Roman"/>
                <w:color w:val="auto"/>
                <w:sz w:val="21"/>
                <w:szCs w:val="21"/>
                <w:highlight w:val="none"/>
                <w:vertAlign w:val="subscript"/>
              </w:rPr>
              <w:t>4</w:t>
            </w:r>
            <w:r>
              <w:rPr>
                <w:rFonts w:hint="default" w:ascii="Times New Roman" w:hAnsi="Times New Roman" w:eastAsia="宋体" w:cs="Times New Roman"/>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rPr>
              <w:t>破碎：</w:t>
            </w:r>
            <w:r>
              <w:rPr>
                <w:rFonts w:hint="default" w:ascii="Times New Roman" w:hAnsi="Times New Roman" w:eastAsia="宋体" w:cs="Times New Roman"/>
                <w:color w:val="auto"/>
                <w:sz w:val="21"/>
                <w:szCs w:val="21"/>
                <w:highlight w:val="none"/>
              </w:rPr>
              <w:t>生产过程中产生的边角料及不合格品经过破碎机破碎成片状（</w:t>
            </w:r>
            <w:r>
              <w:rPr>
                <w:rFonts w:hint="default" w:ascii="Times New Roman" w:hAnsi="Times New Roman" w:eastAsia="宋体" w:cs="Times New Roman"/>
                <w:color w:val="auto"/>
                <w:sz w:val="21"/>
                <w:szCs w:val="21"/>
                <w:highlight w:val="none"/>
                <w:lang w:val="en-US" w:eastAsia="zh-CN"/>
              </w:rPr>
              <w:t>5mm</w:t>
            </w:r>
            <w:r>
              <w:rPr>
                <w:rFonts w:hint="default" w:ascii="Times New Roman" w:hAnsi="Times New Roman" w:eastAsia="宋体" w:cs="Times New Roman"/>
                <w:color w:val="auto"/>
                <w:sz w:val="21"/>
                <w:szCs w:val="21"/>
                <w:highlight w:val="none"/>
              </w:rPr>
              <w:t>），然后回用于生产。此工序会产生破碎粉尘G</w:t>
            </w:r>
            <w:r>
              <w:rPr>
                <w:rFonts w:hint="default" w:ascii="Times New Roman" w:hAnsi="Times New Roman" w:eastAsia="宋体" w:cs="Times New Roman"/>
                <w:color w:val="auto"/>
                <w:sz w:val="21"/>
                <w:szCs w:val="21"/>
                <w:highlight w:val="none"/>
                <w:vertAlign w:val="subscript"/>
                <w:lang w:val="en-US" w:eastAsia="zh-CN"/>
              </w:rPr>
              <w:t>3</w:t>
            </w:r>
            <w:r>
              <w:rPr>
                <w:rFonts w:hint="default" w:ascii="Times New Roman" w:hAnsi="Times New Roman" w:eastAsia="宋体" w:cs="Times New Roman"/>
                <w:color w:val="auto"/>
                <w:sz w:val="21"/>
                <w:szCs w:val="21"/>
                <w:highlight w:val="none"/>
              </w:rPr>
              <w:t>以及噪声N。</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default" w:eastAsia="仿宋_GB2312"/>
                <w:color w:val="auto"/>
                <w:lang w:val="en-US" w:eastAsia="zh-CN"/>
              </w:rPr>
            </w:pPr>
            <w:r>
              <w:rPr>
                <w:rFonts w:hint="default" w:ascii="Times New Roman" w:hAnsi="Times New Roman" w:eastAsia="宋体" w:cs="Times New Roman"/>
                <w:b/>
                <w:bCs/>
                <w:color w:val="auto"/>
                <w:sz w:val="21"/>
                <w:szCs w:val="21"/>
                <w:lang w:val="en-US" w:eastAsia="zh-CN"/>
              </w:rPr>
              <w:t>另外项目购置部分</w:t>
            </w:r>
            <w:r>
              <w:rPr>
                <w:rFonts w:hint="eastAsia" w:ascii="Times New Roman" w:hAnsi="Times New Roman" w:eastAsia="宋体" w:cs="Times New Roman"/>
                <w:b/>
                <w:bCs/>
                <w:color w:val="auto"/>
                <w:sz w:val="21"/>
                <w:szCs w:val="21"/>
                <w:lang w:val="en-US" w:eastAsia="zh-CN"/>
              </w:rPr>
              <w:t>已挤出成型的</w:t>
            </w:r>
            <w:r>
              <w:rPr>
                <w:rFonts w:hint="default" w:ascii="Times New Roman" w:hAnsi="Times New Roman" w:eastAsia="宋体" w:cs="Times New Roman"/>
                <w:b/>
                <w:bCs/>
                <w:color w:val="auto"/>
                <w:sz w:val="21"/>
                <w:szCs w:val="21"/>
                <w:lang w:val="en-US" w:eastAsia="zh-CN"/>
              </w:rPr>
              <w:t>半成品包装材料直接进行后续修边、压花、切合等工序。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64" w:hRule="atLeast"/>
          <w:jc w:val="center"/>
        </w:trPr>
        <w:tc>
          <w:tcPr>
            <w:tcW w:w="823" w:type="dxa"/>
            <w:vAlign w:val="center"/>
          </w:tcPr>
          <w:p>
            <w:pPr>
              <w:pStyle w:val="22"/>
              <w:adjustRightInd w:val="0"/>
              <w:snapToGrid w:val="0"/>
              <w:spacing w:before="0" w:beforeAutospacing="0" w:after="0" w:afterAutospacing="0"/>
              <w:jc w:val="center"/>
              <w:rPr>
                <w:rFonts w:ascii="Times New Roman" w:hAnsi="Times New Roman" w:cs="Times New Roman"/>
                <w:color w:val="auto"/>
                <w:szCs w:val="24"/>
                <w:highlight w:val="none"/>
              </w:rPr>
            </w:pPr>
            <w:r>
              <w:rPr>
                <w:rFonts w:ascii="Times New Roman" w:hAnsi="Times New Roman" w:cs="Times New Roman"/>
                <w:bCs/>
                <w:color w:val="auto"/>
                <w:sz w:val="21"/>
                <w:szCs w:val="21"/>
                <w:highlight w:val="none"/>
              </w:rPr>
              <w:t>与项目有关的原有环境污染问题</w:t>
            </w:r>
          </w:p>
        </w:tc>
        <w:tc>
          <w:tcPr>
            <w:tcW w:w="8161" w:type="dxa"/>
          </w:tcPr>
          <w:p>
            <w:pPr>
              <w:pStyle w:val="6"/>
              <w:adjustRightInd w:val="0"/>
              <w:snapToGrid w:val="0"/>
              <w:spacing w:line="360" w:lineRule="auto"/>
              <w:ind w:left="0" w:leftChars="0" w:firstLine="420" w:firstLineChars="200"/>
              <w:rPr>
                <w:rFonts w:hint="eastAsia"/>
                <w:color w:val="auto"/>
                <w:sz w:val="21"/>
                <w:szCs w:val="21"/>
                <w:highlight w:val="none"/>
              </w:rPr>
            </w:pPr>
            <w:r>
              <w:rPr>
                <w:color w:val="auto"/>
                <w:sz w:val="21"/>
                <w:szCs w:val="21"/>
                <w:highlight w:val="none"/>
              </w:rPr>
              <w:t>项目</w:t>
            </w:r>
            <w:r>
              <w:rPr>
                <w:rFonts w:hint="eastAsia"/>
                <w:color w:val="auto"/>
                <w:sz w:val="21"/>
                <w:szCs w:val="21"/>
                <w:highlight w:val="none"/>
              </w:rPr>
              <w:t>租赁</w:t>
            </w:r>
            <w:r>
              <w:rPr>
                <w:rFonts w:hint="eastAsia"/>
                <w:bCs/>
                <w:color w:val="auto"/>
                <w:sz w:val="21"/>
                <w:szCs w:val="21"/>
                <w:highlight w:val="none"/>
              </w:rPr>
              <w:t>常州市奥翔服装印花有限公司</w:t>
            </w:r>
            <w:r>
              <w:rPr>
                <w:rFonts w:hint="eastAsia"/>
                <w:bCs/>
                <w:color w:val="auto"/>
                <w:sz w:val="21"/>
                <w:szCs w:val="21"/>
                <w:highlight w:val="none"/>
                <w:lang w:val="en-US" w:eastAsia="zh-CN"/>
              </w:rPr>
              <w:t>空置</w:t>
            </w:r>
            <w:r>
              <w:rPr>
                <w:rFonts w:hint="eastAsia"/>
                <w:color w:val="auto"/>
                <w:sz w:val="21"/>
                <w:szCs w:val="21"/>
                <w:highlight w:val="none"/>
              </w:rPr>
              <w:t>厂房进行生产，</w:t>
            </w:r>
            <w:r>
              <w:rPr>
                <w:rFonts w:hint="eastAsia"/>
                <w:bCs/>
                <w:color w:val="auto"/>
                <w:sz w:val="21"/>
                <w:szCs w:val="21"/>
                <w:highlight w:val="none"/>
              </w:rPr>
              <w:t>常州市奥翔服装印花有限公司</w:t>
            </w:r>
            <w:r>
              <w:rPr>
                <w:rFonts w:hint="eastAsia"/>
                <w:bCs/>
                <w:color w:val="auto"/>
                <w:sz w:val="21"/>
                <w:szCs w:val="21"/>
                <w:highlight w:val="none"/>
                <w:lang w:val="en-US" w:eastAsia="zh-CN"/>
              </w:rPr>
              <w:t>已于2006年12月25日取得关于“年产服装120万件、布匹印花100万米迁建项目环境影响报告表”的批复文件，并于2009年7月20日取得常州市金坛生态环境局关于“年产服装120万件、布匹印花100万米（部分验收、布匹印花100万米）”的竣工环境保护验收意见。</w:t>
            </w:r>
          </w:p>
          <w:p>
            <w:pPr>
              <w:pStyle w:val="6"/>
              <w:adjustRightInd w:val="0"/>
              <w:snapToGrid w:val="0"/>
              <w:spacing w:line="360" w:lineRule="auto"/>
              <w:ind w:firstLine="480"/>
              <w:rPr>
                <w:color w:val="auto"/>
                <w:sz w:val="21"/>
                <w:szCs w:val="21"/>
                <w:highlight w:val="none"/>
              </w:rPr>
            </w:pPr>
            <w:r>
              <w:rPr>
                <w:rFonts w:hint="eastAsia"/>
                <w:color w:val="auto"/>
                <w:szCs w:val="21"/>
                <w:highlight w:val="none"/>
              </w:rPr>
              <w:t>本项目所租赁的该厂房</w:t>
            </w:r>
            <w:r>
              <w:rPr>
                <w:rFonts w:hint="eastAsia"/>
                <w:color w:val="auto"/>
                <w:szCs w:val="21"/>
                <w:highlight w:val="none"/>
                <w:lang w:val="en-US" w:eastAsia="zh-CN"/>
              </w:rPr>
              <w:t>2016年</w:t>
            </w:r>
            <w:r>
              <w:rPr>
                <w:rFonts w:hint="eastAsia"/>
                <w:color w:val="auto"/>
                <w:szCs w:val="21"/>
                <w:highlight w:val="none"/>
              </w:rPr>
              <w:t>外租用于</w:t>
            </w:r>
            <w:r>
              <w:rPr>
                <w:rFonts w:hint="eastAsia"/>
                <w:color w:val="auto"/>
                <w:lang w:val="en-US" w:eastAsia="zh-CN"/>
              </w:rPr>
              <w:t>常州市奥伦自动化设备有限公司</w:t>
            </w:r>
            <w:r>
              <w:rPr>
                <w:rFonts w:hint="eastAsia"/>
                <w:color w:val="auto"/>
                <w:szCs w:val="21"/>
                <w:highlight w:val="none"/>
              </w:rPr>
              <w:t>生产项目，该项目已停产</w:t>
            </w:r>
            <w:r>
              <w:rPr>
                <w:rFonts w:hint="eastAsia"/>
                <w:color w:val="auto"/>
                <w:szCs w:val="21"/>
                <w:highlight w:val="none"/>
                <w:lang w:val="en-US" w:eastAsia="zh-CN"/>
              </w:rPr>
              <w:t>于2020年</w:t>
            </w:r>
            <w:r>
              <w:rPr>
                <w:rFonts w:hint="eastAsia"/>
                <w:color w:val="auto"/>
                <w:szCs w:val="21"/>
                <w:highlight w:val="none"/>
              </w:rPr>
              <w:t>搬迁</w:t>
            </w:r>
            <w:r>
              <w:rPr>
                <w:rFonts w:hint="eastAsia"/>
                <w:color w:val="auto"/>
                <w:szCs w:val="21"/>
                <w:highlight w:val="none"/>
                <w:lang w:val="en-US" w:eastAsia="zh-CN"/>
              </w:rPr>
              <w:t>完毕</w:t>
            </w:r>
            <w:r>
              <w:rPr>
                <w:rFonts w:hint="eastAsia"/>
                <w:color w:val="auto"/>
                <w:szCs w:val="21"/>
                <w:highlight w:val="none"/>
              </w:rPr>
              <w:t>，</w:t>
            </w:r>
            <w:r>
              <w:rPr>
                <w:rFonts w:hint="eastAsia"/>
                <w:color w:val="auto"/>
                <w:szCs w:val="21"/>
                <w:highlight w:val="none"/>
                <w:lang w:val="en-US" w:eastAsia="zh-CN"/>
              </w:rPr>
              <w:t>搬迁完毕后</w:t>
            </w:r>
            <w:r>
              <w:rPr>
                <w:rFonts w:hint="eastAsia"/>
                <w:color w:val="auto"/>
                <w:szCs w:val="21"/>
                <w:highlight w:val="none"/>
              </w:rPr>
              <w:t>厂房</w:t>
            </w:r>
            <w:r>
              <w:rPr>
                <w:rFonts w:hint="eastAsia"/>
                <w:color w:val="auto"/>
                <w:szCs w:val="21"/>
                <w:highlight w:val="none"/>
                <w:lang w:val="en-US" w:eastAsia="zh-CN"/>
              </w:rPr>
              <w:t>一直</w:t>
            </w:r>
            <w:r>
              <w:rPr>
                <w:rFonts w:hint="eastAsia"/>
                <w:color w:val="auto"/>
                <w:szCs w:val="21"/>
                <w:highlight w:val="none"/>
              </w:rPr>
              <w:t>为空置状态</w:t>
            </w:r>
            <w:r>
              <w:rPr>
                <w:rFonts w:hint="eastAsia"/>
                <w:bCs/>
                <w:color w:val="auto"/>
                <w:szCs w:val="21"/>
                <w:highlight w:val="none"/>
              </w:rPr>
              <w:t>，因此，</w:t>
            </w:r>
            <w:r>
              <w:rPr>
                <w:rFonts w:hint="eastAsia"/>
                <w:color w:val="auto"/>
                <w:szCs w:val="21"/>
                <w:highlight w:val="none"/>
              </w:rPr>
              <w:t>项目用地不存在原有污染源和遗留环境问题。</w:t>
            </w:r>
            <w:r>
              <w:rPr>
                <w:rFonts w:hint="eastAsia"/>
                <w:color w:val="auto"/>
                <w:sz w:val="21"/>
                <w:szCs w:val="21"/>
                <w:highlight w:val="none"/>
              </w:rPr>
              <w:t>常州市奥翔服装印花有限公司厂区内已实施雨污分流，已建设污水管网及排口、雨水管网及排口、供电线路及供水管网。本项目依托常州市奥翔服装印花有限公司已建的污水管网及排口、雨水管网及排口、供电线路及供水管网。项目生活污水依托常州市奥翔服装印花有限公司</w:t>
            </w:r>
            <w:r>
              <w:rPr>
                <w:rFonts w:hint="eastAsia"/>
                <w:color w:val="auto"/>
                <w:sz w:val="21"/>
                <w:szCs w:val="21"/>
                <w:highlight w:val="none"/>
                <w:lang w:val="en-US" w:eastAsia="zh-CN"/>
              </w:rPr>
              <w:t>污水管网收集</w:t>
            </w:r>
            <w:r>
              <w:rPr>
                <w:rFonts w:hint="eastAsia"/>
                <w:color w:val="auto"/>
                <w:sz w:val="21"/>
                <w:szCs w:val="21"/>
                <w:highlight w:val="none"/>
              </w:rPr>
              <w:t>后排放，若污水排放口、雨水排放口出现超标排放情况，由常州市奥翔服装印花有限公司承担相应的环保责任。江苏汇富新型材料有限公司不得向污水管网、雨水管网内排放生产废水、废液等。</w:t>
            </w:r>
          </w:p>
          <w:p>
            <w:pPr>
              <w:pStyle w:val="39"/>
              <w:adjustRightInd w:val="0"/>
              <w:snapToGrid w:val="0"/>
              <w:spacing w:line="360" w:lineRule="auto"/>
              <w:ind w:firstLine="480"/>
              <w:rPr>
                <w:color w:val="auto"/>
                <w:highlight w:val="none"/>
              </w:rPr>
            </w:pPr>
            <w:r>
              <w:rPr>
                <w:rFonts w:hint="eastAsia"/>
                <w:color w:val="auto"/>
                <w:sz w:val="21"/>
                <w:szCs w:val="21"/>
                <w:highlight w:val="none"/>
              </w:rPr>
              <w:t>江苏汇富新型材料有限公司自建废气处理设备、固废仓库等环保设施，若废气、噪声等出现超标排放或者固体废物未按照要求暂存处置，由江苏汇富新型材料有限公司承担相应的环保责任。</w:t>
            </w:r>
          </w:p>
        </w:tc>
      </w:tr>
    </w:tbl>
    <w:p>
      <w:pPr>
        <w:pStyle w:val="22"/>
        <w:jc w:val="center"/>
        <w:outlineLvl w:val="0"/>
        <w:rPr>
          <w:rFonts w:ascii="Times New Roman" w:hAnsi="Times New Roman" w:cs="Times New Roman"/>
          <w:b/>
          <w:bCs/>
          <w:snapToGrid w:val="0"/>
          <w:color w:val="auto"/>
          <w:sz w:val="30"/>
          <w:szCs w:val="30"/>
          <w:highlight w:val="none"/>
        </w:rPr>
        <w:sectPr>
          <w:pgSz w:w="11907" w:h="16840"/>
          <w:pgMar w:top="1701" w:right="1531" w:bottom="2127" w:left="1531" w:header="851" w:footer="851" w:gutter="0"/>
          <w:pgNumType w:fmt="decimal"/>
          <w:cols w:space="720" w:num="1"/>
          <w:docGrid w:linePitch="312" w:charSpace="0"/>
        </w:sectPr>
      </w:pPr>
      <w:bookmarkStart w:id="5" w:name="_Toc26345"/>
    </w:p>
    <w:p>
      <w:pPr>
        <w:pStyle w:val="22"/>
        <w:jc w:val="center"/>
        <w:outlineLvl w:val="0"/>
        <w:rPr>
          <w:rFonts w:ascii="Times New Roman" w:hAnsi="Times New Roman" w:cs="Times New Roman"/>
          <w:b/>
          <w:bCs/>
          <w:snapToGrid w:val="0"/>
          <w:color w:val="auto"/>
          <w:sz w:val="30"/>
          <w:szCs w:val="30"/>
          <w:highlight w:val="none"/>
        </w:rPr>
      </w:pPr>
      <w:r>
        <w:rPr>
          <w:rFonts w:ascii="Times New Roman" w:hAnsi="Times New Roman" w:cs="Times New Roman"/>
          <w:b/>
          <w:bCs/>
          <w:snapToGrid w:val="0"/>
          <w:color w:val="auto"/>
          <w:sz w:val="30"/>
          <w:szCs w:val="30"/>
          <w:highlight w:val="none"/>
        </w:rPr>
        <w:t>三、区域环境质量现状、环境保护目标及评价标准</w:t>
      </w:r>
      <w:bookmarkEnd w:id="5"/>
    </w:p>
    <w:tbl>
      <w:tblPr>
        <w:tblStyle w:val="2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1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0" w:type="dxa"/>
            <w:vAlign w:val="center"/>
          </w:tcPr>
          <w:p>
            <w:pPr>
              <w:adjustRightInd w:val="0"/>
              <w:snapToGrid w:val="0"/>
              <w:jc w:val="center"/>
              <w:rPr>
                <w:color w:val="auto"/>
                <w:kern w:val="0"/>
                <w:sz w:val="21"/>
                <w:szCs w:val="21"/>
                <w:highlight w:val="none"/>
              </w:rPr>
            </w:pPr>
            <w:r>
              <w:rPr>
                <w:color w:val="auto"/>
                <w:kern w:val="0"/>
                <w:sz w:val="21"/>
                <w:szCs w:val="21"/>
                <w:highlight w:val="none"/>
              </w:rPr>
              <w:t>区域</w:t>
            </w:r>
          </w:p>
          <w:p>
            <w:pPr>
              <w:adjustRightInd w:val="0"/>
              <w:snapToGrid w:val="0"/>
              <w:jc w:val="center"/>
              <w:rPr>
                <w:color w:val="auto"/>
                <w:kern w:val="0"/>
                <w:sz w:val="21"/>
                <w:szCs w:val="21"/>
                <w:highlight w:val="none"/>
              </w:rPr>
            </w:pPr>
            <w:r>
              <w:rPr>
                <w:color w:val="auto"/>
                <w:kern w:val="0"/>
                <w:sz w:val="21"/>
                <w:szCs w:val="21"/>
                <w:highlight w:val="none"/>
              </w:rPr>
              <w:t>环境</w:t>
            </w:r>
          </w:p>
          <w:p>
            <w:pPr>
              <w:adjustRightInd w:val="0"/>
              <w:snapToGrid w:val="0"/>
              <w:jc w:val="center"/>
              <w:rPr>
                <w:color w:val="auto"/>
                <w:kern w:val="0"/>
                <w:sz w:val="21"/>
                <w:szCs w:val="21"/>
                <w:highlight w:val="none"/>
              </w:rPr>
            </w:pPr>
            <w:r>
              <w:rPr>
                <w:color w:val="auto"/>
                <w:kern w:val="0"/>
                <w:sz w:val="21"/>
                <w:szCs w:val="21"/>
                <w:highlight w:val="none"/>
              </w:rPr>
              <w:t>质量</w:t>
            </w:r>
          </w:p>
          <w:p>
            <w:pPr>
              <w:adjustRightInd w:val="0"/>
              <w:snapToGrid w:val="0"/>
              <w:jc w:val="center"/>
              <w:rPr>
                <w:color w:val="auto"/>
                <w:highlight w:val="none"/>
              </w:rPr>
            </w:pPr>
            <w:r>
              <w:rPr>
                <w:color w:val="auto"/>
                <w:kern w:val="0"/>
                <w:sz w:val="21"/>
                <w:szCs w:val="21"/>
                <w:highlight w:val="none"/>
              </w:rPr>
              <w:t>现状</w:t>
            </w:r>
          </w:p>
        </w:tc>
        <w:tc>
          <w:tcPr>
            <w:tcW w:w="8190" w:type="dxa"/>
            <w:vAlign w:val="center"/>
          </w:tcPr>
          <w:p>
            <w:pPr>
              <w:pStyle w:val="52"/>
              <w:adjustRightInd w:val="0"/>
              <w:snapToGrid w:val="0"/>
              <w:spacing w:line="360" w:lineRule="auto"/>
              <w:ind w:left="0" w:leftChars="0" w:firstLine="422" w:firstLineChars="200"/>
              <w:rPr>
                <w:rFonts w:hint="default" w:eastAsia="宋体"/>
                <w:b/>
                <w:bCs/>
                <w:color w:val="auto"/>
                <w:sz w:val="21"/>
                <w:szCs w:val="21"/>
                <w:highlight w:val="none"/>
                <w:lang w:val="en-US" w:eastAsia="zh-CN"/>
              </w:rPr>
            </w:pPr>
            <w:r>
              <w:rPr>
                <w:rFonts w:hint="eastAsia"/>
                <w:b/>
                <w:bCs/>
                <w:color w:val="auto"/>
                <w:sz w:val="21"/>
                <w:szCs w:val="21"/>
                <w:highlight w:val="none"/>
                <w:lang w:val="en-US" w:eastAsia="zh-CN"/>
              </w:rPr>
              <w:t>1、大气</w:t>
            </w:r>
          </w:p>
          <w:p>
            <w:pPr>
              <w:pStyle w:val="52"/>
              <w:adjustRightInd w:val="0"/>
              <w:snapToGrid w:val="0"/>
              <w:spacing w:line="360" w:lineRule="auto"/>
              <w:ind w:left="0" w:leftChars="0" w:firstLine="422" w:firstLineChars="200"/>
              <w:rPr>
                <w:b/>
                <w:bCs/>
                <w:color w:val="auto"/>
                <w:sz w:val="21"/>
                <w:szCs w:val="21"/>
                <w:highlight w:val="none"/>
              </w:rPr>
            </w:pPr>
            <w:r>
              <w:rPr>
                <w:rFonts w:hint="eastAsia"/>
                <w:b/>
                <w:bCs/>
                <w:color w:val="auto"/>
                <w:sz w:val="21"/>
                <w:szCs w:val="21"/>
                <w:highlight w:val="none"/>
              </w:rPr>
              <w:t>（1）常规污染物环境质量现状</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31" w:rightChars="15" w:firstLine="420" w:firstLineChars="200"/>
              <w:jc w:val="both"/>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根据《202</w:t>
            </w:r>
            <w:r>
              <w:rPr>
                <w:rFonts w:hint="eastAsia" w:ascii="Times New Roman" w:hAnsi="Times New Roman" w:eastAsia="宋体" w:cs="Times New Roman"/>
                <w:color w:val="auto"/>
                <w:sz w:val="21"/>
                <w:szCs w:val="21"/>
                <w:lang w:val="en-US" w:eastAsia="zh-CN"/>
              </w:rPr>
              <w:t>2</w:t>
            </w:r>
            <w:r>
              <w:rPr>
                <w:rFonts w:hint="default" w:ascii="Times New Roman" w:hAnsi="Times New Roman" w:eastAsia="宋体" w:cs="Times New Roman"/>
                <w:color w:val="auto"/>
                <w:sz w:val="21"/>
                <w:szCs w:val="21"/>
              </w:rPr>
              <w:t>年常州市生态环境状况公报》，判定项目所在区域环境空气质量的达标情况</w:t>
            </w:r>
            <w:r>
              <w:rPr>
                <w:rFonts w:hint="eastAsia"/>
                <w:color w:val="auto"/>
                <w:sz w:val="21"/>
                <w:szCs w:val="21"/>
                <w:highlight w:val="none"/>
              </w:rPr>
              <w:t>，具体见表3-1。</w:t>
            </w:r>
          </w:p>
          <w:p>
            <w:pPr>
              <w:pStyle w:val="7"/>
              <w:keepNext/>
              <w:keepLines w:val="0"/>
              <w:pageBreakBefore w:val="0"/>
              <w:tabs>
                <w:tab w:val="left" w:pos="7380"/>
              </w:tabs>
              <w:kinsoku/>
              <w:wordWrap/>
              <w:topLinePunct w:val="0"/>
              <w:autoSpaceDE/>
              <w:autoSpaceDN/>
              <w:bidi w:val="0"/>
              <w:spacing w:before="0" w:afterLines="0" w:line="240" w:lineRule="auto"/>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表</w:t>
            </w:r>
            <w:r>
              <w:rPr>
                <w:rFonts w:hint="eastAsia" w:ascii="Times New Roman" w:hAnsi="Times New Roman" w:eastAsia="宋体" w:cs="Times New Roman"/>
                <w:b/>
                <w:bCs/>
                <w:color w:val="auto"/>
                <w:sz w:val="21"/>
                <w:szCs w:val="21"/>
                <w:lang w:val="en-US" w:eastAsia="zh-CN"/>
              </w:rPr>
              <w:t>3-1</w:t>
            </w:r>
            <w:r>
              <w:rPr>
                <w:rFonts w:hint="default" w:ascii="Times New Roman" w:hAnsi="Times New Roman" w:eastAsia="宋体" w:cs="Times New Roman"/>
                <w:b/>
                <w:bCs/>
                <w:color w:val="auto"/>
                <w:sz w:val="21"/>
                <w:szCs w:val="21"/>
              </w:rPr>
              <w:t xml:space="preserve"> 项目所在地环境空气质量现状</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896"/>
              <w:gridCol w:w="2685"/>
              <w:gridCol w:w="1179"/>
              <w:gridCol w:w="1121"/>
              <w:gridCol w:w="964"/>
              <w:gridCol w:w="112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62" w:type="pct"/>
                  <w:tcBorders>
                    <w:top w:val="single" w:color="auto" w:sz="12" w:space="0"/>
                    <w:left w:val="nil"/>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b/>
                      <w:color w:val="auto"/>
                      <w:kern w:val="0"/>
                      <w:sz w:val="21"/>
                      <w:szCs w:val="21"/>
                      <w:highlight w:val="none"/>
                    </w:rPr>
                  </w:pPr>
                  <w:r>
                    <w:rPr>
                      <w:rFonts w:hint="default" w:ascii="Times New Roman" w:hAnsi="Times New Roman" w:eastAsia="宋体" w:cs="Times New Roman"/>
                      <w:b/>
                      <w:color w:val="auto"/>
                      <w:kern w:val="0"/>
                      <w:sz w:val="21"/>
                      <w:szCs w:val="21"/>
                      <w:highlight w:val="none"/>
                    </w:rPr>
                    <w:t>污染物</w:t>
                  </w:r>
                </w:p>
              </w:tc>
              <w:tc>
                <w:tcPr>
                  <w:tcW w:w="1683" w:type="pct"/>
                  <w:tcBorders>
                    <w:top w:val="single" w:color="auto" w:sz="12"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b/>
                      <w:color w:val="auto"/>
                      <w:kern w:val="0"/>
                      <w:sz w:val="21"/>
                      <w:szCs w:val="21"/>
                      <w:highlight w:val="none"/>
                    </w:rPr>
                  </w:pPr>
                  <w:r>
                    <w:rPr>
                      <w:rFonts w:hint="default" w:ascii="Times New Roman" w:hAnsi="Times New Roman" w:eastAsia="宋体" w:cs="Times New Roman"/>
                      <w:b/>
                      <w:color w:val="auto"/>
                      <w:kern w:val="0"/>
                      <w:sz w:val="21"/>
                      <w:szCs w:val="21"/>
                      <w:highlight w:val="none"/>
                    </w:rPr>
                    <w:t>年平均指标</w:t>
                  </w:r>
                </w:p>
              </w:tc>
              <w:tc>
                <w:tcPr>
                  <w:tcW w:w="739" w:type="pct"/>
                  <w:tcBorders>
                    <w:top w:val="single" w:color="auto" w:sz="12"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现状浓度</w:t>
                  </w:r>
                </w:p>
                <w:p>
                  <w:pPr>
                    <w:pStyle w:val="8"/>
                    <w:adjustRightInd w:val="0"/>
                    <w:snapToGrid w:val="0"/>
                    <w:spacing w:line="240" w:lineRule="auto"/>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μg/m</w:t>
                  </w:r>
                  <w:r>
                    <w:rPr>
                      <w:rFonts w:hint="default" w:ascii="Times New Roman" w:hAnsi="Times New Roman" w:eastAsia="宋体" w:cs="Times New Roman"/>
                      <w:b/>
                      <w:color w:val="auto"/>
                      <w:sz w:val="21"/>
                      <w:szCs w:val="21"/>
                      <w:highlight w:val="none"/>
                      <w:vertAlign w:val="superscript"/>
                    </w:rPr>
                    <w:t>3</w:t>
                  </w:r>
                </w:p>
              </w:tc>
              <w:tc>
                <w:tcPr>
                  <w:tcW w:w="703" w:type="pct"/>
                  <w:tcBorders>
                    <w:top w:val="single" w:color="auto" w:sz="12"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标准限值</w:t>
                  </w:r>
                </w:p>
                <w:p>
                  <w:pPr>
                    <w:pStyle w:val="8"/>
                    <w:adjustRightInd w:val="0"/>
                    <w:snapToGrid w:val="0"/>
                    <w:spacing w:line="240" w:lineRule="auto"/>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μg/m</w:t>
                  </w:r>
                  <w:r>
                    <w:rPr>
                      <w:rFonts w:hint="default" w:ascii="Times New Roman" w:hAnsi="Times New Roman" w:eastAsia="宋体" w:cs="Times New Roman"/>
                      <w:b/>
                      <w:color w:val="auto"/>
                      <w:sz w:val="21"/>
                      <w:szCs w:val="21"/>
                      <w:highlight w:val="none"/>
                      <w:vertAlign w:val="superscript"/>
                    </w:rPr>
                    <w:t>3</w:t>
                  </w:r>
                </w:p>
              </w:tc>
              <w:tc>
                <w:tcPr>
                  <w:tcW w:w="604" w:type="pct"/>
                  <w:tcBorders>
                    <w:top w:val="single" w:color="auto" w:sz="12"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b/>
                      <w:color w:val="auto"/>
                      <w:kern w:val="0"/>
                      <w:sz w:val="21"/>
                      <w:szCs w:val="21"/>
                      <w:highlight w:val="none"/>
                    </w:rPr>
                  </w:pPr>
                  <w:r>
                    <w:rPr>
                      <w:rFonts w:hint="default" w:ascii="Times New Roman" w:hAnsi="Times New Roman" w:eastAsia="宋体" w:cs="Times New Roman"/>
                      <w:b/>
                      <w:color w:val="auto"/>
                      <w:kern w:val="0"/>
                      <w:sz w:val="21"/>
                      <w:szCs w:val="21"/>
                      <w:highlight w:val="none"/>
                      <w:lang w:val="en-US" w:eastAsia="zh-CN"/>
                    </w:rPr>
                    <w:t>达标率</w:t>
                  </w:r>
                  <w:r>
                    <w:rPr>
                      <w:rFonts w:hint="default" w:ascii="Times New Roman" w:hAnsi="Times New Roman" w:eastAsia="宋体" w:cs="Times New Roman"/>
                      <w:b/>
                      <w:color w:val="auto"/>
                      <w:kern w:val="0"/>
                      <w:sz w:val="21"/>
                      <w:szCs w:val="21"/>
                      <w:highlight w:val="none"/>
                    </w:rPr>
                    <w:t>%</w:t>
                  </w:r>
                </w:p>
              </w:tc>
              <w:tc>
                <w:tcPr>
                  <w:tcW w:w="708" w:type="pct"/>
                  <w:tcBorders>
                    <w:top w:val="single" w:color="auto" w:sz="12" w:space="0"/>
                    <w:left w:val="single" w:color="auto" w:sz="4" w:space="0"/>
                    <w:bottom w:val="single" w:color="auto" w:sz="4" w:space="0"/>
                    <w:right w:val="nil"/>
                  </w:tcBorders>
                  <w:noWrap w:val="0"/>
                  <w:vAlign w:val="center"/>
                </w:tcPr>
                <w:p>
                  <w:pPr>
                    <w:adjustRightInd w:val="0"/>
                    <w:snapToGrid w:val="0"/>
                    <w:spacing w:line="240" w:lineRule="auto"/>
                    <w:jc w:val="center"/>
                    <w:rPr>
                      <w:rFonts w:hint="default" w:ascii="Times New Roman" w:hAnsi="Times New Roman" w:eastAsia="宋体" w:cs="Times New Roman"/>
                      <w:b/>
                      <w:color w:val="auto"/>
                      <w:kern w:val="0"/>
                      <w:sz w:val="21"/>
                      <w:szCs w:val="21"/>
                      <w:highlight w:val="none"/>
                    </w:rPr>
                  </w:pPr>
                  <w:r>
                    <w:rPr>
                      <w:rFonts w:hint="default" w:ascii="Times New Roman" w:hAnsi="Times New Roman" w:eastAsia="宋体" w:cs="Times New Roman"/>
                      <w:b/>
                      <w:color w:val="auto"/>
                      <w:kern w:val="0"/>
                      <w:sz w:val="21"/>
                      <w:szCs w:val="21"/>
                      <w:highlight w:val="none"/>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62" w:type="pct"/>
                  <w:vMerge w:val="restart"/>
                  <w:tcBorders>
                    <w:top w:val="single" w:color="auto" w:sz="4" w:space="0"/>
                    <w:left w:val="nil"/>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PM</w:t>
                  </w:r>
                  <w:r>
                    <w:rPr>
                      <w:rFonts w:hint="default" w:ascii="Times New Roman" w:hAnsi="Times New Roman" w:eastAsia="宋体" w:cs="Times New Roman"/>
                      <w:color w:val="auto"/>
                      <w:kern w:val="0"/>
                      <w:sz w:val="21"/>
                      <w:szCs w:val="21"/>
                      <w:highlight w:val="none"/>
                      <w:vertAlign w:val="subscript"/>
                    </w:rPr>
                    <w:t>2.5</w:t>
                  </w:r>
                </w:p>
              </w:tc>
              <w:tc>
                <w:tcPr>
                  <w:tcW w:w="168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年平均质量浓度</w:t>
                  </w:r>
                </w:p>
              </w:tc>
              <w:tc>
                <w:tcPr>
                  <w:tcW w:w="739"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33</w:t>
                  </w:r>
                </w:p>
              </w:tc>
              <w:tc>
                <w:tcPr>
                  <w:tcW w:w="70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35</w:t>
                  </w:r>
                </w:p>
              </w:tc>
              <w:tc>
                <w:tcPr>
                  <w:tcW w:w="604" w:type="pct"/>
                  <w:tcBorders>
                    <w:top w:val="single" w:color="auto" w:sz="4" w:space="0"/>
                    <w:left w:val="nil"/>
                    <w:bottom w:val="single" w:color="auto" w:sz="8" w:space="0"/>
                    <w:right w:val="single" w:color="auto" w:sz="8" w:space="0"/>
                  </w:tcBorders>
                  <w:noWrap w:val="0"/>
                  <w:vAlign w:val="center"/>
                </w:tcPr>
                <w:p>
                  <w:pPr>
                    <w:widowControl/>
                    <w:spacing w:line="240" w:lineRule="auto"/>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bidi="ar"/>
                    </w:rPr>
                    <w:t>100</w:t>
                  </w:r>
                </w:p>
              </w:tc>
              <w:tc>
                <w:tcPr>
                  <w:tcW w:w="708" w:type="pct"/>
                  <w:vMerge w:val="restart"/>
                  <w:tcBorders>
                    <w:top w:val="single" w:color="auto" w:sz="4" w:space="0"/>
                    <w:left w:val="single" w:color="auto" w:sz="4" w:space="0"/>
                    <w:right w:val="nil"/>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rPr>
                    <w:t>不</w:t>
                  </w:r>
                  <w:r>
                    <w:rPr>
                      <w:rFonts w:hint="default" w:ascii="Times New Roman" w:hAnsi="Times New Roman" w:eastAsia="宋体" w:cs="Times New Roman"/>
                      <w:color w:val="auto"/>
                      <w:kern w:val="0"/>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62" w:type="pct"/>
                  <w:vMerge w:val="continue"/>
                  <w:tcBorders>
                    <w:left w:val="nil"/>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p>
              </w:tc>
              <w:tc>
                <w:tcPr>
                  <w:tcW w:w="16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日平均浓度</w:t>
                  </w:r>
                </w:p>
              </w:tc>
              <w:tc>
                <w:tcPr>
                  <w:tcW w:w="7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lang w:val="en-US" w:eastAsia="zh-CN"/>
                    </w:rPr>
                    <w:t>7-134</w:t>
                  </w:r>
                </w:p>
              </w:tc>
              <w:tc>
                <w:tcPr>
                  <w:tcW w:w="7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75</w:t>
                  </w:r>
                </w:p>
              </w:tc>
              <w:tc>
                <w:tcPr>
                  <w:tcW w:w="604" w:type="pct"/>
                  <w:tcBorders>
                    <w:top w:val="single" w:color="auto" w:sz="4" w:space="0"/>
                    <w:left w:val="nil"/>
                    <w:bottom w:val="single" w:color="auto" w:sz="8" w:space="0"/>
                    <w:right w:val="single" w:color="auto" w:sz="8"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lang w:val="en-US" w:eastAsia="zh-CN"/>
                    </w:rPr>
                    <w:t>94.6</w:t>
                  </w:r>
                </w:p>
              </w:tc>
              <w:tc>
                <w:tcPr>
                  <w:tcW w:w="708" w:type="pct"/>
                  <w:vMerge w:val="continue"/>
                  <w:tcBorders>
                    <w:left w:val="single" w:color="auto" w:sz="4" w:space="0"/>
                    <w:bottom w:val="single" w:color="auto" w:sz="4" w:space="0"/>
                    <w:right w:val="nil"/>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62" w:type="pct"/>
                  <w:vMerge w:val="restart"/>
                  <w:tcBorders>
                    <w:top w:val="single" w:color="auto" w:sz="4" w:space="0"/>
                    <w:left w:val="nil"/>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PM</w:t>
                  </w:r>
                  <w:r>
                    <w:rPr>
                      <w:rFonts w:hint="default" w:ascii="Times New Roman" w:hAnsi="Times New Roman" w:eastAsia="宋体" w:cs="Times New Roman"/>
                      <w:color w:val="auto"/>
                      <w:kern w:val="0"/>
                      <w:sz w:val="21"/>
                      <w:szCs w:val="21"/>
                      <w:highlight w:val="none"/>
                      <w:vertAlign w:val="subscript"/>
                    </w:rPr>
                    <w:t>10</w:t>
                  </w:r>
                </w:p>
              </w:tc>
              <w:tc>
                <w:tcPr>
                  <w:tcW w:w="168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年平均质量浓度</w:t>
                  </w:r>
                </w:p>
              </w:tc>
              <w:tc>
                <w:tcPr>
                  <w:tcW w:w="739"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55</w:t>
                  </w:r>
                </w:p>
              </w:tc>
              <w:tc>
                <w:tcPr>
                  <w:tcW w:w="70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70</w:t>
                  </w:r>
                </w:p>
              </w:tc>
              <w:tc>
                <w:tcPr>
                  <w:tcW w:w="604" w:type="pct"/>
                  <w:tcBorders>
                    <w:top w:val="nil"/>
                    <w:left w:val="nil"/>
                    <w:bottom w:val="single" w:color="auto" w:sz="8" w:space="0"/>
                    <w:right w:val="single" w:color="auto" w:sz="8" w:space="0"/>
                  </w:tcBorders>
                  <w:noWrap w:val="0"/>
                  <w:vAlign w:val="center"/>
                </w:tcPr>
                <w:p>
                  <w:pPr>
                    <w:widowControl/>
                    <w:spacing w:line="240" w:lineRule="auto"/>
                    <w:jc w:val="center"/>
                    <w:textAlignment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bidi="ar"/>
                    </w:rPr>
                    <w:t>100</w:t>
                  </w:r>
                </w:p>
              </w:tc>
              <w:tc>
                <w:tcPr>
                  <w:tcW w:w="708" w:type="pct"/>
                  <w:vMerge w:val="restart"/>
                  <w:tcBorders>
                    <w:top w:val="single" w:color="auto" w:sz="4" w:space="0"/>
                    <w:left w:val="single" w:color="auto" w:sz="4" w:space="0"/>
                    <w:right w:val="nil"/>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62" w:type="pct"/>
                  <w:vMerge w:val="continue"/>
                  <w:tcBorders>
                    <w:left w:val="nil"/>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p>
              </w:tc>
              <w:tc>
                <w:tcPr>
                  <w:tcW w:w="16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日平均浓度</w:t>
                  </w:r>
                </w:p>
              </w:tc>
              <w:tc>
                <w:tcPr>
                  <w:tcW w:w="7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lang w:val="en-US" w:eastAsia="zh-CN"/>
                    </w:rPr>
                    <w:t>13-181</w:t>
                  </w:r>
                </w:p>
              </w:tc>
              <w:tc>
                <w:tcPr>
                  <w:tcW w:w="7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150</w:t>
                  </w:r>
                </w:p>
              </w:tc>
              <w:tc>
                <w:tcPr>
                  <w:tcW w:w="604" w:type="pct"/>
                  <w:tcBorders>
                    <w:top w:val="nil"/>
                    <w:left w:val="nil"/>
                    <w:bottom w:val="single" w:color="auto" w:sz="8" w:space="0"/>
                    <w:right w:val="single" w:color="auto" w:sz="8"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98.</w:t>
                  </w:r>
                  <w:r>
                    <w:rPr>
                      <w:rFonts w:hint="default" w:ascii="Times New Roman" w:hAnsi="Times New Roman" w:eastAsia="宋体" w:cs="Times New Roman"/>
                      <w:bCs/>
                      <w:color w:val="auto"/>
                      <w:sz w:val="21"/>
                      <w:szCs w:val="21"/>
                      <w:lang w:val="en-US" w:eastAsia="zh-CN"/>
                    </w:rPr>
                    <w:t>6</w:t>
                  </w:r>
                </w:p>
              </w:tc>
              <w:tc>
                <w:tcPr>
                  <w:tcW w:w="708" w:type="pct"/>
                  <w:vMerge w:val="continue"/>
                  <w:tcBorders>
                    <w:left w:val="single" w:color="auto" w:sz="4" w:space="0"/>
                    <w:bottom w:val="single" w:color="auto" w:sz="4" w:space="0"/>
                    <w:right w:val="nil"/>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62" w:type="pct"/>
                  <w:vMerge w:val="restart"/>
                  <w:tcBorders>
                    <w:top w:val="single" w:color="auto" w:sz="4" w:space="0"/>
                    <w:left w:val="nil"/>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SO</w:t>
                  </w:r>
                  <w:r>
                    <w:rPr>
                      <w:rFonts w:hint="default" w:ascii="Times New Roman" w:hAnsi="Times New Roman" w:eastAsia="宋体" w:cs="Times New Roman"/>
                      <w:color w:val="auto"/>
                      <w:kern w:val="0"/>
                      <w:sz w:val="21"/>
                      <w:szCs w:val="21"/>
                      <w:highlight w:val="none"/>
                      <w:vertAlign w:val="subscript"/>
                    </w:rPr>
                    <w:t>2</w:t>
                  </w:r>
                </w:p>
              </w:tc>
              <w:tc>
                <w:tcPr>
                  <w:tcW w:w="168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年平均质量浓度</w:t>
                  </w:r>
                </w:p>
              </w:tc>
              <w:tc>
                <w:tcPr>
                  <w:tcW w:w="739"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lang w:eastAsia="zh-CN"/>
                    </w:rPr>
                  </w:pPr>
                  <w:r>
                    <w:rPr>
                      <w:rFonts w:hint="default" w:ascii="Times New Roman" w:hAnsi="Times New Roman" w:eastAsia="宋体" w:cs="Times New Roman"/>
                      <w:color w:val="auto"/>
                      <w:kern w:val="0"/>
                      <w:sz w:val="21"/>
                      <w:szCs w:val="21"/>
                      <w:highlight w:val="none"/>
                      <w:lang w:val="en-US" w:eastAsia="zh-CN"/>
                    </w:rPr>
                    <w:t>7</w:t>
                  </w:r>
                </w:p>
              </w:tc>
              <w:tc>
                <w:tcPr>
                  <w:tcW w:w="70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60</w:t>
                  </w:r>
                </w:p>
              </w:tc>
              <w:tc>
                <w:tcPr>
                  <w:tcW w:w="604" w:type="pct"/>
                  <w:tcBorders>
                    <w:top w:val="nil"/>
                    <w:left w:val="nil"/>
                    <w:bottom w:val="single" w:color="auto" w:sz="8" w:space="0"/>
                    <w:right w:val="single" w:color="auto" w:sz="8" w:space="0"/>
                  </w:tcBorders>
                  <w:noWrap w:val="0"/>
                  <w:vAlign w:val="center"/>
                </w:tcPr>
                <w:p>
                  <w:pPr>
                    <w:widowControl/>
                    <w:spacing w:line="240" w:lineRule="auto"/>
                    <w:jc w:val="center"/>
                    <w:textAlignment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bidi="ar"/>
                    </w:rPr>
                    <w:t>100</w:t>
                  </w:r>
                </w:p>
              </w:tc>
              <w:tc>
                <w:tcPr>
                  <w:tcW w:w="708" w:type="pct"/>
                  <w:vMerge w:val="restart"/>
                  <w:tcBorders>
                    <w:top w:val="single" w:color="auto" w:sz="4" w:space="0"/>
                    <w:left w:val="single" w:color="auto" w:sz="4" w:space="0"/>
                    <w:right w:val="nil"/>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62" w:type="pct"/>
                  <w:vMerge w:val="continue"/>
                  <w:tcBorders>
                    <w:left w:val="nil"/>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p>
              </w:tc>
              <w:tc>
                <w:tcPr>
                  <w:tcW w:w="16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日平均浓度</w:t>
                  </w:r>
                </w:p>
              </w:tc>
              <w:tc>
                <w:tcPr>
                  <w:tcW w:w="7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lang w:val="en-US" w:eastAsia="zh-CN"/>
                    </w:rPr>
                    <w:t>4-13</w:t>
                  </w:r>
                </w:p>
              </w:tc>
              <w:tc>
                <w:tcPr>
                  <w:tcW w:w="7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leftChars="0" w:right="0" w:rightChars="0" w:firstLine="315" w:firstLineChars="150"/>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150</w:t>
                  </w:r>
                </w:p>
              </w:tc>
              <w:tc>
                <w:tcPr>
                  <w:tcW w:w="604" w:type="pct"/>
                  <w:tcBorders>
                    <w:top w:val="nil"/>
                    <w:left w:val="nil"/>
                    <w:bottom w:val="single" w:color="auto" w:sz="8" w:space="0"/>
                    <w:right w:val="single" w:color="auto" w:sz="8"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100</w:t>
                  </w:r>
                </w:p>
              </w:tc>
              <w:tc>
                <w:tcPr>
                  <w:tcW w:w="708" w:type="pct"/>
                  <w:vMerge w:val="continue"/>
                  <w:tcBorders>
                    <w:left w:val="single" w:color="auto" w:sz="4" w:space="0"/>
                    <w:bottom w:val="single" w:color="auto" w:sz="4" w:space="0"/>
                    <w:right w:val="nil"/>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62" w:type="pct"/>
                  <w:vMerge w:val="restart"/>
                  <w:tcBorders>
                    <w:top w:val="single" w:color="auto" w:sz="4" w:space="0"/>
                    <w:left w:val="nil"/>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NO</w:t>
                  </w:r>
                  <w:r>
                    <w:rPr>
                      <w:rFonts w:hint="default" w:ascii="Times New Roman" w:hAnsi="Times New Roman" w:eastAsia="宋体" w:cs="Times New Roman"/>
                      <w:color w:val="auto"/>
                      <w:kern w:val="0"/>
                      <w:sz w:val="21"/>
                      <w:szCs w:val="21"/>
                      <w:highlight w:val="none"/>
                      <w:vertAlign w:val="subscript"/>
                    </w:rPr>
                    <w:t>2</w:t>
                  </w:r>
                </w:p>
              </w:tc>
              <w:tc>
                <w:tcPr>
                  <w:tcW w:w="168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年平均质量浓度</w:t>
                  </w:r>
                </w:p>
              </w:tc>
              <w:tc>
                <w:tcPr>
                  <w:tcW w:w="739"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28</w:t>
                  </w:r>
                </w:p>
              </w:tc>
              <w:tc>
                <w:tcPr>
                  <w:tcW w:w="70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40</w:t>
                  </w:r>
                </w:p>
              </w:tc>
              <w:tc>
                <w:tcPr>
                  <w:tcW w:w="604" w:type="pct"/>
                  <w:tcBorders>
                    <w:top w:val="nil"/>
                    <w:left w:val="nil"/>
                    <w:bottom w:val="single" w:color="auto" w:sz="8" w:space="0"/>
                    <w:right w:val="single" w:color="auto" w:sz="8" w:space="0"/>
                  </w:tcBorders>
                  <w:noWrap w:val="0"/>
                  <w:vAlign w:val="center"/>
                </w:tcPr>
                <w:p>
                  <w:pPr>
                    <w:widowControl/>
                    <w:spacing w:line="240" w:lineRule="auto"/>
                    <w:jc w:val="center"/>
                    <w:textAlignment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bidi="ar"/>
                    </w:rPr>
                    <w:t>100</w:t>
                  </w:r>
                </w:p>
              </w:tc>
              <w:tc>
                <w:tcPr>
                  <w:tcW w:w="708" w:type="pct"/>
                  <w:vMerge w:val="restart"/>
                  <w:tcBorders>
                    <w:top w:val="single" w:color="auto" w:sz="4" w:space="0"/>
                    <w:left w:val="single" w:color="auto" w:sz="4" w:space="0"/>
                    <w:right w:val="nil"/>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62" w:type="pct"/>
                  <w:vMerge w:val="continue"/>
                  <w:tcBorders>
                    <w:left w:val="nil"/>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p>
              </w:tc>
              <w:tc>
                <w:tcPr>
                  <w:tcW w:w="168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日平均浓度</w:t>
                  </w:r>
                </w:p>
              </w:tc>
              <w:tc>
                <w:tcPr>
                  <w:tcW w:w="73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lang w:val="en-US" w:eastAsia="zh-CN"/>
                    </w:rPr>
                    <w:t>8-82</w:t>
                  </w:r>
                </w:p>
              </w:tc>
              <w:tc>
                <w:tcPr>
                  <w:tcW w:w="70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rPr>
                    <w:t>80</w:t>
                  </w:r>
                </w:p>
              </w:tc>
              <w:tc>
                <w:tcPr>
                  <w:tcW w:w="604" w:type="pct"/>
                  <w:tcBorders>
                    <w:top w:val="nil"/>
                    <w:left w:val="nil"/>
                    <w:bottom w:val="single" w:color="auto" w:sz="8" w:space="0"/>
                    <w:right w:val="single" w:color="auto" w:sz="8" w:space="0"/>
                  </w:tcBorders>
                  <w:noWrap w:val="0"/>
                  <w:vAlign w:val="center"/>
                </w:tcPr>
                <w:p>
                  <w:pPr>
                    <w:keepNext w:val="0"/>
                    <w:keepLines w:val="0"/>
                    <w:suppressLineNumbers w:val="0"/>
                    <w:snapToGrid w:val="0"/>
                    <w:spacing w:before="0" w:beforeAutospacing="0" w:after="0" w:afterAutospacing="0" w:line="240" w:lineRule="auto"/>
                    <w:ind w:left="0" w:leftChars="0" w:right="0" w:rightChars="0"/>
                    <w:jc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bCs/>
                      <w:color w:val="auto"/>
                      <w:sz w:val="21"/>
                      <w:szCs w:val="21"/>
                      <w:lang w:val="en-US" w:eastAsia="zh-CN"/>
                    </w:rPr>
                    <w:t>99.5</w:t>
                  </w:r>
                </w:p>
              </w:tc>
              <w:tc>
                <w:tcPr>
                  <w:tcW w:w="708" w:type="pct"/>
                  <w:vMerge w:val="continue"/>
                  <w:tcBorders>
                    <w:left w:val="single" w:color="auto" w:sz="4" w:space="0"/>
                    <w:bottom w:val="single" w:color="auto" w:sz="4" w:space="0"/>
                    <w:right w:val="nil"/>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62" w:type="pct"/>
                  <w:tcBorders>
                    <w:top w:val="single" w:color="auto" w:sz="4" w:space="0"/>
                    <w:left w:val="nil"/>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CO</w:t>
                  </w:r>
                </w:p>
              </w:tc>
              <w:tc>
                <w:tcPr>
                  <w:tcW w:w="168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日均值的第95百分位数</w:t>
                  </w:r>
                </w:p>
              </w:tc>
              <w:tc>
                <w:tcPr>
                  <w:tcW w:w="739"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1000</w:t>
                  </w:r>
                </w:p>
              </w:tc>
              <w:tc>
                <w:tcPr>
                  <w:tcW w:w="703"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4000</w:t>
                  </w:r>
                </w:p>
              </w:tc>
              <w:tc>
                <w:tcPr>
                  <w:tcW w:w="604" w:type="pct"/>
                  <w:tcBorders>
                    <w:top w:val="nil"/>
                    <w:left w:val="nil"/>
                    <w:bottom w:val="single" w:color="auto" w:sz="8" w:space="0"/>
                    <w:right w:val="single" w:color="auto" w:sz="8" w:space="0"/>
                  </w:tcBorders>
                  <w:noWrap w:val="0"/>
                  <w:vAlign w:val="center"/>
                </w:tcPr>
                <w:p>
                  <w:pPr>
                    <w:widowControl/>
                    <w:spacing w:line="240" w:lineRule="auto"/>
                    <w:jc w:val="center"/>
                    <w:textAlignment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bidi="ar"/>
                    </w:rPr>
                    <w:t>100</w:t>
                  </w:r>
                </w:p>
              </w:tc>
              <w:tc>
                <w:tcPr>
                  <w:tcW w:w="708" w:type="pct"/>
                  <w:tcBorders>
                    <w:top w:val="single" w:color="auto" w:sz="4" w:space="0"/>
                    <w:left w:val="single" w:color="auto" w:sz="4" w:space="0"/>
                    <w:bottom w:val="single" w:color="auto" w:sz="4" w:space="0"/>
                    <w:right w:val="nil"/>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62" w:type="pct"/>
                  <w:tcBorders>
                    <w:top w:val="single" w:color="auto" w:sz="4" w:space="0"/>
                    <w:left w:val="nil"/>
                    <w:bottom w:val="single" w:color="auto" w:sz="12"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O</w:t>
                  </w:r>
                  <w:r>
                    <w:rPr>
                      <w:rFonts w:hint="default" w:ascii="Times New Roman" w:hAnsi="Times New Roman" w:eastAsia="宋体" w:cs="Times New Roman"/>
                      <w:color w:val="auto"/>
                      <w:kern w:val="0"/>
                      <w:sz w:val="21"/>
                      <w:szCs w:val="21"/>
                      <w:highlight w:val="none"/>
                      <w:vertAlign w:val="subscript"/>
                    </w:rPr>
                    <w:t>3</w:t>
                  </w:r>
                </w:p>
              </w:tc>
              <w:tc>
                <w:tcPr>
                  <w:tcW w:w="1683" w:type="pct"/>
                  <w:tcBorders>
                    <w:top w:val="single" w:color="auto" w:sz="4" w:space="0"/>
                    <w:left w:val="single" w:color="auto" w:sz="4" w:space="0"/>
                    <w:bottom w:val="single" w:color="auto" w:sz="12"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日最大8小时滑动平均值的第90百分位数</w:t>
                  </w:r>
                </w:p>
              </w:tc>
              <w:tc>
                <w:tcPr>
                  <w:tcW w:w="739" w:type="pct"/>
                  <w:tcBorders>
                    <w:top w:val="single" w:color="auto" w:sz="4" w:space="0"/>
                    <w:left w:val="single" w:color="auto" w:sz="4" w:space="0"/>
                    <w:bottom w:val="single" w:color="auto" w:sz="12"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175</w:t>
                  </w:r>
                </w:p>
              </w:tc>
              <w:tc>
                <w:tcPr>
                  <w:tcW w:w="703" w:type="pct"/>
                  <w:tcBorders>
                    <w:top w:val="single" w:color="auto" w:sz="4" w:space="0"/>
                    <w:left w:val="single" w:color="auto" w:sz="4" w:space="0"/>
                    <w:bottom w:val="single" w:color="auto" w:sz="12" w:space="0"/>
                    <w:right w:val="single" w:color="auto" w:sz="4" w:space="0"/>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160</w:t>
                  </w:r>
                </w:p>
              </w:tc>
              <w:tc>
                <w:tcPr>
                  <w:tcW w:w="604" w:type="pct"/>
                  <w:tcBorders>
                    <w:top w:val="nil"/>
                    <w:left w:val="nil"/>
                    <w:bottom w:val="single" w:color="auto" w:sz="12" w:space="0"/>
                    <w:right w:val="single" w:color="auto" w:sz="8" w:space="0"/>
                  </w:tcBorders>
                  <w:noWrap w:val="0"/>
                  <w:vAlign w:val="center"/>
                </w:tcPr>
                <w:p>
                  <w:pPr>
                    <w:widowControl/>
                    <w:spacing w:line="240" w:lineRule="auto"/>
                    <w:jc w:val="center"/>
                    <w:textAlignment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bidi="ar"/>
                    </w:rPr>
                    <w:t>82.5</w:t>
                  </w:r>
                </w:p>
              </w:tc>
              <w:tc>
                <w:tcPr>
                  <w:tcW w:w="708" w:type="pct"/>
                  <w:tcBorders>
                    <w:top w:val="single" w:color="auto" w:sz="4" w:space="0"/>
                    <w:left w:val="single" w:color="auto" w:sz="4" w:space="0"/>
                    <w:bottom w:val="single" w:color="auto" w:sz="12" w:space="0"/>
                    <w:right w:val="nil"/>
                  </w:tcBorders>
                  <w:noWrap w:val="0"/>
                  <w:vAlign w:val="center"/>
                </w:tcPr>
                <w:p>
                  <w:pPr>
                    <w:adjustRightInd w:val="0"/>
                    <w:snapToGrid w:val="0"/>
                    <w:spacing w:line="240" w:lineRule="auto"/>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不达标</w:t>
                  </w:r>
                </w:p>
              </w:tc>
            </w:tr>
          </w:tbl>
          <w:p>
            <w:pPr>
              <w:keepNext w:val="0"/>
              <w:keepLines w:val="0"/>
              <w:widowControl/>
              <w:suppressLineNumbers w:val="0"/>
              <w:spacing w:before="120" w:beforeLines="50" w:beforeAutospacing="0" w:after="0" w:afterAutospacing="0" w:line="360" w:lineRule="auto"/>
              <w:ind w:right="0" w:firstLine="420" w:firstLineChars="200"/>
              <w:jc w:val="both"/>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rPr>
              <w:t>由上表可知，202</w:t>
            </w:r>
            <w:r>
              <w:rPr>
                <w:rFonts w:hint="eastAsia" w:ascii="Times New Roman" w:hAnsi="Times New Roman" w:eastAsia="宋体" w:cs="Times New Roman"/>
                <w:bCs/>
                <w:color w:val="auto"/>
                <w:sz w:val="21"/>
                <w:szCs w:val="21"/>
                <w:lang w:val="en-US" w:eastAsia="zh-CN"/>
              </w:rPr>
              <w:t>2</w:t>
            </w:r>
            <w:r>
              <w:rPr>
                <w:rFonts w:hint="default" w:ascii="Times New Roman" w:hAnsi="Times New Roman" w:eastAsia="宋体" w:cs="Times New Roman"/>
                <w:bCs/>
                <w:color w:val="auto"/>
                <w:sz w:val="21"/>
                <w:szCs w:val="21"/>
              </w:rPr>
              <w:t>年常州市环境空气中SO</w:t>
            </w:r>
            <w:r>
              <w:rPr>
                <w:rFonts w:hint="default" w:ascii="Times New Roman" w:hAnsi="Times New Roman" w:eastAsia="宋体" w:cs="Times New Roman"/>
                <w:bCs/>
                <w:color w:val="auto"/>
                <w:sz w:val="21"/>
                <w:szCs w:val="21"/>
                <w:vertAlign w:val="subscript"/>
              </w:rPr>
              <w:t>2</w:t>
            </w:r>
            <w:r>
              <w:rPr>
                <w:rFonts w:hint="default" w:ascii="Times New Roman" w:hAnsi="Times New Roman" w:eastAsia="宋体" w:cs="Times New Roman"/>
                <w:bCs/>
                <w:color w:val="auto"/>
                <w:sz w:val="21"/>
                <w:szCs w:val="21"/>
              </w:rPr>
              <w:t>、NO</w:t>
            </w:r>
            <w:r>
              <w:rPr>
                <w:rFonts w:hint="default" w:ascii="Times New Roman" w:hAnsi="Times New Roman" w:eastAsia="宋体" w:cs="Times New Roman"/>
                <w:bCs/>
                <w:color w:val="auto"/>
                <w:sz w:val="21"/>
                <w:szCs w:val="21"/>
                <w:vertAlign w:val="subscript"/>
              </w:rPr>
              <w:t>2</w:t>
            </w:r>
            <w:r>
              <w:rPr>
                <w:rFonts w:hint="default" w:ascii="Times New Roman" w:hAnsi="Times New Roman" w:eastAsia="宋体" w:cs="Times New Roman"/>
                <w:bCs/>
                <w:color w:val="auto"/>
                <w:sz w:val="21"/>
                <w:szCs w:val="21"/>
              </w:rPr>
              <w:t>、PM</w:t>
            </w:r>
            <w:r>
              <w:rPr>
                <w:rFonts w:hint="default" w:ascii="Times New Roman" w:hAnsi="Times New Roman" w:eastAsia="宋体" w:cs="Times New Roman"/>
                <w:bCs/>
                <w:color w:val="auto"/>
                <w:sz w:val="21"/>
                <w:szCs w:val="21"/>
                <w:vertAlign w:val="subscript"/>
              </w:rPr>
              <w:t>10</w:t>
            </w:r>
            <w:r>
              <w:rPr>
                <w:rFonts w:hint="default" w:ascii="Times New Roman" w:hAnsi="Times New Roman" w:eastAsia="宋体" w:cs="Times New Roman"/>
                <w:bCs/>
                <w:color w:val="auto"/>
                <w:sz w:val="21"/>
                <w:szCs w:val="21"/>
              </w:rPr>
              <w:t>和一氧化碳24小时平均值均达到《环境空气质量标准》(GB3095-2012)二级标准；PM</w:t>
            </w:r>
            <w:r>
              <w:rPr>
                <w:rFonts w:hint="default" w:ascii="Times New Roman" w:hAnsi="Times New Roman" w:eastAsia="宋体" w:cs="Times New Roman"/>
                <w:bCs/>
                <w:color w:val="auto"/>
                <w:sz w:val="21"/>
                <w:szCs w:val="21"/>
                <w:vertAlign w:val="subscript"/>
              </w:rPr>
              <w:t>2.5</w:t>
            </w:r>
            <w:r>
              <w:rPr>
                <w:rFonts w:hint="eastAsia" w:eastAsia="宋体" w:cs="Times New Roman"/>
                <w:bCs/>
                <w:color w:val="auto"/>
                <w:sz w:val="21"/>
                <w:szCs w:val="21"/>
                <w:vertAlign w:val="baseline"/>
                <w:lang w:val="en-US" w:eastAsia="zh-CN"/>
              </w:rPr>
              <w:t>日均浓度值</w:t>
            </w:r>
            <w:r>
              <w:rPr>
                <w:rFonts w:hint="default" w:ascii="Times New Roman" w:hAnsi="Times New Roman" w:eastAsia="宋体" w:cs="Times New Roman"/>
                <w:bCs/>
                <w:color w:val="auto"/>
                <w:sz w:val="21"/>
                <w:szCs w:val="21"/>
              </w:rPr>
              <w:t>和臭氧日最大8小时滑动均值均超过《环境空气质量标准》(GB3095-2012)二级标准，因此判定为非达标区</w:t>
            </w:r>
            <w:r>
              <w:rPr>
                <w:rFonts w:hint="default" w:ascii="Times New Roman" w:hAnsi="Times New Roman" w:eastAsia="宋体" w:cs="Times New Roman"/>
                <w:color w:val="auto"/>
                <w:sz w:val="21"/>
                <w:szCs w:val="21"/>
              </w:rPr>
              <w:t>。</w:t>
            </w:r>
          </w:p>
          <w:p>
            <w:pPr>
              <w:spacing w:line="360" w:lineRule="auto"/>
              <w:ind w:firstLine="422" w:firstLineChars="200"/>
              <w:jc w:val="left"/>
              <w:rPr>
                <w:b/>
                <w:color w:val="auto"/>
                <w:kern w:val="0"/>
                <w:sz w:val="21"/>
                <w:szCs w:val="21"/>
                <w:highlight w:val="none"/>
              </w:rPr>
            </w:pPr>
            <w:r>
              <w:rPr>
                <w:rFonts w:hint="eastAsia"/>
                <w:b/>
                <w:color w:val="auto"/>
                <w:kern w:val="0"/>
                <w:sz w:val="21"/>
                <w:szCs w:val="21"/>
                <w:highlight w:val="none"/>
              </w:rPr>
              <w:t>（2）特征</w:t>
            </w:r>
            <w:r>
              <w:rPr>
                <w:b/>
                <w:color w:val="auto"/>
                <w:kern w:val="0"/>
                <w:sz w:val="21"/>
                <w:szCs w:val="21"/>
                <w:highlight w:val="none"/>
              </w:rPr>
              <w:t>污染物环境质量现状</w:t>
            </w:r>
          </w:p>
          <w:p>
            <w:pPr>
              <w:spacing w:line="360" w:lineRule="auto"/>
              <w:ind w:firstLine="438" w:firstLineChars="209"/>
              <w:rPr>
                <w:color w:val="auto"/>
                <w:sz w:val="21"/>
                <w:szCs w:val="21"/>
                <w:highlight w:val="none"/>
              </w:rPr>
            </w:pPr>
            <w:r>
              <w:rPr>
                <w:color w:val="auto"/>
                <w:sz w:val="21"/>
                <w:szCs w:val="21"/>
                <w:highlight w:val="none"/>
              </w:rPr>
              <w:t>项目</w:t>
            </w:r>
            <w:r>
              <w:rPr>
                <w:rFonts w:hint="eastAsia"/>
                <w:color w:val="auto"/>
                <w:sz w:val="21"/>
                <w:szCs w:val="21"/>
                <w:highlight w:val="none"/>
              </w:rPr>
              <w:t>大气</w:t>
            </w:r>
            <w:r>
              <w:rPr>
                <w:color w:val="auto"/>
                <w:sz w:val="21"/>
                <w:szCs w:val="21"/>
                <w:highlight w:val="none"/>
              </w:rPr>
              <w:t>污染因子</w:t>
            </w:r>
            <w:r>
              <w:rPr>
                <w:rFonts w:hint="eastAsia"/>
                <w:color w:val="auto"/>
                <w:sz w:val="21"/>
                <w:szCs w:val="21"/>
                <w:highlight w:val="none"/>
              </w:rPr>
              <w:t>主要为非甲烷总烃，根据《环境影响评价技术导则 大气环境》（HJ2.2-2018）环境空气质量现状调查与评价要求，本次调查评价范围内非甲烷总烃的环境质量现状。</w:t>
            </w:r>
          </w:p>
          <w:p>
            <w:pPr>
              <w:spacing w:line="360" w:lineRule="auto"/>
              <w:ind w:firstLine="438" w:firstLineChars="209"/>
              <w:rPr>
                <w:color w:val="auto"/>
                <w:sz w:val="21"/>
                <w:szCs w:val="21"/>
                <w:highlight w:val="none"/>
              </w:rPr>
            </w:pPr>
            <w:r>
              <w:rPr>
                <w:rFonts w:hint="eastAsia"/>
                <w:color w:val="auto"/>
                <w:sz w:val="21"/>
                <w:szCs w:val="21"/>
                <w:highlight w:val="none"/>
              </w:rPr>
              <w:t>非甲烷总烃</w:t>
            </w:r>
            <w:r>
              <w:rPr>
                <w:color w:val="auto"/>
                <w:sz w:val="21"/>
                <w:szCs w:val="21"/>
                <w:highlight w:val="none"/>
              </w:rPr>
              <w:t>引用《</w:t>
            </w:r>
            <w:r>
              <w:rPr>
                <w:rFonts w:hint="eastAsia"/>
                <w:color w:val="auto"/>
                <w:sz w:val="21"/>
                <w:szCs w:val="21"/>
                <w:highlight w:val="none"/>
              </w:rPr>
              <w:t>常州卓益精齿医疗器材有限公司</w:t>
            </w:r>
            <w:r>
              <w:rPr>
                <w:color w:val="auto"/>
                <w:sz w:val="21"/>
                <w:szCs w:val="21"/>
                <w:highlight w:val="none"/>
              </w:rPr>
              <w:t>》中</w:t>
            </w:r>
            <w:r>
              <w:rPr>
                <w:rFonts w:hint="eastAsia"/>
                <w:color w:val="auto"/>
                <w:sz w:val="21"/>
                <w:szCs w:val="21"/>
                <w:highlight w:val="none"/>
              </w:rPr>
              <w:t>环境空气</w:t>
            </w:r>
            <w:r>
              <w:rPr>
                <w:color w:val="auto"/>
                <w:sz w:val="21"/>
                <w:szCs w:val="21"/>
                <w:highlight w:val="none"/>
              </w:rPr>
              <w:t>G</w:t>
            </w:r>
            <w:r>
              <w:rPr>
                <w:rFonts w:hint="eastAsia"/>
                <w:color w:val="auto"/>
                <w:sz w:val="21"/>
                <w:szCs w:val="21"/>
                <w:highlight w:val="none"/>
              </w:rPr>
              <w:t>1</w:t>
            </w:r>
            <w:r>
              <w:rPr>
                <w:color w:val="auto"/>
                <w:sz w:val="21"/>
                <w:szCs w:val="21"/>
                <w:highlight w:val="none"/>
              </w:rPr>
              <w:t>半岛珑庭处非甲烷总烃的历史数据，检测报告编号</w:t>
            </w:r>
            <w:r>
              <w:rPr>
                <w:rFonts w:hint="eastAsia"/>
                <w:color w:val="auto"/>
                <w:sz w:val="21"/>
                <w:szCs w:val="21"/>
                <w:highlight w:val="none"/>
              </w:rPr>
              <w:t>JCH20210289</w:t>
            </w:r>
            <w:r>
              <w:rPr>
                <w:color w:val="auto"/>
                <w:sz w:val="21"/>
                <w:szCs w:val="21"/>
                <w:highlight w:val="none"/>
              </w:rPr>
              <w:t>，检测时间为</w:t>
            </w:r>
            <w:r>
              <w:rPr>
                <w:rFonts w:hint="eastAsia"/>
                <w:color w:val="auto"/>
                <w:sz w:val="21"/>
                <w:szCs w:val="21"/>
                <w:highlight w:val="none"/>
              </w:rPr>
              <w:t>2021年7月9日</w:t>
            </w:r>
            <w:r>
              <w:rPr>
                <w:color w:val="auto"/>
                <w:sz w:val="21"/>
                <w:szCs w:val="21"/>
                <w:highlight w:val="none"/>
              </w:rPr>
              <w:t>-</w:t>
            </w:r>
            <w:r>
              <w:rPr>
                <w:rFonts w:hint="eastAsia"/>
                <w:color w:val="auto"/>
                <w:sz w:val="21"/>
                <w:szCs w:val="21"/>
                <w:highlight w:val="none"/>
              </w:rPr>
              <w:t>2021年7月11日，</w:t>
            </w:r>
            <w:r>
              <w:rPr>
                <w:color w:val="auto"/>
                <w:sz w:val="21"/>
                <w:szCs w:val="21"/>
                <w:highlight w:val="none"/>
              </w:rPr>
              <w:t>监测</w:t>
            </w:r>
            <w:r>
              <w:rPr>
                <w:rFonts w:hint="eastAsia"/>
                <w:color w:val="auto"/>
                <w:sz w:val="21"/>
                <w:szCs w:val="21"/>
                <w:highlight w:val="none"/>
              </w:rPr>
              <w:t>点位及监测</w:t>
            </w:r>
            <w:r>
              <w:rPr>
                <w:color w:val="auto"/>
                <w:sz w:val="21"/>
                <w:szCs w:val="21"/>
                <w:highlight w:val="none"/>
              </w:rPr>
              <w:t>数据</w:t>
            </w:r>
            <w:r>
              <w:rPr>
                <w:rFonts w:hint="eastAsia"/>
                <w:color w:val="auto"/>
                <w:sz w:val="21"/>
                <w:szCs w:val="21"/>
                <w:highlight w:val="none"/>
              </w:rPr>
              <w:t>见</w:t>
            </w:r>
            <w:r>
              <w:rPr>
                <w:color w:val="auto"/>
                <w:sz w:val="21"/>
                <w:szCs w:val="21"/>
                <w:highlight w:val="none"/>
              </w:rPr>
              <w:t>表3-</w:t>
            </w:r>
            <w:r>
              <w:rPr>
                <w:rFonts w:hint="eastAsia"/>
                <w:color w:val="auto"/>
                <w:sz w:val="21"/>
                <w:szCs w:val="21"/>
                <w:highlight w:val="none"/>
              </w:rPr>
              <w:t>2及表3-3</w:t>
            </w:r>
            <w:r>
              <w:rPr>
                <w:color w:val="auto"/>
                <w:sz w:val="21"/>
                <w:szCs w:val="21"/>
                <w:highlight w:val="none"/>
              </w:rPr>
              <w:t>。</w:t>
            </w:r>
          </w:p>
          <w:p>
            <w:pPr>
              <w:spacing w:line="360" w:lineRule="auto"/>
              <w:ind w:firstLine="441" w:firstLineChars="209"/>
              <w:rPr>
                <w:color w:val="auto"/>
                <w:sz w:val="21"/>
                <w:szCs w:val="21"/>
                <w:highlight w:val="none"/>
              </w:rPr>
            </w:pPr>
            <w:r>
              <w:rPr>
                <w:b/>
                <w:color w:val="auto"/>
                <w:sz w:val="21"/>
                <w:szCs w:val="21"/>
                <w:highlight w:val="none"/>
              </w:rPr>
              <w:t>监测数据引用的有效性分析：</w:t>
            </w:r>
          </w:p>
          <w:p>
            <w:pPr>
              <w:pStyle w:val="7"/>
              <w:keepNext/>
              <w:spacing w:line="360" w:lineRule="auto"/>
              <w:ind w:firstLine="420" w:firstLineChars="200"/>
              <w:jc w:val="both"/>
              <w:rPr>
                <w:rFonts w:ascii="Times New Roman" w:hAnsi="Times New Roman"/>
                <w:b w:val="0"/>
                <w:bCs w:val="0"/>
                <w:color w:val="auto"/>
                <w:kern w:val="2"/>
                <w:sz w:val="21"/>
                <w:szCs w:val="21"/>
                <w:highlight w:val="none"/>
              </w:rPr>
            </w:pPr>
            <w:r>
              <w:rPr>
                <w:rFonts w:ascii="Times New Roman" w:hAnsi="Times New Roman"/>
                <w:b w:val="0"/>
                <w:bCs w:val="0"/>
                <w:color w:val="auto"/>
                <w:kern w:val="2"/>
                <w:sz w:val="21"/>
                <w:szCs w:val="21"/>
                <w:highlight w:val="none"/>
              </w:rPr>
              <w:t>本项目引用因子为非甲烷总烃，监测时间为20</w:t>
            </w:r>
            <w:r>
              <w:rPr>
                <w:rFonts w:hint="eastAsia" w:ascii="Times New Roman" w:hAnsi="Times New Roman"/>
                <w:b w:val="0"/>
                <w:bCs w:val="0"/>
                <w:color w:val="auto"/>
                <w:kern w:val="2"/>
                <w:sz w:val="21"/>
                <w:szCs w:val="21"/>
                <w:highlight w:val="none"/>
              </w:rPr>
              <w:t>21</w:t>
            </w:r>
            <w:r>
              <w:rPr>
                <w:rFonts w:ascii="Times New Roman" w:hAnsi="Times New Roman"/>
                <w:b w:val="0"/>
                <w:bCs w:val="0"/>
                <w:color w:val="auto"/>
                <w:kern w:val="2"/>
                <w:sz w:val="21"/>
                <w:szCs w:val="21"/>
                <w:highlight w:val="none"/>
              </w:rPr>
              <w:t>年</w:t>
            </w:r>
            <w:r>
              <w:rPr>
                <w:rFonts w:hint="eastAsia" w:ascii="Times New Roman" w:hAnsi="Times New Roman"/>
                <w:b w:val="0"/>
                <w:bCs w:val="0"/>
                <w:color w:val="auto"/>
                <w:kern w:val="2"/>
                <w:sz w:val="21"/>
                <w:szCs w:val="21"/>
                <w:highlight w:val="none"/>
              </w:rPr>
              <w:t>7</w:t>
            </w:r>
            <w:r>
              <w:rPr>
                <w:rFonts w:ascii="Times New Roman" w:hAnsi="Times New Roman"/>
                <w:b w:val="0"/>
                <w:bCs w:val="0"/>
                <w:color w:val="auto"/>
                <w:kern w:val="2"/>
                <w:sz w:val="21"/>
                <w:szCs w:val="21"/>
                <w:highlight w:val="none"/>
              </w:rPr>
              <w:t>月，监测数据距今尚在3年有效期内，引用点位位于本项目</w:t>
            </w:r>
            <w:r>
              <w:rPr>
                <w:rFonts w:hint="eastAsia" w:ascii="Times New Roman" w:hAnsi="Times New Roman"/>
                <w:b w:val="0"/>
                <w:bCs w:val="0"/>
                <w:color w:val="auto"/>
                <w:kern w:val="2"/>
                <w:sz w:val="21"/>
                <w:szCs w:val="21"/>
                <w:highlight w:val="none"/>
              </w:rPr>
              <w:t>西南</w:t>
            </w:r>
            <w:r>
              <w:rPr>
                <w:rFonts w:ascii="Times New Roman" w:hAnsi="Times New Roman"/>
                <w:b w:val="0"/>
                <w:bCs w:val="0"/>
                <w:color w:val="auto"/>
                <w:kern w:val="2"/>
                <w:sz w:val="21"/>
                <w:szCs w:val="21"/>
                <w:highlight w:val="none"/>
              </w:rPr>
              <w:t>侧</w:t>
            </w:r>
            <w:r>
              <w:rPr>
                <w:rFonts w:hint="eastAsia" w:ascii="Times New Roman" w:hAnsi="Times New Roman"/>
                <w:b w:val="0"/>
                <w:bCs w:val="0"/>
                <w:color w:val="auto"/>
                <w:kern w:val="2"/>
                <w:sz w:val="21"/>
                <w:szCs w:val="21"/>
                <w:highlight w:val="none"/>
              </w:rPr>
              <w:t>1350</w:t>
            </w:r>
            <w:r>
              <w:rPr>
                <w:rFonts w:ascii="Times New Roman" w:hAnsi="Times New Roman"/>
                <w:b w:val="0"/>
                <w:bCs w:val="0"/>
                <w:color w:val="auto"/>
                <w:kern w:val="2"/>
                <w:sz w:val="21"/>
                <w:szCs w:val="21"/>
                <w:highlight w:val="none"/>
              </w:rPr>
              <w:t>m，在评价范围内的侧风向，监测期间至今，区域内未新增明显的大气污染源，因此本次引用的大气环境质量数据符合引用原则。</w:t>
            </w:r>
          </w:p>
          <w:p>
            <w:pPr>
              <w:pStyle w:val="7"/>
              <w:keepNext/>
              <w:jc w:val="center"/>
              <w:rPr>
                <w:rFonts w:ascii="Times New Roman" w:hAnsi="Times New Roman"/>
                <w:color w:val="auto"/>
                <w:sz w:val="21"/>
                <w:szCs w:val="21"/>
                <w:highlight w:val="none"/>
              </w:rPr>
            </w:pPr>
            <w:r>
              <w:rPr>
                <w:rFonts w:ascii="Times New Roman" w:hAnsi="Times New Roman"/>
                <w:color w:val="auto"/>
                <w:sz w:val="21"/>
                <w:szCs w:val="21"/>
                <w:highlight w:val="none"/>
              </w:rPr>
              <w:t>表3-2</w:t>
            </w:r>
            <w:r>
              <w:rPr>
                <w:rFonts w:hint="eastAsia" w:ascii="Times New Roman" w:hAnsi="Times New Roman"/>
                <w:color w:val="auto"/>
                <w:sz w:val="21"/>
                <w:szCs w:val="21"/>
                <w:highlight w:val="none"/>
                <w:lang w:val="en-US" w:eastAsia="zh-CN"/>
              </w:rPr>
              <w:t xml:space="preserve"> </w:t>
            </w:r>
            <w:r>
              <w:rPr>
                <w:rFonts w:hint="eastAsia" w:ascii="Times New Roman" w:hAnsi="Times New Roman"/>
                <w:color w:val="auto"/>
                <w:sz w:val="21"/>
                <w:szCs w:val="21"/>
                <w:highlight w:val="none"/>
              </w:rPr>
              <w:t>特征</w:t>
            </w:r>
            <w:r>
              <w:rPr>
                <w:rFonts w:ascii="Times New Roman" w:hAnsi="Times New Roman"/>
                <w:color w:val="auto"/>
                <w:sz w:val="21"/>
                <w:szCs w:val="21"/>
                <w:highlight w:val="none"/>
              </w:rPr>
              <w:t>污染物补充监测点位基本信息</w:t>
            </w:r>
          </w:p>
          <w:tbl>
            <w:tblPr>
              <w:tblStyle w:val="25"/>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84"/>
              <w:gridCol w:w="1099"/>
              <w:gridCol w:w="1118"/>
              <w:gridCol w:w="838"/>
              <w:gridCol w:w="2186"/>
              <w:gridCol w:w="793"/>
              <w:gridCol w:w="105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54" w:type="pct"/>
                  <w:vMerge w:val="restart"/>
                  <w:vAlign w:val="center"/>
                </w:tcPr>
                <w:p>
                  <w:pPr>
                    <w:jc w:val="center"/>
                    <w:rPr>
                      <w:b/>
                      <w:color w:val="auto"/>
                      <w:sz w:val="21"/>
                      <w:szCs w:val="21"/>
                      <w:highlight w:val="none"/>
                    </w:rPr>
                  </w:pPr>
                  <w:r>
                    <w:rPr>
                      <w:b/>
                      <w:color w:val="auto"/>
                      <w:sz w:val="21"/>
                      <w:szCs w:val="21"/>
                      <w:highlight w:val="none"/>
                    </w:rPr>
                    <w:t>监测点名称</w:t>
                  </w:r>
                </w:p>
              </w:tc>
              <w:tc>
                <w:tcPr>
                  <w:tcW w:w="1390" w:type="pct"/>
                  <w:gridSpan w:val="2"/>
                  <w:vAlign w:val="center"/>
                </w:tcPr>
                <w:p>
                  <w:pPr>
                    <w:jc w:val="center"/>
                    <w:rPr>
                      <w:b/>
                      <w:color w:val="auto"/>
                      <w:sz w:val="21"/>
                      <w:szCs w:val="21"/>
                      <w:highlight w:val="none"/>
                    </w:rPr>
                  </w:pPr>
                  <w:r>
                    <w:rPr>
                      <w:b/>
                      <w:color w:val="auto"/>
                      <w:sz w:val="21"/>
                      <w:szCs w:val="21"/>
                      <w:highlight w:val="none"/>
                    </w:rPr>
                    <w:t>监测点坐标</w:t>
                  </w:r>
                </w:p>
              </w:tc>
              <w:tc>
                <w:tcPr>
                  <w:tcW w:w="525" w:type="pct"/>
                  <w:vMerge w:val="restart"/>
                  <w:vAlign w:val="center"/>
                </w:tcPr>
                <w:p>
                  <w:pPr>
                    <w:jc w:val="center"/>
                    <w:rPr>
                      <w:b/>
                      <w:color w:val="auto"/>
                      <w:sz w:val="21"/>
                      <w:szCs w:val="21"/>
                      <w:highlight w:val="none"/>
                    </w:rPr>
                  </w:pPr>
                  <w:r>
                    <w:rPr>
                      <w:b/>
                      <w:color w:val="auto"/>
                      <w:sz w:val="21"/>
                      <w:szCs w:val="21"/>
                      <w:highlight w:val="none"/>
                    </w:rPr>
                    <w:t>监测因子</w:t>
                  </w:r>
                </w:p>
              </w:tc>
              <w:tc>
                <w:tcPr>
                  <w:tcW w:w="1370" w:type="pct"/>
                  <w:vMerge w:val="restart"/>
                  <w:vAlign w:val="center"/>
                </w:tcPr>
                <w:p>
                  <w:pPr>
                    <w:jc w:val="center"/>
                    <w:rPr>
                      <w:b/>
                      <w:color w:val="auto"/>
                      <w:sz w:val="21"/>
                      <w:szCs w:val="21"/>
                      <w:highlight w:val="none"/>
                    </w:rPr>
                  </w:pPr>
                  <w:r>
                    <w:rPr>
                      <w:b/>
                      <w:color w:val="auto"/>
                      <w:sz w:val="21"/>
                      <w:szCs w:val="21"/>
                      <w:highlight w:val="none"/>
                    </w:rPr>
                    <w:t>监测时段</w:t>
                  </w:r>
                </w:p>
              </w:tc>
              <w:tc>
                <w:tcPr>
                  <w:tcW w:w="497" w:type="pct"/>
                  <w:vMerge w:val="restart"/>
                  <w:vAlign w:val="center"/>
                </w:tcPr>
                <w:p>
                  <w:pPr>
                    <w:jc w:val="center"/>
                    <w:rPr>
                      <w:b/>
                      <w:color w:val="auto"/>
                      <w:sz w:val="21"/>
                      <w:szCs w:val="21"/>
                      <w:highlight w:val="none"/>
                    </w:rPr>
                  </w:pPr>
                  <w:r>
                    <w:rPr>
                      <w:b/>
                      <w:color w:val="auto"/>
                      <w:sz w:val="21"/>
                      <w:szCs w:val="21"/>
                      <w:highlight w:val="none"/>
                    </w:rPr>
                    <w:t>相对厂址方位</w:t>
                  </w:r>
                </w:p>
              </w:tc>
              <w:tc>
                <w:tcPr>
                  <w:tcW w:w="662" w:type="pct"/>
                  <w:vMerge w:val="restart"/>
                  <w:vAlign w:val="center"/>
                </w:tcPr>
                <w:p>
                  <w:pPr>
                    <w:jc w:val="center"/>
                    <w:rPr>
                      <w:b/>
                      <w:color w:val="auto"/>
                      <w:sz w:val="21"/>
                      <w:szCs w:val="21"/>
                      <w:highlight w:val="none"/>
                    </w:rPr>
                  </w:pPr>
                  <w:r>
                    <w:rPr>
                      <w:b/>
                      <w:color w:val="auto"/>
                      <w:sz w:val="21"/>
                      <w:szCs w:val="21"/>
                      <w:highlight w:val="none"/>
                    </w:rPr>
                    <w:t>相对厂界距离（m）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54" w:type="pct"/>
                  <w:vMerge w:val="continue"/>
                  <w:vAlign w:val="center"/>
                </w:tcPr>
                <w:p>
                  <w:pPr>
                    <w:jc w:val="center"/>
                    <w:rPr>
                      <w:color w:val="auto"/>
                      <w:sz w:val="21"/>
                      <w:szCs w:val="21"/>
                      <w:highlight w:val="none"/>
                    </w:rPr>
                  </w:pPr>
                </w:p>
              </w:tc>
              <w:tc>
                <w:tcPr>
                  <w:tcW w:w="689" w:type="pct"/>
                  <w:vAlign w:val="center"/>
                </w:tcPr>
                <w:p>
                  <w:pPr>
                    <w:jc w:val="center"/>
                    <w:rPr>
                      <w:color w:val="auto"/>
                      <w:sz w:val="21"/>
                      <w:szCs w:val="21"/>
                      <w:highlight w:val="none"/>
                    </w:rPr>
                  </w:pPr>
                  <w:r>
                    <w:rPr>
                      <w:color w:val="auto"/>
                      <w:sz w:val="21"/>
                      <w:szCs w:val="21"/>
                      <w:highlight w:val="none"/>
                    </w:rPr>
                    <w:t>X</w:t>
                  </w:r>
                </w:p>
              </w:tc>
              <w:tc>
                <w:tcPr>
                  <w:tcW w:w="700" w:type="pct"/>
                  <w:vAlign w:val="center"/>
                </w:tcPr>
                <w:p>
                  <w:pPr>
                    <w:jc w:val="center"/>
                    <w:rPr>
                      <w:color w:val="auto"/>
                      <w:sz w:val="21"/>
                      <w:szCs w:val="21"/>
                      <w:highlight w:val="none"/>
                    </w:rPr>
                  </w:pPr>
                  <w:r>
                    <w:rPr>
                      <w:color w:val="auto"/>
                      <w:sz w:val="21"/>
                      <w:szCs w:val="21"/>
                      <w:highlight w:val="none"/>
                    </w:rPr>
                    <w:t>Y</w:t>
                  </w:r>
                </w:p>
              </w:tc>
              <w:tc>
                <w:tcPr>
                  <w:tcW w:w="525" w:type="pct"/>
                  <w:vMerge w:val="continue"/>
                  <w:vAlign w:val="center"/>
                </w:tcPr>
                <w:p>
                  <w:pPr>
                    <w:jc w:val="center"/>
                    <w:rPr>
                      <w:color w:val="auto"/>
                      <w:sz w:val="21"/>
                      <w:szCs w:val="21"/>
                      <w:highlight w:val="none"/>
                    </w:rPr>
                  </w:pPr>
                </w:p>
              </w:tc>
              <w:tc>
                <w:tcPr>
                  <w:tcW w:w="1370" w:type="pct"/>
                  <w:vMerge w:val="continue"/>
                  <w:vAlign w:val="center"/>
                </w:tcPr>
                <w:p>
                  <w:pPr>
                    <w:jc w:val="center"/>
                    <w:rPr>
                      <w:color w:val="auto"/>
                      <w:sz w:val="21"/>
                      <w:szCs w:val="21"/>
                      <w:highlight w:val="none"/>
                    </w:rPr>
                  </w:pPr>
                </w:p>
              </w:tc>
              <w:tc>
                <w:tcPr>
                  <w:tcW w:w="497" w:type="pct"/>
                  <w:vMerge w:val="continue"/>
                  <w:vAlign w:val="center"/>
                </w:tcPr>
                <w:p>
                  <w:pPr>
                    <w:jc w:val="center"/>
                    <w:rPr>
                      <w:color w:val="auto"/>
                      <w:sz w:val="21"/>
                      <w:szCs w:val="21"/>
                      <w:highlight w:val="none"/>
                    </w:rPr>
                  </w:pPr>
                </w:p>
              </w:tc>
              <w:tc>
                <w:tcPr>
                  <w:tcW w:w="662" w:type="pct"/>
                  <w:vMerge w:val="continue"/>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54" w:type="pct"/>
                  <w:vAlign w:val="center"/>
                </w:tcPr>
                <w:p>
                  <w:pPr>
                    <w:jc w:val="center"/>
                    <w:rPr>
                      <w:color w:val="auto"/>
                      <w:sz w:val="21"/>
                      <w:szCs w:val="21"/>
                      <w:highlight w:val="none"/>
                    </w:rPr>
                  </w:pPr>
                  <w:r>
                    <w:rPr>
                      <w:color w:val="auto"/>
                      <w:sz w:val="21"/>
                      <w:szCs w:val="21"/>
                      <w:highlight w:val="none"/>
                    </w:rPr>
                    <w:t>G</w:t>
                  </w:r>
                  <w:r>
                    <w:rPr>
                      <w:rFonts w:hint="eastAsia"/>
                      <w:color w:val="auto"/>
                      <w:sz w:val="21"/>
                      <w:szCs w:val="21"/>
                      <w:highlight w:val="none"/>
                    </w:rPr>
                    <w:t>1</w:t>
                  </w:r>
                  <w:r>
                    <w:rPr>
                      <w:color w:val="auto"/>
                      <w:sz w:val="21"/>
                      <w:szCs w:val="21"/>
                      <w:highlight w:val="none"/>
                    </w:rPr>
                    <w:t>半岛珑庭</w:t>
                  </w:r>
                </w:p>
              </w:tc>
              <w:tc>
                <w:tcPr>
                  <w:tcW w:w="689" w:type="pct"/>
                  <w:vAlign w:val="center"/>
                </w:tcPr>
                <w:p>
                  <w:pPr>
                    <w:pStyle w:val="22"/>
                    <w:widowControl w:val="0"/>
                    <w:adjustRightInd w:val="0"/>
                    <w:snapToGrid w:val="0"/>
                    <w:spacing w:before="0"/>
                    <w:jc w:val="center"/>
                    <w:rPr>
                      <w:rFonts w:ascii="Times New Roman" w:hAnsi="Times New Roman"/>
                      <w:color w:val="auto"/>
                      <w:sz w:val="21"/>
                      <w:szCs w:val="21"/>
                      <w:highlight w:val="none"/>
                    </w:rPr>
                  </w:pPr>
                  <w:r>
                    <w:rPr>
                      <w:rFonts w:ascii="Times New Roman" w:hAnsi="Times New Roman"/>
                      <w:color w:val="auto"/>
                      <w:sz w:val="21"/>
                      <w:szCs w:val="21"/>
                      <w:highlight w:val="none"/>
                    </w:rPr>
                    <w:t>119.636237</w:t>
                  </w:r>
                </w:p>
              </w:tc>
              <w:tc>
                <w:tcPr>
                  <w:tcW w:w="700" w:type="pct"/>
                  <w:vAlign w:val="center"/>
                </w:tcPr>
                <w:p>
                  <w:pPr>
                    <w:pStyle w:val="22"/>
                    <w:widowControl w:val="0"/>
                    <w:adjustRightInd w:val="0"/>
                    <w:snapToGrid w:val="0"/>
                    <w:spacing w:before="0"/>
                    <w:jc w:val="center"/>
                    <w:rPr>
                      <w:rFonts w:ascii="Times New Roman" w:hAnsi="Times New Roman"/>
                      <w:color w:val="auto"/>
                      <w:sz w:val="21"/>
                      <w:szCs w:val="21"/>
                      <w:highlight w:val="none"/>
                    </w:rPr>
                  </w:pPr>
                  <w:r>
                    <w:rPr>
                      <w:rFonts w:ascii="Times New Roman" w:hAnsi="Times New Roman"/>
                      <w:color w:val="auto"/>
                      <w:sz w:val="21"/>
                      <w:szCs w:val="21"/>
                      <w:highlight w:val="none"/>
                    </w:rPr>
                    <w:t>31.754215</w:t>
                  </w:r>
                </w:p>
              </w:tc>
              <w:tc>
                <w:tcPr>
                  <w:tcW w:w="525" w:type="pct"/>
                  <w:vAlign w:val="center"/>
                </w:tcPr>
                <w:p>
                  <w:pPr>
                    <w:jc w:val="center"/>
                    <w:rPr>
                      <w:color w:val="auto"/>
                      <w:sz w:val="21"/>
                      <w:szCs w:val="21"/>
                      <w:highlight w:val="none"/>
                    </w:rPr>
                  </w:pPr>
                  <w:r>
                    <w:rPr>
                      <w:color w:val="auto"/>
                      <w:spacing w:val="-16"/>
                      <w:sz w:val="21"/>
                      <w:szCs w:val="21"/>
                      <w:highlight w:val="none"/>
                    </w:rPr>
                    <w:t>非甲烷总烃</w:t>
                  </w:r>
                </w:p>
              </w:tc>
              <w:tc>
                <w:tcPr>
                  <w:tcW w:w="1370" w:type="pct"/>
                  <w:vAlign w:val="center"/>
                </w:tcPr>
                <w:p>
                  <w:pPr>
                    <w:jc w:val="center"/>
                    <w:rPr>
                      <w:color w:val="auto"/>
                      <w:sz w:val="21"/>
                      <w:szCs w:val="21"/>
                      <w:highlight w:val="none"/>
                    </w:rPr>
                  </w:pPr>
                  <w:r>
                    <w:rPr>
                      <w:color w:val="auto"/>
                      <w:sz w:val="21"/>
                      <w:szCs w:val="21"/>
                      <w:highlight w:val="none"/>
                    </w:rPr>
                    <w:t>20</w:t>
                  </w:r>
                  <w:r>
                    <w:rPr>
                      <w:rFonts w:hint="eastAsia"/>
                      <w:color w:val="auto"/>
                      <w:sz w:val="21"/>
                      <w:szCs w:val="21"/>
                      <w:highlight w:val="none"/>
                    </w:rPr>
                    <w:t>21</w:t>
                  </w:r>
                  <w:r>
                    <w:rPr>
                      <w:color w:val="auto"/>
                      <w:sz w:val="21"/>
                      <w:szCs w:val="21"/>
                      <w:highlight w:val="none"/>
                    </w:rPr>
                    <w:t>.</w:t>
                  </w:r>
                  <w:r>
                    <w:rPr>
                      <w:rFonts w:hint="eastAsia"/>
                      <w:color w:val="auto"/>
                      <w:sz w:val="21"/>
                      <w:szCs w:val="21"/>
                      <w:highlight w:val="none"/>
                    </w:rPr>
                    <w:t>07-09</w:t>
                  </w:r>
                  <w:r>
                    <w:rPr>
                      <w:color w:val="auto"/>
                      <w:sz w:val="21"/>
                      <w:szCs w:val="21"/>
                      <w:highlight w:val="none"/>
                    </w:rPr>
                    <w:t>-20</w:t>
                  </w:r>
                  <w:r>
                    <w:rPr>
                      <w:rFonts w:hint="eastAsia"/>
                      <w:color w:val="auto"/>
                      <w:sz w:val="21"/>
                      <w:szCs w:val="21"/>
                      <w:highlight w:val="none"/>
                    </w:rPr>
                    <w:t>21.07.11</w:t>
                  </w:r>
                </w:p>
              </w:tc>
              <w:tc>
                <w:tcPr>
                  <w:tcW w:w="497" w:type="pct"/>
                  <w:vAlign w:val="center"/>
                </w:tcPr>
                <w:p>
                  <w:pPr>
                    <w:jc w:val="center"/>
                    <w:rPr>
                      <w:color w:val="auto"/>
                      <w:sz w:val="21"/>
                      <w:szCs w:val="21"/>
                      <w:highlight w:val="none"/>
                    </w:rPr>
                  </w:pPr>
                  <w:r>
                    <w:rPr>
                      <w:rFonts w:hint="eastAsia"/>
                      <w:color w:val="auto"/>
                      <w:sz w:val="21"/>
                      <w:szCs w:val="21"/>
                      <w:highlight w:val="none"/>
                    </w:rPr>
                    <w:t>SW</w:t>
                  </w:r>
                </w:p>
              </w:tc>
              <w:tc>
                <w:tcPr>
                  <w:tcW w:w="662" w:type="pct"/>
                  <w:vAlign w:val="center"/>
                </w:tcPr>
                <w:p>
                  <w:pPr>
                    <w:jc w:val="center"/>
                    <w:rPr>
                      <w:color w:val="auto"/>
                      <w:sz w:val="21"/>
                      <w:szCs w:val="21"/>
                      <w:highlight w:val="none"/>
                    </w:rPr>
                  </w:pPr>
                  <w:r>
                    <w:rPr>
                      <w:rFonts w:hint="eastAsia"/>
                      <w:color w:val="auto"/>
                      <w:sz w:val="21"/>
                      <w:szCs w:val="21"/>
                      <w:highlight w:val="none"/>
                    </w:rPr>
                    <w:t>1350</w:t>
                  </w:r>
                </w:p>
              </w:tc>
            </w:tr>
          </w:tbl>
          <w:p>
            <w:pPr>
              <w:pStyle w:val="7"/>
              <w:keepNext/>
              <w:adjustRightInd w:val="0"/>
              <w:snapToGrid w:val="0"/>
              <w:spacing w:before="120" w:beforeLines="50"/>
              <w:jc w:val="center"/>
              <w:rPr>
                <w:rFonts w:ascii="Times New Roman" w:hAnsi="Times New Roman"/>
                <w:color w:val="auto"/>
                <w:sz w:val="21"/>
                <w:szCs w:val="21"/>
                <w:highlight w:val="none"/>
              </w:rPr>
            </w:pPr>
            <w:r>
              <w:rPr>
                <w:rFonts w:ascii="Times New Roman" w:hAnsi="Times New Roman"/>
                <w:color w:val="auto"/>
                <w:sz w:val="21"/>
                <w:szCs w:val="21"/>
                <w:highlight w:val="none"/>
              </w:rPr>
              <w:t>表3-3</w:t>
            </w:r>
            <w:r>
              <w:rPr>
                <w:rFonts w:hint="eastAsia" w:ascii="Times New Roman" w:hAnsi="Times New Roman"/>
                <w:color w:val="auto"/>
                <w:sz w:val="21"/>
                <w:szCs w:val="21"/>
                <w:highlight w:val="none"/>
                <w:lang w:val="en-US" w:eastAsia="zh-CN"/>
              </w:rPr>
              <w:t xml:space="preserve"> </w:t>
            </w:r>
            <w:r>
              <w:rPr>
                <w:rFonts w:hint="eastAsia" w:ascii="Times New Roman" w:hAnsi="Times New Roman"/>
                <w:color w:val="auto"/>
                <w:sz w:val="21"/>
                <w:szCs w:val="21"/>
                <w:highlight w:val="none"/>
              </w:rPr>
              <w:t>特征</w:t>
            </w:r>
            <w:r>
              <w:rPr>
                <w:rFonts w:ascii="Times New Roman" w:hAnsi="Times New Roman"/>
                <w:color w:val="auto"/>
                <w:sz w:val="21"/>
                <w:szCs w:val="21"/>
                <w:highlight w:val="none"/>
              </w:rPr>
              <w:t>污染物环境质量现状（监测结果）表</w:t>
            </w:r>
          </w:p>
          <w:tbl>
            <w:tblPr>
              <w:tblStyle w:val="25"/>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19"/>
              <w:gridCol w:w="996"/>
              <w:gridCol w:w="954"/>
              <w:gridCol w:w="846"/>
              <w:gridCol w:w="927"/>
              <w:gridCol w:w="1063"/>
              <w:gridCol w:w="900"/>
              <w:gridCol w:w="682"/>
              <w:gridCol w:w="68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76" w:type="pct"/>
                  <w:vMerge w:val="restart"/>
                  <w:vAlign w:val="center"/>
                </w:tcPr>
                <w:p>
                  <w:pPr>
                    <w:jc w:val="center"/>
                    <w:rPr>
                      <w:b/>
                      <w:color w:val="auto"/>
                      <w:sz w:val="21"/>
                      <w:szCs w:val="21"/>
                      <w:highlight w:val="none"/>
                    </w:rPr>
                  </w:pPr>
                  <w:r>
                    <w:rPr>
                      <w:b/>
                      <w:color w:val="auto"/>
                      <w:sz w:val="21"/>
                      <w:szCs w:val="21"/>
                      <w:highlight w:val="none"/>
                    </w:rPr>
                    <w:t>监测点名称</w:t>
                  </w:r>
                </w:p>
              </w:tc>
              <w:tc>
                <w:tcPr>
                  <w:tcW w:w="1222" w:type="pct"/>
                  <w:gridSpan w:val="2"/>
                  <w:vAlign w:val="center"/>
                </w:tcPr>
                <w:p>
                  <w:pPr>
                    <w:jc w:val="center"/>
                    <w:rPr>
                      <w:b/>
                      <w:color w:val="auto"/>
                      <w:sz w:val="21"/>
                      <w:szCs w:val="21"/>
                      <w:highlight w:val="none"/>
                    </w:rPr>
                  </w:pPr>
                  <w:r>
                    <w:rPr>
                      <w:b/>
                      <w:color w:val="auto"/>
                      <w:sz w:val="21"/>
                      <w:szCs w:val="21"/>
                      <w:highlight w:val="none"/>
                    </w:rPr>
                    <w:t>监测点坐标</w:t>
                  </w:r>
                </w:p>
              </w:tc>
              <w:tc>
                <w:tcPr>
                  <w:tcW w:w="530" w:type="pct"/>
                  <w:vMerge w:val="restart"/>
                  <w:vAlign w:val="center"/>
                </w:tcPr>
                <w:p>
                  <w:pPr>
                    <w:jc w:val="center"/>
                    <w:rPr>
                      <w:b/>
                      <w:color w:val="auto"/>
                      <w:sz w:val="21"/>
                      <w:szCs w:val="21"/>
                      <w:highlight w:val="none"/>
                    </w:rPr>
                  </w:pPr>
                  <w:r>
                    <w:rPr>
                      <w:b/>
                      <w:color w:val="auto"/>
                      <w:sz w:val="21"/>
                      <w:szCs w:val="21"/>
                      <w:highlight w:val="none"/>
                    </w:rPr>
                    <w:t>污染物</w:t>
                  </w:r>
                </w:p>
              </w:tc>
              <w:tc>
                <w:tcPr>
                  <w:tcW w:w="581" w:type="pct"/>
                  <w:vMerge w:val="restart"/>
                  <w:vAlign w:val="center"/>
                </w:tcPr>
                <w:p>
                  <w:pPr>
                    <w:jc w:val="center"/>
                    <w:rPr>
                      <w:b/>
                      <w:color w:val="auto"/>
                      <w:sz w:val="21"/>
                      <w:szCs w:val="21"/>
                      <w:highlight w:val="none"/>
                    </w:rPr>
                  </w:pPr>
                  <w:r>
                    <w:rPr>
                      <w:b/>
                      <w:color w:val="auto"/>
                      <w:sz w:val="21"/>
                      <w:szCs w:val="21"/>
                      <w:highlight w:val="none"/>
                    </w:rPr>
                    <w:t>平均时间</w:t>
                  </w:r>
                </w:p>
              </w:tc>
              <w:tc>
                <w:tcPr>
                  <w:tcW w:w="666" w:type="pct"/>
                  <w:vMerge w:val="restart"/>
                  <w:vAlign w:val="center"/>
                </w:tcPr>
                <w:p>
                  <w:pPr>
                    <w:jc w:val="center"/>
                    <w:rPr>
                      <w:b/>
                      <w:color w:val="auto"/>
                      <w:sz w:val="21"/>
                      <w:szCs w:val="21"/>
                      <w:highlight w:val="none"/>
                    </w:rPr>
                  </w:pPr>
                  <w:r>
                    <w:rPr>
                      <w:b/>
                      <w:color w:val="auto"/>
                      <w:sz w:val="21"/>
                      <w:szCs w:val="21"/>
                      <w:highlight w:val="none"/>
                    </w:rPr>
                    <w:t>监测浓度范围/μg/m</w:t>
                  </w:r>
                  <w:r>
                    <w:rPr>
                      <w:b/>
                      <w:color w:val="auto"/>
                      <w:sz w:val="21"/>
                      <w:szCs w:val="21"/>
                      <w:highlight w:val="none"/>
                      <w:vertAlign w:val="superscript"/>
                    </w:rPr>
                    <w:t>3</w:t>
                  </w:r>
                </w:p>
              </w:tc>
              <w:tc>
                <w:tcPr>
                  <w:tcW w:w="564" w:type="pct"/>
                  <w:vMerge w:val="restart"/>
                  <w:vAlign w:val="center"/>
                </w:tcPr>
                <w:p>
                  <w:pPr>
                    <w:jc w:val="center"/>
                    <w:rPr>
                      <w:b/>
                      <w:color w:val="auto"/>
                      <w:sz w:val="21"/>
                      <w:szCs w:val="21"/>
                      <w:highlight w:val="none"/>
                    </w:rPr>
                  </w:pPr>
                  <w:r>
                    <w:rPr>
                      <w:b/>
                      <w:color w:val="auto"/>
                      <w:sz w:val="21"/>
                      <w:szCs w:val="21"/>
                      <w:highlight w:val="none"/>
                    </w:rPr>
                    <w:t>最大浓度占标率%</w:t>
                  </w:r>
                </w:p>
              </w:tc>
              <w:tc>
                <w:tcPr>
                  <w:tcW w:w="427" w:type="pct"/>
                  <w:vMerge w:val="restart"/>
                  <w:vAlign w:val="center"/>
                </w:tcPr>
                <w:p>
                  <w:pPr>
                    <w:jc w:val="center"/>
                    <w:rPr>
                      <w:b/>
                      <w:color w:val="auto"/>
                      <w:sz w:val="21"/>
                      <w:szCs w:val="21"/>
                      <w:highlight w:val="none"/>
                    </w:rPr>
                  </w:pPr>
                  <w:r>
                    <w:rPr>
                      <w:b/>
                      <w:color w:val="auto"/>
                      <w:sz w:val="21"/>
                      <w:szCs w:val="21"/>
                      <w:highlight w:val="none"/>
                    </w:rPr>
                    <w:t>超标率%</w:t>
                  </w:r>
                </w:p>
              </w:tc>
              <w:tc>
                <w:tcPr>
                  <w:tcW w:w="430" w:type="pct"/>
                  <w:vMerge w:val="restart"/>
                  <w:vAlign w:val="center"/>
                </w:tcPr>
                <w:p>
                  <w:pPr>
                    <w:jc w:val="center"/>
                    <w:rPr>
                      <w:b/>
                      <w:color w:val="auto"/>
                      <w:sz w:val="21"/>
                      <w:szCs w:val="21"/>
                      <w:highlight w:val="none"/>
                    </w:rPr>
                  </w:pPr>
                  <w:r>
                    <w:rPr>
                      <w:b/>
                      <w:color w:val="auto"/>
                      <w:sz w:val="21"/>
                      <w:szCs w:val="21"/>
                      <w:highlight w:val="none"/>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76" w:type="pct"/>
                  <w:vMerge w:val="continue"/>
                  <w:vAlign w:val="center"/>
                </w:tcPr>
                <w:p>
                  <w:pPr>
                    <w:jc w:val="center"/>
                    <w:rPr>
                      <w:color w:val="auto"/>
                      <w:sz w:val="21"/>
                      <w:szCs w:val="21"/>
                      <w:highlight w:val="none"/>
                    </w:rPr>
                  </w:pPr>
                </w:p>
              </w:tc>
              <w:tc>
                <w:tcPr>
                  <w:tcW w:w="624" w:type="pct"/>
                  <w:vAlign w:val="center"/>
                </w:tcPr>
                <w:p>
                  <w:pPr>
                    <w:jc w:val="center"/>
                    <w:rPr>
                      <w:color w:val="auto"/>
                      <w:sz w:val="21"/>
                      <w:szCs w:val="21"/>
                      <w:highlight w:val="none"/>
                    </w:rPr>
                  </w:pPr>
                  <w:r>
                    <w:rPr>
                      <w:color w:val="auto"/>
                      <w:sz w:val="21"/>
                      <w:szCs w:val="21"/>
                      <w:highlight w:val="none"/>
                    </w:rPr>
                    <w:t>X</w:t>
                  </w:r>
                </w:p>
              </w:tc>
              <w:tc>
                <w:tcPr>
                  <w:tcW w:w="598" w:type="pct"/>
                  <w:vAlign w:val="center"/>
                </w:tcPr>
                <w:p>
                  <w:pPr>
                    <w:jc w:val="center"/>
                    <w:rPr>
                      <w:color w:val="auto"/>
                      <w:sz w:val="21"/>
                      <w:szCs w:val="21"/>
                      <w:highlight w:val="none"/>
                    </w:rPr>
                  </w:pPr>
                  <w:r>
                    <w:rPr>
                      <w:color w:val="auto"/>
                      <w:sz w:val="21"/>
                      <w:szCs w:val="21"/>
                      <w:highlight w:val="none"/>
                    </w:rPr>
                    <w:t>Y</w:t>
                  </w:r>
                </w:p>
              </w:tc>
              <w:tc>
                <w:tcPr>
                  <w:tcW w:w="530" w:type="pct"/>
                  <w:vMerge w:val="continue"/>
                  <w:vAlign w:val="center"/>
                </w:tcPr>
                <w:p>
                  <w:pPr>
                    <w:jc w:val="center"/>
                    <w:rPr>
                      <w:color w:val="auto"/>
                      <w:sz w:val="21"/>
                      <w:szCs w:val="21"/>
                      <w:highlight w:val="none"/>
                    </w:rPr>
                  </w:pPr>
                </w:p>
              </w:tc>
              <w:tc>
                <w:tcPr>
                  <w:tcW w:w="581" w:type="pct"/>
                  <w:vMerge w:val="continue"/>
                  <w:vAlign w:val="center"/>
                </w:tcPr>
                <w:p>
                  <w:pPr>
                    <w:jc w:val="center"/>
                    <w:rPr>
                      <w:color w:val="auto"/>
                      <w:sz w:val="21"/>
                      <w:szCs w:val="21"/>
                      <w:highlight w:val="none"/>
                    </w:rPr>
                  </w:pPr>
                </w:p>
              </w:tc>
              <w:tc>
                <w:tcPr>
                  <w:tcW w:w="666" w:type="pct"/>
                  <w:vMerge w:val="continue"/>
                  <w:vAlign w:val="center"/>
                </w:tcPr>
                <w:p>
                  <w:pPr>
                    <w:jc w:val="center"/>
                    <w:rPr>
                      <w:color w:val="auto"/>
                      <w:sz w:val="21"/>
                      <w:szCs w:val="21"/>
                      <w:highlight w:val="none"/>
                    </w:rPr>
                  </w:pPr>
                </w:p>
              </w:tc>
              <w:tc>
                <w:tcPr>
                  <w:tcW w:w="564" w:type="pct"/>
                  <w:vMerge w:val="continue"/>
                  <w:vAlign w:val="center"/>
                </w:tcPr>
                <w:p>
                  <w:pPr>
                    <w:jc w:val="center"/>
                    <w:rPr>
                      <w:color w:val="auto"/>
                      <w:sz w:val="21"/>
                      <w:szCs w:val="21"/>
                      <w:highlight w:val="none"/>
                    </w:rPr>
                  </w:pPr>
                </w:p>
              </w:tc>
              <w:tc>
                <w:tcPr>
                  <w:tcW w:w="427" w:type="pct"/>
                  <w:vMerge w:val="continue"/>
                  <w:vAlign w:val="center"/>
                </w:tcPr>
                <w:p>
                  <w:pPr>
                    <w:jc w:val="center"/>
                    <w:rPr>
                      <w:color w:val="auto"/>
                      <w:sz w:val="21"/>
                      <w:szCs w:val="21"/>
                      <w:highlight w:val="none"/>
                    </w:rPr>
                  </w:pPr>
                </w:p>
              </w:tc>
              <w:tc>
                <w:tcPr>
                  <w:tcW w:w="430" w:type="pct"/>
                  <w:vMerge w:val="continue"/>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76" w:type="pct"/>
                  <w:vAlign w:val="center"/>
                </w:tcPr>
                <w:p>
                  <w:pPr>
                    <w:jc w:val="center"/>
                    <w:rPr>
                      <w:color w:val="auto"/>
                      <w:sz w:val="21"/>
                      <w:szCs w:val="21"/>
                      <w:highlight w:val="none"/>
                    </w:rPr>
                  </w:pPr>
                  <w:r>
                    <w:rPr>
                      <w:color w:val="auto"/>
                      <w:sz w:val="21"/>
                      <w:szCs w:val="21"/>
                      <w:highlight w:val="none"/>
                    </w:rPr>
                    <w:t>G</w:t>
                  </w:r>
                  <w:r>
                    <w:rPr>
                      <w:rFonts w:hint="eastAsia"/>
                      <w:color w:val="auto"/>
                      <w:sz w:val="21"/>
                      <w:szCs w:val="21"/>
                      <w:highlight w:val="none"/>
                    </w:rPr>
                    <w:t>1</w:t>
                  </w:r>
                  <w:r>
                    <w:rPr>
                      <w:color w:val="auto"/>
                      <w:sz w:val="21"/>
                      <w:szCs w:val="21"/>
                      <w:highlight w:val="none"/>
                    </w:rPr>
                    <w:t>半岛珑庭</w:t>
                  </w:r>
                </w:p>
              </w:tc>
              <w:tc>
                <w:tcPr>
                  <w:tcW w:w="624" w:type="pct"/>
                  <w:vAlign w:val="center"/>
                </w:tcPr>
                <w:p>
                  <w:pPr>
                    <w:pStyle w:val="22"/>
                    <w:widowControl w:val="0"/>
                    <w:adjustRightInd w:val="0"/>
                    <w:snapToGrid w:val="0"/>
                    <w:spacing w:before="0"/>
                    <w:jc w:val="center"/>
                    <w:rPr>
                      <w:rFonts w:ascii="Times New Roman" w:hAnsi="Times New Roman"/>
                      <w:color w:val="auto"/>
                      <w:sz w:val="21"/>
                      <w:szCs w:val="21"/>
                      <w:highlight w:val="none"/>
                    </w:rPr>
                  </w:pPr>
                  <w:r>
                    <w:rPr>
                      <w:rFonts w:ascii="Times New Roman" w:hAnsi="Times New Roman"/>
                      <w:color w:val="auto"/>
                      <w:sz w:val="21"/>
                      <w:szCs w:val="21"/>
                      <w:highlight w:val="none"/>
                    </w:rPr>
                    <w:t>119.636237</w:t>
                  </w:r>
                </w:p>
              </w:tc>
              <w:tc>
                <w:tcPr>
                  <w:tcW w:w="598" w:type="pct"/>
                  <w:vAlign w:val="center"/>
                </w:tcPr>
                <w:p>
                  <w:pPr>
                    <w:pStyle w:val="22"/>
                    <w:widowControl w:val="0"/>
                    <w:adjustRightInd w:val="0"/>
                    <w:snapToGrid w:val="0"/>
                    <w:spacing w:before="0"/>
                    <w:jc w:val="center"/>
                    <w:rPr>
                      <w:rFonts w:ascii="Times New Roman" w:hAnsi="Times New Roman"/>
                      <w:color w:val="auto"/>
                      <w:sz w:val="21"/>
                      <w:szCs w:val="21"/>
                      <w:highlight w:val="none"/>
                    </w:rPr>
                  </w:pPr>
                  <w:r>
                    <w:rPr>
                      <w:rFonts w:ascii="Times New Roman" w:hAnsi="Times New Roman"/>
                      <w:color w:val="auto"/>
                      <w:sz w:val="21"/>
                      <w:szCs w:val="21"/>
                      <w:highlight w:val="none"/>
                    </w:rPr>
                    <w:t>31.754215</w:t>
                  </w:r>
                </w:p>
              </w:tc>
              <w:tc>
                <w:tcPr>
                  <w:tcW w:w="530" w:type="pct"/>
                  <w:vAlign w:val="center"/>
                </w:tcPr>
                <w:p>
                  <w:pPr>
                    <w:jc w:val="center"/>
                    <w:rPr>
                      <w:color w:val="auto"/>
                      <w:sz w:val="21"/>
                      <w:szCs w:val="21"/>
                      <w:highlight w:val="none"/>
                    </w:rPr>
                  </w:pPr>
                  <w:r>
                    <w:rPr>
                      <w:rFonts w:hint="eastAsia" w:ascii="宋体" w:hAnsi="宋体"/>
                      <w:color w:val="auto"/>
                      <w:sz w:val="21"/>
                      <w:szCs w:val="21"/>
                      <w:highlight w:val="none"/>
                    </w:rPr>
                    <w:t>非甲烷总烃</w:t>
                  </w:r>
                </w:p>
              </w:tc>
              <w:tc>
                <w:tcPr>
                  <w:tcW w:w="581" w:type="pct"/>
                  <w:vAlign w:val="center"/>
                </w:tcPr>
                <w:p>
                  <w:pPr>
                    <w:spacing w:before="48" w:beforeLines="20" w:after="48" w:afterLines="20"/>
                    <w:jc w:val="center"/>
                    <w:rPr>
                      <w:color w:val="auto"/>
                      <w:sz w:val="21"/>
                      <w:szCs w:val="21"/>
                      <w:highlight w:val="none"/>
                    </w:rPr>
                  </w:pPr>
                  <w:r>
                    <w:rPr>
                      <w:color w:val="auto"/>
                      <w:sz w:val="21"/>
                      <w:szCs w:val="21"/>
                      <w:highlight w:val="none"/>
                    </w:rPr>
                    <w:t>1小时平均</w:t>
                  </w:r>
                </w:p>
              </w:tc>
              <w:tc>
                <w:tcPr>
                  <w:tcW w:w="666" w:type="pct"/>
                  <w:vAlign w:val="center"/>
                </w:tcPr>
                <w:p>
                  <w:pPr>
                    <w:spacing w:before="48" w:beforeLines="20" w:after="48" w:afterLines="20"/>
                    <w:jc w:val="center"/>
                    <w:rPr>
                      <w:color w:val="auto"/>
                      <w:sz w:val="21"/>
                      <w:szCs w:val="21"/>
                      <w:highlight w:val="none"/>
                    </w:rPr>
                  </w:pPr>
                  <w:r>
                    <w:rPr>
                      <w:rFonts w:hint="eastAsia"/>
                      <w:color w:val="auto"/>
                      <w:sz w:val="21"/>
                      <w:szCs w:val="21"/>
                      <w:highlight w:val="none"/>
                    </w:rPr>
                    <w:t>530</w:t>
                  </w:r>
                  <w:r>
                    <w:rPr>
                      <w:color w:val="auto"/>
                      <w:sz w:val="21"/>
                      <w:szCs w:val="21"/>
                      <w:highlight w:val="none"/>
                    </w:rPr>
                    <w:t>~</w:t>
                  </w:r>
                  <w:r>
                    <w:rPr>
                      <w:rFonts w:hint="eastAsia"/>
                      <w:color w:val="auto"/>
                      <w:sz w:val="21"/>
                      <w:szCs w:val="21"/>
                      <w:highlight w:val="none"/>
                    </w:rPr>
                    <w:t>650</w:t>
                  </w:r>
                </w:p>
              </w:tc>
              <w:tc>
                <w:tcPr>
                  <w:tcW w:w="564" w:type="pct"/>
                  <w:vAlign w:val="center"/>
                </w:tcPr>
                <w:p>
                  <w:pPr>
                    <w:spacing w:before="48" w:beforeLines="20" w:after="48" w:afterLines="20"/>
                    <w:jc w:val="center"/>
                    <w:rPr>
                      <w:color w:val="auto"/>
                      <w:sz w:val="21"/>
                      <w:szCs w:val="21"/>
                      <w:highlight w:val="none"/>
                    </w:rPr>
                  </w:pPr>
                  <w:r>
                    <w:rPr>
                      <w:rFonts w:hint="eastAsia"/>
                      <w:color w:val="auto"/>
                      <w:sz w:val="21"/>
                      <w:szCs w:val="21"/>
                      <w:highlight w:val="none"/>
                    </w:rPr>
                    <w:t>32</w:t>
                  </w:r>
                  <w:r>
                    <w:rPr>
                      <w:color w:val="auto"/>
                      <w:sz w:val="21"/>
                      <w:szCs w:val="21"/>
                      <w:highlight w:val="none"/>
                    </w:rPr>
                    <w:t>.5</w:t>
                  </w:r>
                </w:p>
              </w:tc>
              <w:tc>
                <w:tcPr>
                  <w:tcW w:w="427" w:type="pct"/>
                  <w:vAlign w:val="center"/>
                </w:tcPr>
                <w:p>
                  <w:pPr>
                    <w:jc w:val="center"/>
                    <w:rPr>
                      <w:color w:val="auto"/>
                      <w:sz w:val="21"/>
                      <w:szCs w:val="21"/>
                      <w:highlight w:val="none"/>
                    </w:rPr>
                  </w:pPr>
                  <w:r>
                    <w:rPr>
                      <w:color w:val="auto"/>
                      <w:sz w:val="21"/>
                      <w:szCs w:val="21"/>
                      <w:highlight w:val="none"/>
                    </w:rPr>
                    <w:t>0</w:t>
                  </w:r>
                </w:p>
              </w:tc>
              <w:tc>
                <w:tcPr>
                  <w:tcW w:w="430" w:type="pct"/>
                  <w:vAlign w:val="center"/>
                </w:tcPr>
                <w:p>
                  <w:pPr>
                    <w:jc w:val="center"/>
                    <w:rPr>
                      <w:color w:val="auto"/>
                      <w:sz w:val="21"/>
                      <w:szCs w:val="21"/>
                      <w:highlight w:val="none"/>
                    </w:rPr>
                  </w:pPr>
                  <w:r>
                    <w:rPr>
                      <w:color w:val="auto"/>
                      <w:sz w:val="21"/>
                      <w:szCs w:val="21"/>
                      <w:highlight w:val="none"/>
                    </w:rPr>
                    <w:t>达标</w:t>
                  </w:r>
                </w:p>
              </w:tc>
            </w:tr>
          </w:tbl>
          <w:p>
            <w:pPr>
              <w:adjustRightInd w:val="0"/>
              <w:snapToGrid w:val="0"/>
              <w:spacing w:before="120" w:beforeLines="50" w:line="360" w:lineRule="auto"/>
              <w:ind w:firstLine="411" w:firstLineChars="196"/>
              <w:rPr>
                <w:color w:val="auto"/>
                <w:sz w:val="21"/>
                <w:szCs w:val="21"/>
                <w:highlight w:val="none"/>
              </w:rPr>
            </w:pPr>
            <w:r>
              <w:rPr>
                <w:color w:val="auto"/>
                <w:sz w:val="21"/>
                <w:szCs w:val="21"/>
                <w:highlight w:val="none"/>
              </w:rPr>
              <w:t>由上表可知</w:t>
            </w:r>
            <w:r>
              <w:rPr>
                <w:rFonts w:hint="eastAsia"/>
                <w:color w:val="auto"/>
                <w:sz w:val="21"/>
                <w:szCs w:val="21"/>
                <w:highlight w:val="none"/>
              </w:rPr>
              <w:t>，</w:t>
            </w:r>
            <w:r>
              <w:rPr>
                <w:color w:val="auto"/>
                <w:sz w:val="21"/>
                <w:szCs w:val="21"/>
                <w:highlight w:val="none"/>
              </w:rPr>
              <w:t>评价区域内非甲烷总烃满足《大气污染物综合排放标准详解》中的数值。</w:t>
            </w:r>
          </w:p>
          <w:p>
            <w:pPr>
              <w:spacing w:line="360" w:lineRule="auto"/>
              <w:ind w:firstLine="413" w:firstLineChars="196"/>
              <w:rPr>
                <w:b/>
                <w:bCs/>
                <w:color w:val="auto"/>
                <w:sz w:val="21"/>
                <w:szCs w:val="21"/>
                <w:highlight w:val="none"/>
              </w:rPr>
            </w:pPr>
            <w:r>
              <w:rPr>
                <w:b/>
                <w:bCs/>
                <w:color w:val="auto"/>
                <w:sz w:val="21"/>
                <w:szCs w:val="21"/>
                <w:highlight w:val="none"/>
              </w:rPr>
              <w:t>（3）大气污染防治行动方案</w:t>
            </w:r>
          </w:p>
          <w:p>
            <w:pPr>
              <w:spacing w:line="360" w:lineRule="auto"/>
              <w:ind w:firstLine="411" w:firstLineChars="196"/>
              <w:rPr>
                <w:color w:val="auto"/>
                <w:sz w:val="21"/>
                <w:szCs w:val="21"/>
                <w:highlight w:val="none"/>
              </w:rPr>
            </w:pPr>
            <w:r>
              <w:rPr>
                <w:color w:val="auto"/>
                <w:sz w:val="21"/>
                <w:szCs w:val="21"/>
                <w:highlight w:val="none"/>
              </w:rPr>
              <w:t>根据《</w:t>
            </w:r>
            <w:r>
              <w:rPr>
                <w:rFonts w:hint="eastAsia"/>
                <w:color w:val="auto"/>
                <w:sz w:val="21"/>
                <w:szCs w:val="21"/>
                <w:highlight w:val="none"/>
              </w:rPr>
              <w:t>2022年常州市金坛区深入打好污染防治攻坚战工作方案</w:t>
            </w:r>
            <w:r>
              <w:rPr>
                <w:color w:val="auto"/>
                <w:sz w:val="21"/>
                <w:szCs w:val="21"/>
                <w:highlight w:val="none"/>
              </w:rPr>
              <w:t>》，金坛经济开发区大气污染防治措施如下：</w:t>
            </w:r>
          </w:p>
          <w:p>
            <w:pPr>
              <w:spacing w:line="360" w:lineRule="auto"/>
              <w:ind w:firstLine="411" w:firstLineChars="196"/>
              <w:rPr>
                <w:color w:val="auto"/>
                <w:sz w:val="21"/>
                <w:szCs w:val="21"/>
                <w:highlight w:val="none"/>
              </w:rPr>
            </w:pPr>
            <w:r>
              <w:rPr>
                <w:color w:val="auto"/>
                <w:sz w:val="21"/>
                <w:szCs w:val="21"/>
                <w:highlight w:val="none"/>
              </w:rPr>
              <w:t>①</w:t>
            </w:r>
            <w:r>
              <w:rPr>
                <w:rFonts w:hint="eastAsia"/>
                <w:color w:val="auto"/>
                <w:sz w:val="21"/>
                <w:szCs w:val="21"/>
                <w:highlight w:val="none"/>
              </w:rPr>
              <w:t>加大重点行业污染治理力度，强化多污染物协同控制，推进PM</w:t>
            </w:r>
            <w:r>
              <w:rPr>
                <w:rFonts w:hint="eastAsia"/>
                <w:color w:val="auto"/>
                <w:sz w:val="21"/>
                <w:szCs w:val="21"/>
                <w:highlight w:val="none"/>
                <w:vertAlign w:val="subscript"/>
              </w:rPr>
              <w:t>2.5</w:t>
            </w:r>
            <w:r>
              <w:rPr>
                <w:rFonts w:hint="eastAsia"/>
                <w:color w:val="auto"/>
                <w:sz w:val="21"/>
                <w:szCs w:val="21"/>
                <w:highlight w:val="none"/>
              </w:rPr>
              <w:t>和臭氧浓度“双控双减”，严格落实重污染天气应急管控措施。做好国家重大活动空气质量保障。严格落实点位长制，重点区域落实精细化管控措施。</w:t>
            </w:r>
          </w:p>
          <w:p>
            <w:pPr>
              <w:spacing w:line="360" w:lineRule="auto"/>
              <w:ind w:firstLine="411" w:firstLineChars="196"/>
              <w:rPr>
                <w:color w:val="auto"/>
                <w:sz w:val="21"/>
                <w:szCs w:val="21"/>
                <w:highlight w:val="none"/>
              </w:rPr>
            </w:pPr>
            <w:r>
              <w:rPr>
                <w:color w:val="auto"/>
                <w:sz w:val="21"/>
                <w:szCs w:val="21"/>
                <w:highlight w:val="none"/>
              </w:rPr>
              <w:t>②</w:t>
            </w:r>
            <w:r>
              <w:rPr>
                <w:rFonts w:hint="eastAsia"/>
                <w:color w:val="auto"/>
                <w:sz w:val="21"/>
                <w:szCs w:val="21"/>
                <w:highlight w:val="none"/>
              </w:rPr>
              <w:t>大力推进低（无）VOCs含量原辅材料替代。对照国家产品质量标准，加大对各类涂料、油墨、胶黏剂、清洗剂等产品生产、销售、使用环节的监督管理。以化工、涂装、医药、包装印刷、油品储运销等行业领域为重点，实施原辅材料和产品源头替代工程。完成12家重点企业VOCs清洁原料替代，优先推动使用溶剂型原辅材料且治理设施低效的企业先行开展清洁原料替代；对替代技术尚不成熟的，推动开展论证核实，并加强现场监管，确保VOCs无组织排放有效控制，废气排放口达标排放。结合产业特点，培育2家以上源头替代示范型企业。推动钢结构、包装印刷行业实施低（无）VOCs含量的涂料、油墨、胶粘剂等原辅材料源头替代。</w:t>
            </w:r>
          </w:p>
          <w:p>
            <w:pPr>
              <w:spacing w:line="360" w:lineRule="auto"/>
              <w:ind w:firstLine="411" w:firstLineChars="196"/>
              <w:rPr>
                <w:color w:val="auto"/>
                <w:sz w:val="21"/>
                <w:szCs w:val="21"/>
                <w:highlight w:val="none"/>
              </w:rPr>
            </w:pPr>
            <w:r>
              <w:rPr>
                <w:color w:val="auto"/>
                <w:sz w:val="21"/>
                <w:szCs w:val="21"/>
                <w:highlight w:val="none"/>
              </w:rPr>
              <w:t>③</w:t>
            </w:r>
            <w:r>
              <w:rPr>
                <w:rFonts w:hint="eastAsia"/>
                <w:color w:val="auto"/>
                <w:sz w:val="21"/>
                <w:szCs w:val="21"/>
                <w:highlight w:val="none"/>
              </w:rPr>
              <w:t>实施“夏病冬治”。完成对10个有机储罐分类深度治理。对涉VOCs企业集群的20家企业，按照“标杆建设一批、改造提升一批、优化整合一批、淘汰退出一批”的要求，开展排查及分类治理，5月底前完成排查整治并建立管理台账。</w:t>
            </w:r>
          </w:p>
          <w:p>
            <w:pPr>
              <w:spacing w:line="360" w:lineRule="auto"/>
              <w:ind w:firstLine="411" w:firstLineChars="196"/>
              <w:rPr>
                <w:color w:val="auto"/>
                <w:sz w:val="21"/>
                <w:szCs w:val="21"/>
                <w:highlight w:val="none"/>
              </w:rPr>
            </w:pPr>
            <w:r>
              <w:rPr>
                <w:color w:val="auto"/>
                <w:sz w:val="21"/>
                <w:szCs w:val="21"/>
                <w:highlight w:val="none"/>
              </w:rPr>
              <w:t>④</w:t>
            </w:r>
            <w:r>
              <w:rPr>
                <w:rFonts w:hint="eastAsia"/>
                <w:color w:val="auto"/>
                <w:sz w:val="21"/>
                <w:szCs w:val="21"/>
                <w:highlight w:val="none"/>
              </w:rPr>
              <w:t>强化装卸废气收集治理。汽车罐车按照标准采用适宜的装载方式，鼓励开展汽车罐车及船舶油舱的清洗、压舱过程废气收集治理。推进汽油等装船作业码头安装油气回收系统，加强油品运输船舶油气回收工作。</w:t>
            </w:r>
          </w:p>
          <w:p>
            <w:pPr>
              <w:spacing w:line="360" w:lineRule="auto"/>
              <w:ind w:firstLine="411" w:firstLineChars="196"/>
              <w:rPr>
                <w:color w:val="auto"/>
                <w:sz w:val="21"/>
                <w:szCs w:val="21"/>
                <w:highlight w:val="none"/>
              </w:rPr>
            </w:pPr>
            <w:r>
              <w:rPr>
                <w:color w:val="auto"/>
                <w:sz w:val="21"/>
                <w:szCs w:val="21"/>
                <w:highlight w:val="none"/>
              </w:rPr>
              <w:t>⑤</w:t>
            </w:r>
            <w:r>
              <w:rPr>
                <w:rFonts w:hint="eastAsia"/>
                <w:color w:val="auto"/>
                <w:sz w:val="21"/>
                <w:szCs w:val="21"/>
                <w:highlight w:val="none"/>
              </w:rPr>
              <w:t>强化VOCs全流程、全环节综合治理。在确保安全等前提下，加强含VOCs物料全方位、全链条、全环节密闭管理。督促指导企业对照标准要求开展含VOCs物料储存、转移和输送、设备与管线组件泄露、敞开液面逸散以及工艺过程等无组织排放环节排查整治。推进合成树脂等企业严格按要求开展泄漏检测与修复（LDAR）。对达不到要求的VOCs收集、治理设施进行更换或升级改造，确保稳定达标排放；对治理难度大、单一治理工艺难以稳定达标的，推进采用多种技术的组合工艺治理。推动取消废气排放系统旁路，因安全生产等原因必须保留的，应将保留旁路清单报生态环境部门。旁路在非紧急情况下保持关闭，并通过铅封、安装自动监控设施、流量计等方式加强监管，开启后应及时向生态环境部门报告，做好台账记录。引导化工、制药、农药等行业企业合理安排停检修计划，减少非正常工况VOCs排放；加强启停机期间以及清洗、退料、吹扫、放空、晾干等环节VOCs排放管控，确保达到安全生产和污染物排放标准要求。完成VOCs综合治理项目20项，完成VOCs无组织排放治理项目35项。</w:t>
            </w:r>
          </w:p>
          <w:p>
            <w:pPr>
              <w:snapToGrid w:val="0"/>
              <w:spacing w:line="360" w:lineRule="auto"/>
              <w:ind w:firstLine="411" w:firstLineChars="196"/>
              <w:rPr>
                <w:color w:val="auto"/>
                <w:sz w:val="21"/>
                <w:szCs w:val="21"/>
                <w:highlight w:val="none"/>
              </w:rPr>
            </w:pPr>
            <w:r>
              <w:rPr>
                <w:color w:val="auto"/>
                <w:sz w:val="21"/>
                <w:szCs w:val="21"/>
                <w:highlight w:val="none"/>
              </w:rPr>
              <w:t>⑥</w:t>
            </w:r>
            <w:r>
              <w:rPr>
                <w:rFonts w:hint="eastAsia"/>
                <w:color w:val="auto"/>
                <w:sz w:val="21"/>
                <w:szCs w:val="21"/>
                <w:highlight w:val="none"/>
              </w:rPr>
              <w:t>积极调整运输结构。加快形成绿色低碳运输方式。加快大宗货物和中长途货物运输“公转水”，实施多式联运提升行动。鼓励煤炭、矿石等物资采用水路、封闭式皮带廊道、新能源和清洁能源车辆等绿色运输方式。实施“绿色车轮”计划，推进新能源汽车消费替代，城市建成区新增或替换的公交车实现新能源和清洁能源车辆占比达90%以上、邮政等公共领域新增或替换的车辆全面采用新能源汽车或清洁能源汽车，环卫领域车辆逐步推进提高新能源汽车或清洁能源汽车占比。加快新能源非道路移动机械推广使用，港口新增和更换的作业机械主要采用清洁能源或新能源。开展内河LNG船舶推广应用。靠港和水上服务区锚泊船舶使用岸电应接尽接。</w:t>
            </w:r>
          </w:p>
          <w:p>
            <w:pPr>
              <w:snapToGrid w:val="0"/>
              <w:spacing w:line="360" w:lineRule="auto"/>
              <w:ind w:firstLine="411" w:firstLineChars="196"/>
              <w:rPr>
                <w:color w:val="auto"/>
                <w:sz w:val="21"/>
                <w:szCs w:val="21"/>
                <w:highlight w:val="none"/>
              </w:rPr>
            </w:pPr>
            <w:r>
              <w:rPr>
                <w:color w:val="auto"/>
                <w:sz w:val="21"/>
                <w:szCs w:val="21"/>
                <w:highlight w:val="none"/>
              </w:rPr>
              <w:t>因此，通过上述工作的不断推进实施，常州市与金坛区环境空气质量将得到持续改善。</w:t>
            </w:r>
          </w:p>
          <w:p>
            <w:pPr>
              <w:snapToGrid w:val="0"/>
              <w:spacing w:line="360" w:lineRule="auto"/>
              <w:ind w:firstLine="413" w:firstLineChars="196"/>
              <w:rPr>
                <w:b/>
                <w:bCs/>
                <w:color w:val="auto"/>
                <w:sz w:val="21"/>
                <w:szCs w:val="21"/>
                <w:highlight w:val="none"/>
              </w:rPr>
            </w:pPr>
            <w:r>
              <w:rPr>
                <w:b/>
                <w:bCs/>
                <w:color w:val="auto"/>
                <w:sz w:val="21"/>
                <w:szCs w:val="21"/>
                <w:highlight w:val="none"/>
              </w:rPr>
              <w:t>2、地表水</w:t>
            </w:r>
          </w:p>
          <w:p>
            <w:pPr>
              <w:pStyle w:val="73"/>
              <w:keepNext w:val="0"/>
              <w:keepLines w:val="0"/>
              <w:pageBreakBefore w:val="0"/>
              <w:widowControl w:val="0"/>
              <w:kinsoku/>
              <w:wordWrap/>
              <w:overflowPunct/>
              <w:topLinePunct w:val="0"/>
              <w:autoSpaceDE/>
              <w:autoSpaceDN/>
              <w:bidi w:val="0"/>
              <w:adjustRightInd/>
              <w:snapToGrid/>
              <w:spacing w:line="360" w:lineRule="auto"/>
              <w:ind w:left="31" w:leftChars="15" w:right="31" w:rightChars="15" w:firstLine="560"/>
              <w:jc w:val="both"/>
              <w:textAlignment w:val="auto"/>
              <w:rPr>
                <w:rFonts w:hint="default" w:ascii="Times New Roman" w:hAnsi="Times New Roman" w:eastAsia="宋体" w:cs="Times New Roman"/>
                <w:color w:val="auto"/>
                <w:sz w:val="21"/>
                <w:szCs w:val="21"/>
                <w:lang w:val="zh-TW"/>
              </w:rPr>
            </w:pPr>
            <w:r>
              <w:rPr>
                <w:rFonts w:hint="default" w:ascii="Times New Roman" w:hAnsi="Times New Roman" w:eastAsia="宋体" w:cs="Times New Roman"/>
                <w:color w:val="auto"/>
                <w:sz w:val="21"/>
                <w:szCs w:val="21"/>
              </w:rPr>
              <w:t>根据《202</w:t>
            </w:r>
            <w:r>
              <w:rPr>
                <w:rFonts w:hint="eastAsia" w:eastAsia="宋体" w:cs="Times New Roman"/>
                <w:color w:val="auto"/>
                <w:sz w:val="21"/>
                <w:szCs w:val="21"/>
                <w:lang w:val="en-US" w:eastAsia="zh-CN"/>
              </w:rPr>
              <w:t>2</w:t>
            </w:r>
            <w:r>
              <w:rPr>
                <w:rFonts w:hint="default" w:ascii="Times New Roman" w:hAnsi="Times New Roman" w:eastAsia="宋体" w:cs="Times New Roman"/>
                <w:color w:val="auto"/>
                <w:sz w:val="21"/>
                <w:szCs w:val="21"/>
              </w:rPr>
              <w:t>年常州市生态环境状况公报》，</w:t>
            </w:r>
            <w:r>
              <w:rPr>
                <w:rFonts w:hint="default" w:ascii="Times New Roman" w:hAnsi="Times New Roman" w:eastAsia="宋体" w:cs="Times New Roman"/>
                <w:color w:val="auto"/>
                <w:sz w:val="21"/>
                <w:szCs w:val="21"/>
                <w:lang w:val="zh-TW"/>
              </w:rPr>
              <w:t>202</w:t>
            </w:r>
            <w:r>
              <w:rPr>
                <w:rFonts w:hint="eastAsia" w:eastAsia="宋体" w:cs="Times New Roman"/>
                <w:color w:val="auto"/>
                <w:sz w:val="21"/>
                <w:szCs w:val="21"/>
                <w:lang w:val="en-US" w:eastAsia="zh-CN"/>
              </w:rPr>
              <w:t>2</w:t>
            </w:r>
            <w:r>
              <w:rPr>
                <w:rFonts w:hint="default" w:ascii="Times New Roman" w:hAnsi="Times New Roman" w:eastAsia="宋体" w:cs="Times New Roman"/>
                <w:color w:val="auto"/>
                <w:sz w:val="21"/>
                <w:szCs w:val="21"/>
                <w:lang w:val="zh-TW"/>
              </w:rPr>
              <w:t>年，常州市纳入“十四五”国家地表水环境质量考核的20个断面中，年均水质达到或好于《地表水环境质量标准》（GB 3838—2002）Ⅲ类标准的断面比例为80</w:t>
            </w:r>
            <w:r>
              <w:rPr>
                <w:rFonts w:hint="eastAsia" w:eastAsia="宋体" w:cs="Times New Roman"/>
                <w:color w:val="auto"/>
                <w:sz w:val="21"/>
                <w:szCs w:val="21"/>
                <w:lang w:val="en-US" w:eastAsia="zh-CN"/>
              </w:rPr>
              <w:t>.0</w:t>
            </w:r>
            <w:r>
              <w:rPr>
                <w:rFonts w:hint="default" w:ascii="Times New Roman" w:hAnsi="Times New Roman" w:eastAsia="宋体" w:cs="Times New Roman"/>
                <w:color w:val="auto"/>
                <w:sz w:val="21"/>
                <w:szCs w:val="21"/>
                <w:lang w:val="zh-TW"/>
              </w:rPr>
              <w:t>%，无劣于Ⅴ类断面，洮</w:t>
            </w:r>
            <w:r>
              <w:rPr>
                <w:rFonts w:hint="eastAsia" w:eastAsia="宋体" w:cs="Times New Roman"/>
                <w:color w:val="auto"/>
                <w:sz w:val="21"/>
                <w:szCs w:val="21"/>
                <w:lang w:val="en-US" w:eastAsia="zh-CN"/>
              </w:rPr>
              <w:t>滆</w:t>
            </w:r>
            <w:r>
              <w:rPr>
                <w:rFonts w:hint="default" w:ascii="Times New Roman" w:hAnsi="Times New Roman" w:eastAsia="宋体" w:cs="Times New Roman"/>
                <w:color w:val="auto"/>
                <w:sz w:val="21"/>
                <w:szCs w:val="21"/>
                <w:lang w:val="zh-TW"/>
              </w:rPr>
              <w:t>两湖总磷分别同比下降18.1%、12.3%。纳入江苏省“十四五”水环境质量目标考核51个断面，年均水质达到或好于Ⅲ类的比例为92.2%，无劣V类断面，全市水环境质量创有监测记录以来最好水平，河流断面优Ⅲ比例达100%</w:t>
            </w:r>
            <w:r>
              <w:rPr>
                <w:rFonts w:hint="eastAsia" w:eastAsia="宋体" w:cs="Times New Roman"/>
                <w:color w:val="auto"/>
                <w:sz w:val="21"/>
                <w:szCs w:val="21"/>
                <w:lang w:val="zh-TW" w:eastAsia="zh-CN"/>
              </w:rPr>
              <w:t>，</w:t>
            </w:r>
            <w:r>
              <w:rPr>
                <w:rFonts w:hint="default" w:ascii="Times New Roman" w:hAnsi="Times New Roman" w:eastAsia="宋体" w:cs="Times New Roman"/>
                <w:color w:val="auto"/>
                <w:sz w:val="21"/>
                <w:szCs w:val="21"/>
                <w:lang w:val="zh-TW"/>
              </w:rPr>
              <w:t>优Ⅱ比例47.1%，同比提升25.5个百分点，位列全省第一。</w:t>
            </w:r>
          </w:p>
          <w:p>
            <w:pPr>
              <w:spacing w:line="360" w:lineRule="auto"/>
              <w:ind w:firstLine="411" w:firstLineChars="196"/>
              <w:rPr>
                <w:b/>
                <w:color w:val="auto"/>
                <w:sz w:val="21"/>
                <w:szCs w:val="21"/>
                <w:highlight w:val="none"/>
              </w:rPr>
            </w:pPr>
            <w:r>
              <w:rPr>
                <w:color w:val="auto"/>
                <w:sz w:val="21"/>
                <w:szCs w:val="21"/>
                <w:highlight w:val="none"/>
              </w:rPr>
              <w:t>本项目纳污水体为尧塘河，引用《</w:t>
            </w:r>
            <w:r>
              <w:rPr>
                <w:rFonts w:hint="eastAsia"/>
                <w:color w:val="auto"/>
                <w:sz w:val="21"/>
                <w:szCs w:val="21"/>
                <w:highlight w:val="none"/>
              </w:rPr>
              <w:t>常州金坛永富车辆配件厂</w:t>
            </w:r>
            <w:r>
              <w:rPr>
                <w:color w:val="auto"/>
                <w:sz w:val="21"/>
                <w:szCs w:val="21"/>
                <w:highlight w:val="none"/>
              </w:rPr>
              <w:t>环境影响报告》</w:t>
            </w:r>
            <w:r>
              <w:rPr>
                <w:rFonts w:hint="eastAsia"/>
                <w:color w:val="auto"/>
                <w:sz w:val="21"/>
                <w:szCs w:val="21"/>
                <w:highlight w:val="none"/>
              </w:rPr>
              <w:t>在尧塘河二污厂排污口上游500米处和下游2000米处PH值、化学需氧量、氨氮、总磷</w:t>
            </w:r>
            <w:r>
              <w:rPr>
                <w:rFonts w:hint="eastAsia" w:ascii="宋体" w:hAnsi="宋体"/>
                <w:color w:val="auto"/>
                <w:sz w:val="21"/>
                <w:szCs w:val="21"/>
                <w:highlight w:val="none"/>
              </w:rPr>
              <w:t>的历史数据</w:t>
            </w:r>
            <w:r>
              <w:rPr>
                <w:rFonts w:ascii="宋体" w:hAnsi="宋体"/>
                <w:color w:val="auto"/>
                <w:sz w:val="21"/>
                <w:szCs w:val="21"/>
                <w:highlight w:val="none"/>
              </w:rPr>
              <w:t>，采</w:t>
            </w:r>
            <w:r>
              <w:rPr>
                <w:color w:val="auto"/>
                <w:sz w:val="21"/>
                <w:szCs w:val="21"/>
                <w:highlight w:val="none"/>
              </w:rPr>
              <w:t>样时间为2021年07月08日~07月10日，检测报告编号“JCH20210272”，监测数据详见表3-4：</w:t>
            </w:r>
          </w:p>
          <w:p>
            <w:pPr>
              <w:adjustRightInd w:val="0"/>
              <w:snapToGrid w:val="0"/>
              <w:jc w:val="center"/>
              <w:rPr>
                <w:b/>
                <w:color w:val="auto"/>
                <w:sz w:val="21"/>
                <w:szCs w:val="21"/>
                <w:highlight w:val="none"/>
              </w:rPr>
            </w:pPr>
            <w:r>
              <w:rPr>
                <w:b/>
                <w:color w:val="auto"/>
                <w:sz w:val="21"/>
                <w:szCs w:val="21"/>
                <w:highlight w:val="none"/>
              </w:rPr>
              <w:t>表3-4</w:t>
            </w:r>
            <w:r>
              <w:rPr>
                <w:rFonts w:hint="eastAsia"/>
                <w:b/>
                <w:color w:val="auto"/>
                <w:sz w:val="21"/>
                <w:szCs w:val="21"/>
                <w:highlight w:val="none"/>
                <w:lang w:val="en-US" w:eastAsia="zh-CN"/>
              </w:rPr>
              <w:t xml:space="preserve"> </w:t>
            </w:r>
            <w:r>
              <w:rPr>
                <w:b/>
                <w:color w:val="auto"/>
                <w:sz w:val="21"/>
                <w:szCs w:val="21"/>
                <w:highlight w:val="none"/>
              </w:rPr>
              <w:t>水质监测结果      单位：mg/L，pH无量纲</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0" w:type="dxa"/>
                <w:bottom w:w="0" w:type="dxa"/>
                <w:right w:w="0" w:type="dxa"/>
              </w:tblCellMar>
            </w:tblPr>
            <w:tblGrid>
              <w:gridCol w:w="836"/>
              <w:gridCol w:w="1083"/>
              <w:gridCol w:w="722"/>
              <w:gridCol w:w="761"/>
              <w:gridCol w:w="740"/>
              <w:gridCol w:w="783"/>
              <w:gridCol w:w="856"/>
              <w:gridCol w:w="845"/>
              <w:gridCol w:w="703"/>
              <w:gridCol w:w="642"/>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restart"/>
                  <w:tcBorders>
                    <w:top w:val="single" w:color="auto" w:sz="12" w:space="0"/>
                    <w:left w:val="nil"/>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采样地点</w:t>
                  </w:r>
                </w:p>
              </w:tc>
              <w:tc>
                <w:tcPr>
                  <w:tcW w:w="679" w:type="pct"/>
                  <w:vMerge w:val="restart"/>
                  <w:tcBorders>
                    <w:top w:val="single" w:color="auto" w:sz="12" w:space="0"/>
                    <w:left w:val="single" w:color="auto" w:sz="2" w:space="0"/>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检测项目</w:t>
                  </w:r>
                </w:p>
              </w:tc>
              <w:tc>
                <w:tcPr>
                  <w:tcW w:w="2952" w:type="pct"/>
                  <w:gridSpan w:val="6"/>
                  <w:tcBorders>
                    <w:top w:val="single" w:color="auto" w:sz="12" w:space="0"/>
                    <w:left w:val="single" w:color="auto" w:sz="2" w:space="0"/>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检测结果（mg/L）</w:t>
                  </w:r>
                </w:p>
              </w:tc>
              <w:tc>
                <w:tcPr>
                  <w:tcW w:w="441" w:type="pct"/>
                  <w:vMerge w:val="restart"/>
                  <w:tcBorders>
                    <w:top w:val="single" w:color="auto" w:sz="12" w:space="0"/>
                    <w:left w:val="single" w:color="auto" w:sz="2" w:space="0"/>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执行标准</w:t>
                  </w:r>
                </w:p>
              </w:tc>
              <w:tc>
                <w:tcPr>
                  <w:tcW w:w="402" w:type="pct"/>
                  <w:vMerge w:val="restart"/>
                  <w:tcBorders>
                    <w:top w:val="single" w:color="auto" w:sz="12" w:space="0"/>
                    <w:left w:val="single" w:color="auto" w:sz="2" w:space="0"/>
                    <w:bottom w:val="single" w:color="auto" w:sz="2" w:space="0"/>
                    <w:right w:val="nil"/>
                  </w:tcBorders>
                  <w:vAlign w:val="center"/>
                </w:tcPr>
                <w:p>
                  <w:pPr>
                    <w:rPr>
                      <w:b/>
                      <w:color w:val="auto"/>
                      <w:sz w:val="21"/>
                      <w:szCs w:val="21"/>
                      <w:highlight w:val="none"/>
                    </w:rPr>
                  </w:pPr>
                  <w:r>
                    <w:rPr>
                      <w:b/>
                      <w:color w:val="auto"/>
                      <w:sz w:val="21"/>
                      <w:szCs w:val="21"/>
                      <w:highlight w:val="none"/>
                    </w:rPr>
                    <w:t>是否达标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continue"/>
                  <w:tcBorders>
                    <w:top w:val="single" w:color="auto" w:sz="2" w:space="0"/>
                    <w:left w:val="nil"/>
                    <w:bottom w:val="single" w:color="auto" w:sz="2" w:space="0"/>
                    <w:right w:val="single" w:color="auto" w:sz="2" w:space="0"/>
                  </w:tcBorders>
                  <w:vAlign w:val="center"/>
                </w:tcPr>
                <w:p>
                  <w:pPr>
                    <w:jc w:val="center"/>
                    <w:rPr>
                      <w:b/>
                      <w:color w:val="auto"/>
                      <w:sz w:val="21"/>
                      <w:szCs w:val="21"/>
                      <w:highlight w:val="none"/>
                    </w:rPr>
                  </w:pPr>
                </w:p>
              </w:tc>
              <w:tc>
                <w:tcPr>
                  <w:tcW w:w="679" w:type="pct"/>
                  <w:vMerge w:val="continue"/>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p>
              </w:tc>
              <w:tc>
                <w:tcPr>
                  <w:tcW w:w="930" w:type="pct"/>
                  <w:gridSpan w:val="2"/>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采样日期</w:t>
                  </w:r>
                </w:p>
                <w:p>
                  <w:pPr>
                    <w:jc w:val="center"/>
                    <w:rPr>
                      <w:b/>
                      <w:color w:val="auto"/>
                      <w:sz w:val="21"/>
                      <w:szCs w:val="21"/>
                      <w:highlight w:val="none"/>
                    </w:rPr>
                  </w:pPr>
                  <w:r>
                    <w:rPr>
                      <w:b/>
                      <w:color w:val="auto"/>
                      <w:sz w:val="21"/>
                      <w:szCs w:val="21"/>
                      <w:highlight w:val="none"/>
                    </w:rPr>
                    <w:t>2021年7月8日</w:t>
                  </w:r>
                </w:p>
              </w:tc>
              <w:tc>
                <w:tcPr>
                  <w:tcW w:w="955" w:type="pct"/>
                  <w:gridSpan w:val="2"/>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采样日期</w:t>
                  </w:r>
                </w:p>
                <w:p>
                  <w:pPr>
                    <w:jc w:val="center"/>
                    <w:rPr>
                      <w:b/>
                      <w:color w:val="auto"/>
                      <w:sz w:val="21"/>
                      <w:szCs w:val="21"/>
                      <w:highlight w:val="none"/>
                    </w:rPr>
                  </w:pPr>
                  <w:r>
                    <w:rPr>
                      <w:b/>
                      <w:color w:val="auto"/>
                      <w:sz w:val="21"/>
                      <w:szCs w:val="21"/>
                      <w:highlight w:val="none"/>
                    </w:rPr>
                    <w:t>2021年7月9日</w:t>
                  </w:r>
                </w:p>
              </w:tc>
              <w:tc>
                <w:tcPr>
                  <w:tcW w:w="1066" w:type="pct"/>
                  <w:gridSpan w:val="2"/>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采样日期</w:t>
                  </w:r>
                </w:p>
                <w:p>
                  <w:pPr>
                    <w:jc w:val="center"/>
                    <w:rPr>
                      <w:b/>
                      <w:color w:val="auto"/>
                      <w:sz w:val="21"/>
                      <w:szCs w:val="21"/>
                      <w:highlight w:val="none"/>
                    </w:rPr>
                  </w:pPr>
                  <w:r>
                    <w:rPr>
                      <w:b/>
                      <w:color w:val="auto"/>
                      <w:sz w:val="21"/>
                      <w:szCs w:val="21"/>
                      <w:highlight w:val="none"/>
                    </w:rPr>
                    <w:t>2021年7月10日</w:t>
                  </w:r>
                </w:p>
              </w:tc>
              <w:tc>
                <w:tcPr>
                  <w:tcW w:w="441" w:type="pct"/>
                  <w:vMerge w:val="continue"/>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p>
              </w:tc>
              <w:tc>
                <w:tcPr>
                  <w:tcW w:w="402" w:type="pct"/>
                  <w:vMerge w:val="continue"/>
                  <w:tcBorders>
                    <w:top w:val="single" w:color="auto" w:sz="2" w:space="0"/>
                    <w:left w:val="single" w:color="auto" w:sz="2" w:space="0"/>
                    <w:bottom w:val="single" w:color="auto" w:sz="2" w:space="0"/>
                    <w:right w:val="nil"/>
                  </w:tcBorders>
                  <w:vAlign w:val="center"/>
                </w:tcPr>
                <w:p>
                  <w:pPr>
                    <w:jc w:val="center"/>
                    <w:rPr>
                      <w:b/>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continue"/>
                  <w:tcBorders>
                    <w:top w:val="single" w:color="auto" w:sz="2" w:space="0"/>
                    <w:left w:val="nil"/>
                    <w:bottom w:val="single" w:color="auto" w:sz="2" w:space="0"/>
                    <w:right w:val="single" w:color="auto" w:sz="2" w:space="0"/>
                  </w:tcBorders>
                  <w:vAlign w:val="center"/>
                </w:tcPr>
                <w:p>
                  <w:pPr>
                    <w:jc w:val="center"/>
                    <w:rPr>
                      <w:b/>
                      <w:color w:val="auto"/>
                      <w:sz w:val="21"/>
                      <w:szCs w:val="21"/>
                      <w:highlight w:val="none"/>
                    </w:rPr>
                  </w:pPr>
                </w:p>
              </w:tc>
              <w:tc>
                <w:tcPr>
                  <w:tcW w:w="679" w:type="pct"/>
                  <w:vMerge w:val="continue"/>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p>
              </w:tc>
              <w:tc>
                <w:tcPr>
                  <w:tcW w:w="453" w:type="pct"/>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第一次</w:t>
                  </w:r>
                </w:p>
              </w:tc>
              <w:tc>
                <w:tcPr>
                  <w:tcW w:w="477" w:type="pct"/>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第二次</w:t>
                  </w:r>
                </w:p>
              </w:tc>
              <w:tc>
                <w:tcPr>
                  <w:tcW w:w="464" w:type="pct"/>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第一次</w:t>
                  </w:r>
                </w:p>
              </w:tc>
              <w:tc>
                <w:tcPr>
                  <w:tcW w:w="491" w:type="pct"/>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第二次</w:t>
                  </w:r>
                </w:p>
              </w:tc>
              <w:tc>
                <w:tcPr>
                  <w:tcW w:w="537" w:type="pct"/>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第一次</w:t>
                  </w:r>
                </w:p>
              </w:tc>
              <w:tc>
                <w:tcPr>
                  <w:tcW w:w="528" w:type="pct"/>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r>
                    <w:rPr>
                      <w:b/>
                      <w:color w:val="auto"/>
                      <w:sz w:val="21"/>
                      <w:szCs w:val="21"/>
                      <w:highlight w:val="none"/>
                    </w:rPr>
                    <w:t>第二次</w:t>
                  </w:r>
                </w:p>
              </w:tc>
              <w:tc>
                <w:tcPr>
                  <w:tcW w:w="441" w:type="pct"/>
                  <w:vMerge w:val="continue"/>
                  <w:tcBorders>
                    <w:top w:val="single" w:color="auto" w:sz="2" w:space="0"/>
                    <w:left w:val="single" w:color="auto" w:sz="2" w:space="0"/>
                    <w:bottom w:val="single" w:color="auto" w:sz="2" w:space="0"/>
                    <w:right w:val="single" w:color="auto" w:sz="2" w:space="0"/>
                  </w:tcBorders>
                  <w:vAlign w:val="center"/>
                </w:tcPr>
                <w:p>
                  <w:pPr>
                    <w:jc w:val="center"/>
                    <w:rPr>
                      <w:b/>
                      <w:color w:val="auto"/>
                      <w:sz w:val="21"/>
                      <w:szCs w:val="21"/>
                      <w:highlight w:val="none"/>
                    </w:rPr>
                  </w:pPr>
                </w:p>
              </w:tc>
              <w:tc>
                <w:tcPr>
                  <w:tcW w:w="402" w:type="pct"/>
                  <w:vMerge w:val="continue"/>
                  <w:tcBorders>
                    <w:top w:val="single" w:color="auto" w:sz="2" w:space="0"/>
                    <w:left w:val="single" w:color="auto" w:sz="2" w:space="0"/>
                    <w:bottom w:val="single" w:color="auto" w:sz="2" w:space="0"/>
                    <w:right w:val="nil"/>
                  </w:tcBorders>
                  <w:vAlign w:val="center"/>
                </w:tcPr>
                <w:p>
                  <w:pPr>
                    <w:jc w:val="center"/>
                    <w:rPr>
                      <w:b/>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restart"/>
                  <w:tcBorders>
                    <w:top w:val="single" w:color="auto" w:sz="2" w:space="0"/>
                    <w:left w:val="nil"/>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尧塘河W1</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排口上游500m</w:t>
                  </w:r>
                </w:p>
              </w:tc>
              <w:tc>
                <w:tcPr>
                  <w:tcW w:w="679"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样品状态</w:t>
                  </w:r>
                </w:p>
              </w:tc>
              <w:tc>
                <w:tcPr>
                  <w:tcW w:w="453"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无色、无味、无浮油</w:t>
                  </w:r>
                </w:p>
              </w:tc>
              <w:tc>
                <w:tcPr>
                  <w:tcW w:w="47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无色、无味、无浮油</w:t>
                  </w:r>
                </w:p>
              </w:tc>
              <w:tc>
                <w:tcPr>
                  <w:tcW w:w="464"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无色、无味、无浮油</w:t>
                  </w:r>
                </w:p>
              </w:tc>
              <w:tc>
                <w:tcPr>
                  <w:tcW w:w="49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无色、无味、无浮油</w:t>
                  </w:r>
                </w:p>
              </w:tc>
              <w:tc>
                <w:tcPr>
                  <w:tcW w:w="53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无色、无味、无浮油</w:t>
                  </w:r>
                </w:p>
              </w:tc>
              <w:tc>
                <w:tcPr>
                  <w:tcW w:w="528"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无色、无味、无浮油</w:t>
                  </w:r>
                </w:p>
              </w:tc>
              <w:tc>
                <w:tcPr>
                  <w:tcW w:w="44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w:t>
                  </w:r>
                </w:p>
              </w:tc>
              <w:tc>
                <w:tcPr>
                  <w:tcW w:w="402" w:type="pct"/>
                  <w:tcBorders>
                    <w:top w:val="single" w:color="auto" w:sz="2" w:space="0"/>
                    <w:left w:val="single" w:color="auto" w:sz="2" w:space="0"/>
                    <w:bottom w:val="single" w:color="auto" w:sz="2" w:space="0"/>
                    <w:right w:val="nil"/>
                  </w:tcBorders>
                  <w:vAlign w:val="center"/>
                </w:tcPr>
                <w:p>
                  <w:pPr>
                    <w:jc w:val="center"/>
                    <w:rPr>
                      <w:color w:val="auto"/>
                      <w:sz w:val="21"/>
                      <w:szCs w:val="21"/>
                      <w:highlight w:val="none"/>
                    </w:rPr>
                  </w:pPr>
                  <w:r>
                    <w:rPr>
                      <w:color w:val="auto"/>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continue"/>
                  <w:tcBorders>
                    <w:top w:val="single" w:color="auto" w:sz="2" w:space="0"/>
                    <w:left w:val="nil"/>
                    <w:bottom w:val="single" w:color="auto" w:sz="2" w:space="0"/>
                    <w:right w:val="single" w:color="auto" w:sz="2" w:space="0"/>
                  </w:tcBorders>
                  <w:vAlign w:val="center"/>
                </w:tcPr>
                <w:p>
                  <w:pPr>
                    <w:jc w:val="center"/>
                    <w:rPr>
                      <w:color w:val="auto"/>
                      <w:sz w:val="21"/>
                      <w:szCs w:val="21"/>
                      <w:highlight w:val="none"/>
                    </w:rPr>
                  </w:pPr>
                </w:p>
              </w:tc>
              <w:tc>
                <w:tcPr>
                  <w:tcW w:w="679"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pH值（无量纲）</w:t>
                  </w:r>
                </w:p>
              </w:tc>
              <w:tc>
                <w:tcPr>
                  <w:tcW w:w="453"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7.63</w:t>
                  </w:r>
                </w:p>
              </w:tc>
              <w:tc>
                <w:tcPr>
                  <w:tcW w:w="47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7.71</w:t>
                  </w:r>
                </w:p>
              </w:tc>
              <w:tc>
                <w:tcPr>
                  <w:tcW w:w="464"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7.63</w:t>
                  </w:r>
                </w:p>
              </w:tc>
              <w:tc>
                <w:tcPr>
                  <w:tcW w:w="49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6.73</w:t>
                  </w:r>
                </w:p>
              </w:tc>
              <w:tc>
                <w:tcPr>
                  <w:tcW w:w="53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7.64</w:t>
                  </w:r>
                </w:p>
              </w:tc>
              <w:tc>
                <w:tcPr>
                  <w:tcW w:w="528"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7.73</w:t>
                  </w:r>
                </w:p>
              </w:tc>
              <w:tc>
                <w:tcPr>
                  <w:tcW w:w="44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6~9</w:t>
                  </w:r>
                </w:p>
              </w:tc>
              <w:tc>
                <w:tcPr>
                  <w:tcW w:w="402" w:type="pct"/>
                  <w:tcBorders>
                    <w:top w:val="single" w:color="auto" w:sz="2" w:space="0"/>
                    <w:left w:val="single" w:color="auto" w:sz="2" w:space="0"/>
                    <w:bottom w:val="single" w:color="auto" w:sz="2" w:space="0"/>
                    <w:right w:val="nil"/>
                  </w:tcBorders>
                  <w:vAlign w:val="center"/>
                </w:tcPr>
                <w:p>
                  <w:pPr>
                    <w:jc w:val="center"/>
                    <w:rPr>
                      <w:color w:val="auto"/>
                      <w:sz w:val="21"/>
                      <w:szCs w:val="21"/>
                      <w:highlight w:val="none"/>
                    </w:rPr>
                  </w:pPr>
                  <w:r>
                    <w:rPr>
                      <w:color w:val="auto"/>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continue"/>
                  <w:tcBorders>
                    <w:top w:val="single" w:color="auto" w:sz="2" w:space="0"/>
                    <w:left w:val="nil"/>
                    <w:bottom w:val="single" w:color="auto" w:sz="2" w:space="0"/>
                    <w:right w:val="single" w:color="auto" w:sz="2" w:space="0"/>
                  </w:tcBorders>
                  <w:vAlign w:val="center"/>
                </w:tcPr>
                <w:p>
                  <w:pPr>
                    <w:jc w:val="center"/>
                    <w:rPr>
                      <w:color w:val="auto"/>
                      <w:sz w:val="21"/>
                      <w:szCs w:val="21"/>
                      <w:highlight w:val="none"/>
                    </w:rPr>
                  </w:pPr>
                </w:p>
              </w:tc>
              <w:tc>
                <w:tcPr>
                  <w:tcW w:w="679"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化学需氧量</w:t>
                  </w:r>
                </w:p>
              </w:tc>
              <w:tc>
                <w:tcPr>
                  <w:tcW w:w="453"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18</w:t>
                  </w:r>
                </w:p>
              </w:tc>
              <w:tc>
                <w:tcPr>
                  <w:tcW w:w="47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17</w:t>
                  </w:r>
                </w:p>
              </w:tc>
              <w:tc>
                <w:tcPr>
                  <w:tcW w:w="464"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19</w:t>
                  </w:r>
                </w:p>
              </w:tc>
              <w:tc>
                <w:tcPr>
                  <w:tcW w:w="49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18</w:t>
                  </w:r>
                </w:p>
              </w:tc>
              <w:tc>
                <w:tcPr>
                  <w:tcW w:w="53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16</w:t>
                  </w:r>
                </w:p>
              </w:tc>
              <w:tc>
                <w:tcPr>
                  <w:tcW w:w="528"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18</w:t>
                  </w:r>
                </w:p>
              </w:tc>
              <w:tc>
                <w:tcPr>
                  <w:tcW w:w="44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rFonts w:hint="eastAsia"/>
                      <w:color w:val="auto"/>
                      <w:sz w:val="21"/>
                      <w:szCs w:val="21"/>
                      <w:highlight w:val="none"/>
                    </w:rPr>
                    <w:t>20</w:t>
                  </w:r>
                </w:p>
              </w:tc>
              <w:tc>
                <w:tcPr>
                  <w:tcW w:w="402" w:type="pct"/>
                  <w:tcBorders>
                    <w:top w:val="single" w:color="auto" w:sz="2" w:space="0"/>
                    <w:left w:val="single" w:color="auto" w:sz="2" w:space="0"/>
                    <w:bottom w:val="single" w:color="auto" w:sz="2" w:space="0"/>
                    <w:right w:val="nil"/>
                  </w:tcBorders>
                  <w:vAlign w:val="center"/>
                </w:tcPr>
                <w:p>
                  <w:pPr>
                    <w:jc w:val="center"/>
                    <w:rPr>
                      <w:color w:val="auto"/>
                      <w:sz w:val="21"/>
                      <w:szCs w:val="21"/>
                      <w:highlight w:val="none"/>
                    </w:rPr>
                  </w:pPr>
                  <w:r>
                    <w:rPr>
                      <w:color w:val="auto"/>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continue"/>
                  <w:tcBorders>
                    <w:top w:val="single" w:color="auto" w:sz="2" w:space="0"/>
                    <w:left w:val="nil"/>
                    <w:bottom w:val="single" w:color="auto" w:sz="2" w:space="0"/>
                    <w:right w:val="single" w:color="auto" w:sz="2" w:space="0"/>
                  </w:tcBorders>
                  <w:vAlign w:val="center"/>
                </w:tcPr>
                <w:p>
                  <w:pPr>
                    <w:jc w:val="center"/>
                    <w:rPr>
                      <w:color w:val="auto"/>
                      <w:sz w:val="21"/>
                      <w:szCs w:val="21"/>
                      <w:highlight w:val="none"/>
                    </w:rPr>
                  </w:pPr>
                </w:p>
              </w:tc>
              <w:tc>
                <w:tcPr>
                  <w:tcW w:w="679"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氨氮</w:t>
                  </w:r>
                </w:p>
              </w:tc>
              <w:tc>
                <w:tcPr>
                  <w:tcW w:w="453"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0.630</w:t>
                  </w:r>
                </w:p>
              </w:tc>
              <w:tc>
                <w:tcPr>
                  <w:tcW w:w="47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0.633</w:t>
                  </w:r>
                </w:p>
              </w:tc>
              <w:tc>
                <w:tcPr>
                  <w:tcW w:w="464"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0.615</w:t>
                  </w:r>
                </w:p>
              </w:tc>
              <w:tc>
                <w:tcPr>
                  <w:tcW w:w="49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0.627</w:t>
                  </w:r>
                </w:p>
              </w:tc>
              <w:tc>
                <w:tcPr>
                  <w:tcW w:w="53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0.627</w:t>
                  </w:r>
                </w:p>
              </w:tc>
              <w:tc>
                <w:tcPr>
                  <w:tcW w:w="528"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0.630</w:t>
                  </w:r>
                </w:p>
              </w:tc>
              <w:tc>
                <w:tcPr>
                  <w:tcW w:w="44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w:t>
                  </w:r>
                  <w:r>
                    <w:rPr>
                      <w:rFonts w:hint="eastAsia"/>
                      <w:color w:val="auto"/>
                      <w:sz w:val="21"/>
                      <w:szCs w:val="21"/>
                      <w:highlight w:val="none"/>
                    </w:rPr>
                    <w:t>.0</w:t>
                  </w:r>
                </w:p>
              </w:tc>
              <w:tc>
                <w:tcPr>
                  <w:tcW w:w="402" w:type="pct"/>
                  <w:tcBorders>
                    <w:top w:val="single" w:color="auto" w:sz="2" w:space="0"/>
                    <w:left w:val="single" w:color="auto" w:sz="2" w:space="0"/>
                    <w:bottom w:val="single" w:color="auto" w:sz="2" w:space="0"/>
                    <w:right w:val="nil"/>
                  </w:tcBorders>
                  <w:vAlign w:val="center"/>
                </w:tcPr>
                <w:p>
                  <w:pPr>
                    <w:jc w:val="center"/>
                    <w:rPr>
                      <w:color w:val="auto"/>
                      <w:sz w:val="21"/>
                      <w:szCs w:val="21"/>
                      <w:highlight w:val="none"/>
                    </w:rPr>
                  </w:pPr>
                  <w:r>
                    <w:rPr>
                      <w:color w:val="auto"/>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continue"/>
                  <w:tcBorders>
                    <w:top w:val="single" w:color="auto" w:sz="2" w:space="0"/>
                    <w:left w:val="nil"/>
                    <w:bottom w:val="single" w:color="auto" w:sz="2" w:space="0"/>
                    <w:right w:val="single" w:color="auto" w:sz="2" w:space="0"/>
                  </w:tcBorders>
                  <w:vAlign w:val="center"/>
                </w:tcPr>
                <w:p>
                  <w:pPr>
                    <w:jc w:val="center"/>
                    <w:rPr>
                      <w:color w:val="auto"/>
                      <w:sz w:val="21"/>
                      <w:szCs w:val="21"/>
                      <w:highlight w:val="none"/>
                    </w:rPr>
                  </w:pPr>
                </w:p>
              </w:tc>
              <w:tc>
                <w:tcPr>
                  <w:tcW w:w="679"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总磷</w:t>
                  </w:r>
                </w:p>
              </w:tc>
              <w:tc>
                <w:tcPr>
                  <w:tcW w:w="453"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0.13</w:t>
                  </w:r>
                </w:p>
              </w:tc>
              <w:tc>
                <w:tcPr>
                  <w:tcW w:w="47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0.14</w:t>
                  </w:r>
                </w:p>
              </w:tc>
              <w:tc>
                <w:tcPr>
                  <w:tcW w:w="464"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0.13</w:t>
                  </w:r>
                </w:p>
              </w:tc>
              <w:tc>
                <w:tcPr>
                  <w:tcW w:w="49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0.13</w:t>
                  </w:r>
                </w:p>
              </w:tc>
              <w:tc>
                <w:tcPr>
                  <w:tcW w:w="53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0.12</w:t>
                  </w:r>
                </w:p>
              </w:tc>
              <w:tc>
                <w:tcPr>
                  <w:tcW w:w="528"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0.13</w:t>
                  </w:r>
                </w:p>
              </w:tc>
              <w:tc>
                <w:tcPr>
                  <w:tcW w:w="44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w:t>
                  </w:r>
                  <w:r>
                    <w:rPr>
                      <w:rFonts w:hint="eastAsia"/>
                      <w:color w:val="auto"/>
                      <w:sz w:val="21"/>
                      <w:szCs w:val="21"/>
                      <w:highlight w:val="none"/>
                    </w:rPr>
                    <w:t>2</w:t>
                  </w:r>
                </w:p>
              </w:tc>
              <w:tc>
                <w:tcPr>
                  <w:tcW w:w="402" w:type="pct"/>
                  <w:tcBorders>
                    <w:top w:val="single" w:color="auto" w:sz="2" w:space="0"/>
                    <w:left w:val="single" w:color="auto" w:sz="2" w:space="0"/>
                    <w:bottom w:val="single" w:color="auto" w:sz="2" w:space="0"/>
                    <w:right w:val="nil"/>
                  </w:tcBorders>
                  <w:vAlign w:val="center"/>
                </w:tcPr>
                <w:p>
                  <w:pPr>
                    <w:jc w:val="center"/>
                    <w:rPr>
                      <w:color w:val="auto"/>
                      <w:sz w:val="21"/>
                      <w:szCs w:val="21"/>
                      <w:highlight w:val="none"/>
                    </w:rPr>
                  </w:pPr>
                  <w:r>
                    <w:rPr>
                      <w:color w:val="auto"/>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restart"/>
                  <w:tcBorders>
                    <w:top w:val="single" w:color="auto" w:sz="2" w:space="0"/>
                    <w:left w:val="nil"/>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尧塘河W2</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排口下游2000m</w:t>
                  </w:r>
                </w:p>
              </w:tc>
              <w:tc>
                <w:tcPr>
                  <w:tcW w:w="679"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样品状态</w:t>
                  </w:r>
                </w:p>
              </w:tc>
              <w:tc>
                <w:tcPr>
                  <w:tcW w:w="453"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无色、无味、无浮油</w:t>
                  </w:r>
                </w:p>
              </w:tc>
              <w:tc>
                <w:tcPr>
                  <w:tcW w:w="47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无色、无味、无浮油</w:t>
                  </w:r>
                </w:p>
              </w:tc>
              <w:tc>
                <w:tcPr>
                  <w:tcW w:w="464"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无色、无味、无浮油</w:t>
                  </w:r>
                </w:p>
              </w:tc>
              <w:tc>
                <w:tcPr>
                  <w:tcW w:w="49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无色、无味、无浮油</w:t>
                  </w:r>
                </w:p>
              </w:tc>
              <w:tc>
                <w:tcPr>
                  <w:tcW w:w="53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无色、无味、无浮油</w:t>
                  </w:r>
                </w:p>
              </w:tc>
              <w:tc>
                <w:tcPr>
                  <w:tcW w:w="528"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无色、无味、无浮油</w:t>
                  </w:r>
                </w:p>
              </w:tc>
              <w:tc>
                <w:tcPr>
                  <w:tcW w:w="44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w:t>
                  </w:r>
                </w:p>
              </w:tc>
              <w:tc>
                <w:tcPr>
                  <w:tcW w:w="402" w:type="pct"/>
                  <w:tcBorders>
                    <w:top w:val="single" w:color="auto" w:sz="2" w:space="0"/>
                    <w:left w:val="single" w:color="auto" w:sz="2" w:space="0"/>
                    <w:bottom w:val="single" w:color="auto" w:sz="2" w:space="0"/>
                    <w:right w:val="nil"/>
                  </w:tcBorders>
                  <w:vAlign w:val="center"/>
                </w:tcPr>
                <w:p>
                  <w:pPr>
                    <w:jc w:val="center"/>
                    <w:rPr>
                      <w:color w:val="auto"/>
                      <w:sz w:val="21"/>
                      <w:szCs w:val="21"/>
                      <w:highlight w:val="none"/>
                    </w:rPr>
                  </w:pPr>
                  <w:r>
                    <w:rPr>
                      <w:color w:val="auto"/>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continue"/>
                  <w:tcBorders>
                    <w:top w:val="single" w:color="auto" w:sz="2" w:space="0"/>
                    <w:left w:val="nil"/>
                    <w:bottom w:val="single" w:color="auto" w:sz="2" w:space="0"/>
                    <w:right w:val="single" w:color="auto" w:sz="2" w:space="0"/>
                  </w:tcBorders>
                  <w:vAlign w:val="center"/>
                </w:tcPr>
                <w:p>
                  <w:pPr>
                    <w:jc w:val="center"/>
                    <w:rPr>
                      <w:color w:val="auto"/>
                      <w:sz w:val="21"/>
                      <w:szCs w:val="21"/>
                      <w:highlight w:val="none"/>
                    </w:rPr>
                  </w:pPr>
                </w:p>
              </w:tc>
              <w:tc>
                <w:tcPr>
                  <w:tcW w:w="679"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pH值（无量纲）</w:t>
                  </w:r>
                </w:p>
              </w:tc>
              <w:tc>
                <w:tcPr>
                  <w:tcW w:w="453"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7.62</w:t>
                  </w:r>
                </w:p>
              </w:tc>
              <w:tc>
                <w:tcPr>
                  <w:tcW w:w="47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7.74</w:t>
                  </w:r>
                </w:p>
              </w:tc>
              <w:tc>
                <w:tcPr>
                  <w:tcW w:w="464"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7.69</w:t>
                  </w:r>
                </w:p>
              </w:tc>
              <w:tc>
                <w:tcPr>
                  <w:tcW w:w="49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7.68</w:t>
                  </w:r>
                </w:p>
              </w:tc>
              <w:tc>
                <w:tcPr>
                  <w:tcW w:w="53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7.72</w:t>
                  </w:r>
                </w:p>
              </w:tc>
              <w:tc>
                <w:tcPr>
                  <w:tcW w:w="528"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7.72</w:t>
                  </w:r>
                </w:p>
              </w:tc>
              <w:tc>
                <w:tcPr>
                  <w:tcW w:w="44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6~9</w:t>
                  </w:r>
                </w:p>
              </w:tc>
              <w:tc>
                <w:tcPr>
                  <w:tcW w:w="402" w:type="pct"/>
                  <w:tcBorders>
                    <w:top w:val="single" w:color="auto" w:sz="2" w:space="0"/>
                    <w:left w:val="single" w:color="auto" w:sz="2" w:space="0"/>
                    <w:bottom w:val="single" w:color="auto" w:sz="2" w:space="0"/>
                    <w:right w:val="nil"/>
                  </w:tcBorders>
                  <w:vAlign w:val="center"/>
                </w:tcPr>
                <w:p>
                  <w:pPr>
                    <w:jc w:val="center"/>
                    <w:rPr>
                      <w:color w:val="auto"/>
                      <w:sz w:val="21"/>
                      <w:szCs w:val="21"/>
                      <w:highlight w:val="none"/>
                    </w:rPr>
                  </w:pPr>
                  <w:r>
                    <w:rPr>
                      <w:color w:val="auto"/>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continue"/>
                  <w:tcBorders>
                    <w:top w:val="single" w:color="auto" w:sz="2" w:space="0"/>
                    <w:left w:val="nil"/>
                    <w:bottom w:val="single" w:color="auto" w:sz="2" w:space="0"/>
                    <w:right w:val="single" w:color="auto" w:sz="2" w:space="0"/>
                  </w:tcBorders>
                  <w:vAlign w:val="center"/>
                </w:tcPr>
                <w:p>
                  <w:pPr>
                    <w:jc w:val="center"/>
                    <w:rPr>
                      <w:color w:val="auto"/>
                      <w:sz w:val="21"/>
                      <w:szCs w:val="21"/>
                      <w:highlight w:val="none"/>
                    </w:rPr>
                  </w:pPr>
                </w:p>
              </w:tc>
              <w:tc>
                <w:tcPr>
                  <w:tcW w:w="679"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化学需氧量</w:t>
                  </w:r>
                </w:p>
              </w:tc>
              <w:tc>
                <w:tcPr>
                  <w:tcW w:w="453"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18</w:t>
                  </w:r>
                </w:p>
              </w:tc>
              <w:tc>
                <w:tcPr>
                  <w:tcW w:w="47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19</w:t>
                  </w:r>
                </w:p>
              </w:tc>
              <w:tc>
                <w:tcPr>
                  <w:tcW w:w="464"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16</w:t>
                  </w:r>
                </w:p>
              </w:tc>
              <w:tc>
                <w:tcPr>
                  <w:tcW w:w="49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17</w:t>
                  </w:r>
                </w:p>
              </w:tc>
              <w:tc>
                <w:tcPr>
                  <w:tcW w:w="53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16</w:t>
                  </w:r>
                </w:p>
              </w:tc>
              <w:tc>
                <w:tcPr>
                  <w:tcW w:w="528"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17</w:t>
                  </w:r>
                </w:p>
              </w:tc>
              <w:tc>
                <w:tcPr>
                  <w:tcW w:w="44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rFonts w:hint="eastAsia"/>
                      <w:color w:val="auto"/>
                      <w:sz w:val="21"/>
                      <w:szCs w:val="21"/>
                      <w:highlight w:val="none"/>
                    </w:rPr>
                    <w:t>20</w:t>
                  </w:r>
                </w:p>
              </w:tc>
              <w:tc>
                <w:tcPr>
                  <w:tcW w:w="402" w:type="pct"/>
                  <w:tcBorders>
                    <w:top w:val="single" w:color="auto" w:sz="2" w:space="0"/>
                    <w:left w:val="single" w:color="auto" w:sz="2" w:space="0"/>
                    <w:bottom w:val="single" w:color="auto" w:sz="2" w:space="0"/>
                    <w:right w:val="nil"/>
                  </w:tcBorders>
                  <w:vAlign w:val="center"/>
                </w:tcPr>
                <w:p>
                  <w:pPr>
                    <w:jc w:val="center"/>
                    <w:rPr>
                      <w:color w:val="auto"/>
                      <w:sz w:val="21"/>
                      <w:szCs w:val="21"/>
                      <w:highlight w:val="none"/>
                    </w:rPr>
                  </w:pPr>
                  <w:r>
                    <w:rPr>
                      <w:color w:val="auto"/>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continue"/>
                  <w:tcBorders>
                    <w:top w:val="single" w:color="auto" w:sz="2" w:space="0"/>
                    <w:left w:val="nil"/>
                    <w:bottom w:val="single" w:color="auto" w:sz="2" w:space="0"/>
                    <w:right w:val="single" w:color="auto" w:sz="2" w:space="0"/>
                  </w:tcBorders>
                  <w:vAlign w:val="center"/>
                </w:tcPr>
                <w:p>
                  <w:pPr>
                    <w:jc w:val="center"/>
                    <w:rPr>
                      <w:color w:val="auto"/>
                      <w:sz w:val="21"/>
                      <w:szCs w:val="21"/>
                      <w:highlight w:val="none"/>
                    </w:rPr>
                  </w:pPr>
                </w:p>
              </w:tc>
              <w:tc>
                <w:tcPr>
                  <w:tcW w:w="679"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氨氮</w:t>
                  </w:r>
                </w:p>
              </w:tc>
              <w:tc>
                <w:tcPr>
                  <w:tcW w:w="453"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0.734</w:t>
                  </w:r>
                </w:p>
              </w:tc>
              <w:tc>
                <w:tcPr>
                  <w:tcW w:w="47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0.740</w:t>
                  </w:r>
                </w:p>
              </w:tc>
              <w:tc>
                <w:tcPr>
                  <w:tcW w:w="464"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0.764</w:t>
                  </w:r>
                </w:p>
              </w:tc>
              <w:tc>
                <w:tcPr>
                  <w:tcW w:w="49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0.740</w:t>
                  </w:r>
                </w:p>
              </w:tc>
              <w:tc>
                <w:tcPr>
                  <w:tcW w:w="537"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0.745</w:t>
                  </w:r>
                </w:p>
              </w:tc>
              <w:tc>
                <w:tcPr>
                  <w:tcW w:w="528"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0.739</w:t>
                  </w:r>
                </w:p>
              </w:tc>
              <w:tc>
                <w:tcPr>
                  <w:tcW w:w="441" w:type="pct"/>
                  <w:tcBorders>
                    <w:top w:val="single" w:color="auto" w:sz="2" w:space="0"/>
                    <w:left w:val="single" w:color="auto" w:sz="2" w:space="0"/>
                    <w:bottom w:val="single" w:color="auto" w:sz="2" w:space="0"/>
                    <w:right w:val="single" w:color="auto" w:sz="2" w:space="0"/>
                  </w:tcBorders>
                  <w:vAlign w:val="center"/>
                </w:tcPr>
                <w:p>
                  <w:pPr>
                    <w:jc w:val="center"/>
                    <w:rPr>
                      <w:color w:val="auto"/>
                      <w:sz w:val="21"/>
                      <w:szCs w:val="21"/>
                      <w:highlight w:val="none"/>
                    </w:rPr>
                  </w:pPr>
                  <w:r>
                    <w:rPr>
                      <w:color w:val="auto"/>
                      <w:sz w:val="21"/>
                      <w:szCs w:val="21"/>
                      <w:highlight w:val="none"/>
                    </w:rPr>
                    <w:t>1.</w:t>
                  </w:r>
                  <w:r>
                    <w:rPr>
                      <w:rFonts w:hint="eastAsia"/>
                      <w:color w:val="auto"/>
                      <w:sz w:val="21"/>
                      <w:szCs w:val="21"/>
                      <w:highlight w:val="none"/>
                    </w:rPr>
                    <w:t>0</w:t>
                  </w:r>
                </w:p>
              </w:tc>
              <w:tc>
                <w:tcPr>
                  <w:tcW w:w="402" w:type="pct"/>
                  <w:tcBorders>
                    <w:top w:val="single" w:color="auto" w:sz="2" w:space="0"/>
                    <w:left w:val="single" w:color="auto" w:sz="2" w:space="0"/>
                    <w:bottom w:val="single" w:color="auto" w:sz="2" w:space="0"/>
                    <w:right w:val="nil"/>
                  </w:tcBorders>
                  <w:vAlign w:val="center"/>
                </w:tcPr>
                <w:p>
                  <w:pPr>
                    <w:jc w:val="center"/>
                    <w:rPr>
                      <w:color w:val="auto"/>
                      <w:sz w:val="21"/>
                      <w:szCs w:val="21"/>
                      <w:highlight w:val="none"/>
                    </w:rPr>
                  </w:pPr>
                  <w:r>
                    <w:rPr>
                      <w:color w:val="auto"/>
                      <w:sz w:val="21"/>
                      <w:szCs w:val="21"/>
                      <w:highlight w:val="none"/>
                    </w:rPr>
                    <w:t>达标</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524" w:type="pct"/>
                  <w:vMerge w:val="continue"/>
                  <w:tcBorders>
                    <w:top w:val="single" w:color="auto" w:sz="2" w:space="0"/>
                    <w:left w:val="nil"/>
                    <w:bottom w:val="single" w:color="auto" w:sz="12" w:space="0"/>
                    <w:right w:val="single" w:color="auto" w:sz="2" w:space="0"/>
                  </w:tcBorders>
                  <w:vAlign w:val="center"/>
                </w:tcPr>
                <w:p>
                  <w:pPr>
                    <w:jc w:val="center"/>
                    <w:rPr>
                      <w:color w:val="auto"/>
                      <w:sz w:val="21"/>
                      <w:szCs w:val="21"/>
                      <w:highlight w:val="none"/>
                    </w:rPr>
                  </w:pPr>
                </w:p>
              </w:tc>
              <w:tc>
                <w:tcPr>
                  <w:tcW w:w="679" w:type="pct"/>
                  <w:tcBorders>
                    <w:top w:val="single" w:color="auto" w:sz="2" w:space="0"/>
                    <w:left w:val="single" w:color="auto" w:sz="2" w:space="0"/>
                    <w:bottom w:val="single" w:color="auto" w:sz="12" w:space="0"/>
                    <w:right w:val="single" w:color="auto" w:sz="2" w:space="0"/>
                  </w:tcBorders>
                  <w:vAlign w:val="center"/>
                </w:tcPr>
                <w:p>
                  <w:pPr>
                    <w:jc w:val="center"/>
                    <w:rPr>
                      <w:color w:val="auto"/>
                      <w:sz w:val="21"/>
                      <w:szCs w:val="21"/>
                      <w:highlight w:val="none"/>
                    </w:rPr>
                  </w:pPr>
                  <w:r>
                    <w:rPr>
                      <w:color w:val="auto"/>
                      <w:sz w:val="21"/>
                      <w:szCs w:val="21"/>
                      <w:highlight w:val="none"/>
                    </w:rPr>
                    <w:t>总磷</w:t>
                  </w:r>
                </w:p>
              </w:tc>
              <w:tc>
                <w:tcPr>
                  <w:tcW w:w="453" w:type="pct"/>
                  <w:tcBorders>
                    <w:top w:val="single" w:color="auto" w:sz="2" w:space="0"/>
                    <w:left w:val="single" w:color="auto" w:sz="2" w:space="0"/>
                    <w:bottom w:val="single" w:color="auto" w:sz="12" w:space="0"/>
                    <w:right w:val="single" w:color="auto" w:sz="2" w:space="0"/>
                  </w:tcBorders>
                  <w:vAlign w:val="center"/>
                </w:tcPr>
                <w:p>
                  <w:pPr>
                    <w:jc w:val="center"/>
                    <w:rPr>
                      <w:color w:val="auto"/>
                      <w:sz w:val="21"/>
                      <w:szCs w:val="21"/>
                      <w:highlight w:val="none"/>
                    </w:rPr>
                  </w:pPr>
                  <w:r>
                    <w:rPr>
                      <w:color w:val="auto"/>
                      <w:sz w:val="21"/>
                      <w:szCs w:val="21"/>
                      <w:highlight w:val="none"/>
                    </w:rPr>
                    <w:t>0.12</w:t>
                  </w:r>
                </w:p>
              </w:tc>
              <w:tc>
                <w:tcPr>
                  <w:tcW w:w="477" w:type="pct"/>
                  <w:tcBorders>
                    <w:top w:val="single" w:color="auto" w:sz="2" w:space="0"/>
                    <w:left w:val="single" w:color="auto" w:sz="2" w:space="0"/>
                    <w:bottom w:val="single" w:color="auto" w:sz="12" w:space="0"/>
                    <w:right w:val="single" w:color="auto" w:sz="2" w:space="0"/>
                  </w:tcBorders>
                  <w:vAlign w:val="center"/>
                </w:tcPr>
                <w:p>
                  <w:pPr>
                    <w:jc w:val="center"/>
                    <w:rPr>
                      <w:color w:val="auto"/>
                      <w:sz w:val="21"/>
                      <w:szCs w:val="21"/>
                      <w:highlight w:val="none"/>
                    </w:rPr>
                  </w:pPr>
                  <w:r>
                    <w:rPr>
                      <w:color w:val="auto"/>
                      <w:sz w:val="21"/>
                      <w:szCs w:val="21"/>
                      <w:highlight w:val="none"/>
                    </w:rPr>
                    <w:t>0.13</w:t>
                  </w:r>
                </w:p>
              </w:tc>
              <w:tc>
                <w:tcPr>
                  <w:tcW w:w="464" w:type="pct"/>
                  <w:tcBorders>
                    <w:top w:val="single" w:color="auto" w:sz="2" w:space="0"/>
                    <w:left w:val="single" w:color="auto" w:sz="2" w:space="0"/>
                    <w:bottom w:val="single" w:color="auto" w:sz="12" w:space="0"/>
                    <w:right w:val="single" w:color="auto" w:sz="2" w:space="0"/>
                  </w:tcBorders>
                  <w:vAlign w:val="center"/>
                </w:tcPr>
                <w:p>
                  <w:pPr>
                    <w:jc w:val="center"/>
                    <w:rPr>
                      <w:color w:val="auto"/>
                      <w:sz w:val="21"/>
                      <w:szCs w:val="21"/>
                      <w:highlight w:val="none"/>
                    </w:rPr>
                  </w:pPr>
                  <w:r>
                    <w:rPr>
                      <w:color w:val="auto"/>
                      <w:sz w:val="21"/>
                      <w:szCs w:val="21"/>
                      <w:highlight w:val="none"/>
                    </w:rPr>
                    <w:t>0.14</w:t>
                  </w:r>
                </w:p>
              </w:tc>
              <w:tc>
                <w:tcPr>
                  <w:tcW w:w="491" w:type="pct"/>
                  <w:tcBorders>
                    <w:top w:val="single" w:color="auto" w:sz="2" w:space="0"/>
                    <w:left w:val="single" w:color="auto" w:sz="2" w:space="0"/>
                    <w:bottom w:val="single" w:color="auto" w:sz="12" w:space="0"/>
                    <w:right w:val="single" w:color="auto" w:sz="2" w:space="0"/>
                  </w:tcBorders>
                  <w:vAlign w:val="center"/>
                </w:tcPr>
                <w:p>
                  <w:pPr>
                    <w:jc w:val="center"/>
                    <w:rPr>
                      <w:color w:val="auto"/>
                      <w:sz w:val="21"/>
                      <w:szCs w:val="21"/>
                      <w:highlight w:val="none"/>
                    </w:rPr>
                  </w:pPr>
                  <w:r>
                    <w:rPr>
                      <w:color w:val="auto"/>
                      <w:sz w:val="21"/>
                      <w:szCs w:val="21"/>
                      <w:highlight w:val="none"/>
                    </w:rPr>
                    <w:t>0.13</w:t>
                  </w:r>
                </w:p>
              </w:tc>
              <w:tc>
                <w:tcPr>
                  <w:tcW w:w="537" w:type="pct"/>
                  <w:tcBorders>
                    <w:top w:val="single" w:color="auto" w:sz="2" w:space="0"/>
                    <w:left w:val="single" w:color="auto" w:sz="2" w:space="0"/>
                    <w:bottom w:val="single" w:color="auto" w:sz="12" w:space="0"/>
                    <w:right w:val="single" w:color="auto" w:sz="2" w:space="0"/>
                  </w:tcBorders>
                  <w:vAlign w:val="center"/>
                </w:tcPr>
                <w:p>
                  <w:pPr>
                    <w:jc w:val="center"/>
                    <w:rPr>
                      <w:color w:val="auto"/>
                      <w:sz w:val="21"/>
                      <w:szCs w:val="21"/>
                      <w:highlight w:val="none"/>
                    </w:rPr>
                  </w:pPr>
                  <w:r>
                    <w:rPr>
                      <w:color w:val="auto"/>
                      <w:sz w:val="21"/>
                      <w:szCs w:val="21"/>
                      <w:highlight w:val="none"/>
                    </w:rPr>
                    <w:t>0.13</w:t>
                  </w:r>
                </w:p>
              </w:tc>
              <w:tc>
                <w:tcPr>
                  <w:tcW w:w="528" w:type="pct"/>
                  <w:tcBorders>
                    <w:top w:val="single" w:color="auto" w:sz="2" w:space="0"/>
                    <w:left w:val="single" w:color="auto" w:sz="2" w:space="0"/>
                    <w:bottom w:val="single" w:color="auto" w:sz="12" w:space="0"/>
                    <w:right w:val="single" w:color="auto" w:sz="2" w:space="0"/>
                  </w:tcBorders>
                  <w:vAlign w:val="center"/>
                </w:tcPr>
                <w:p>
                  <w:pPr>
                    <w:jc w:val="center"/>
                    <w:rPr>
                      <w:color w:val="auto"/>
                      <w:sz w:val="21"/>
                      <w:szCs w:val="21"/>
                      <w:highlight w:val="none"/>
                    </w:rPr>
                  </w:pPr>
                  <w:r>
                    <w:rPr>
                      <w:color w:val="auto"/>
                      <w:sz w:val="21"/>
                      <w:szCs w:val="21"/>
                      <w:highlight w:val="none"/>
                    </w:rPr>
                    <w:t>0.13</w:t>
                  </w:r>
                </w:p>
              </w:tc>
              <w:tc>
                <w:tcPr>
                  <w:tcW w:w="441" w:type="pct"/>
                  <w:tcBorders>
                    <w:top w:val="single" w:color="auto" w:sz="2" w:space="0"/>
                    <w:left w:val="single" w:color="auto" w:sz="2" w:space="0"/>
                    <w:bottom w:val="single" w:color="auto" w:sz="12" w:space="0"/>
                    <w:right w:val="single" w:color="auto" w:sz="2" w:space="0"/>
                  </w:tcBorders>
                  <w:vAlign w:val="center"/>
                </w:tcPr>
                <w:p>
                  <w:pPr>
                    <w:jc w:val="center"/>
                    <w:rPr>
                      <w:color w:val="auto"/>
                      <w:sz w:val="21"/>
                      <w:szCs w:val="21"/>
                      <w:highlight w:val="none"/>
                    </w:rPr>
                  </w:pPr>
                  <w:r>
                    <w:rPr>
                      <w:color w:val="auto"/>
                      <w:sz w:val="21"/>
                      <w:szCs w:val="21"/>
                      <w:highlight w:val="none"/>
                    </w:rPr>
                    <w:t>0.</w:t>
                  </w:r>
                  <w:r>
                    <w:rPr>
                      <w:rFonts w:hint="eastAsia"/>
                      <w:color w:val="auto"/>
                      <w:sz w:val="21"/>
                      <w:szCs w:val="21"/>
                      <w:highlight w:val="none"/>
                    </w:rPr>
                    <w:t>2</w:t>
                  </w:r>
                </w:p>
              </w:tc>
              <w:tc>
                <w:tcPr>
                  <w:tcW w:w="402" w:type="pct"/>
                  <w:tcBorders>
                    <w:top w:val="single" w:color="auto" w:sz="2" w:space="0"/>
                    <w:left w:val="single" w:color="auto" w:sz="2" w:space="0"/>
                    <w:bottom w:val="single" w:color="auto" w:sz="12" w:space="0"/>
                    <w:right w:val="nil"/>
                  </w:tcBorders>
                  <w:vAlign w:val="center"/>
                </w:tcPr>
                <w:p>
                  <w:pPr>
                    <w:jc w:val="center"/>
                    <w:rPr>
                      <w:color w:val="auto"/>
                      <w:sz w:val="21"/>
                      <w:szCs w:val="21"/>
                      <w:highlight w:val="none"/>
                    </w:rPr>
                  </w:pPr>
                  <w:r>
                    <w:rPr>
                      <w:color w:val="auto"/>
                      <w:sz w:val="21"/>
                      <w:szCs w:val="21"/>
                      <w:highlight w:val="none"/>
                    </w:rPr>
                    <w:t>达标</w:t>
                  </w: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color w:val="auto"/>
                <w:sz w:val="21"/>
                <w:szCs w:val="21"/>
                <w:highlight w:val="none"/>
              </w:rPr>
            </w:pPr>
            <w:r>
              <w:rPr>
                <w:color w:val="auto"/>
                <w:sz w:val="21"/>
                <w:szCs w:val="21"/>
                <w:highlight w:val="none"/>
              </w:rPr>
              <w:t>监测数据表明，尧塘河现状监测因子均能满足《地表水环境质量标准》（GB3838-2002）中</w:t>
            </w:r>
            <w:r>
              <w:rPr>
                <w:color w:val="auto"/>
                <w:sz w:val="21"/>
                <w:szCs w:val="21"/>
                <w:highlight w:val="none"/>
              </w:rPr>
              <w:fldChar w:fldCharType="begin"/>
            </w:r>
            <w:r>
              <w:rPr>
                <w:color w:val="auto"/>
                <w:sz w:val="21"/>
                <w:szCs w:val="21"/>
                <w:highlight w:val="none"/>
              </w:rPr>
              <w:instrText xml:space="preserve"> = 3 \* ROMAN \* MERGEFORMAT </w:instrText>
            </w:r>
            <w:r>
              <w:rPr>
                <w:color w:val="auto"/>
                <w:sz w:val="21"/>
                <w:szCs w:val="21"/>
                <w:highlight w:val="none"/>
              </w:rPr>
              <w:fldChar w:fldCharType="separate"/>
            </w:r>
            <w:r>
              <w:rPr>
                <w:color w:val="auto"/>
                <w:sz w:val="21"/>
                <w:szCs w:val="21"/>
                <w:highlight w:val="none"/>
              </w:rPr>
              <w:t>III</w:t>
            </w:r>
            <w:r>
              <w:rPr>
                <w:color w:val="auto"/>
                <w:sz w:val="21"/>
                <w:szCs w:val="21"/>
                <w:highlight w:val="none"/>
              </w:rPr>
              <w:fldChar w:fldCharType="end"/>
            </w:r>
            <w:r>
              <w:rPr>
                <w:color w:val="auto"/>
                <w:sz w:val="21"/>
                <w:szCs w:val="21"/>
                <w:highlight w:val="none"/>
              </w:rPr>
              <w:t>类标准。因此，项目地表水评价范围水环境水质良好，达</w:t>
            </w:r>
            <w:r>
              <w:rPr>
                <w:color w:val="auto"/>
                <w:sz w:val="21"/>
                <w:szCs w:val="21"/>
                <w:highlight w:val="none"/>
              </w:rPr>
              <w:fldChar w:fldCharType="begin"/>
            </w:r>
            <w:r>
              <w:rPr>
                <w:color w:val="auto"/>
                <w:sz w:val="21"/>
                <w:szCs w:val="21"/>
                <w:highlight w:val="none"/>
              </w:rPr>
              <w:instrText xml:space="preserve"> = 3 \* ROMAN \* MERGEFORMAT </w:instrText>
            </w:r>
            <w:r>
              <w:rPr>
                <w:color w:val="auto"/>
                <w:sz w:val="21"/>
                <w:szCs w:val="21"/>
                <w:highlight w:val="none"/>
              </w:rPr>
              <w:fldChar w:fldCharType="separate"/>
            </w:r>
            <w:r>
              <w:rPr>
                <w:color w:val="auto"/>
                <w:sz w:val="21"/>
                <w:szCs w:val="21"/>
                <w:highlight w:val="none"/>
              </w:rPr>
              <w:t>III</w:t>
            </w:r>
            <w:r>
              <w:rPr>
                <w:color w:val="auto"/>
                <w:sz w:val="21"/>
                <w:szCs w:val="21"/>
                <w:highlight w:val="none"/>
              </w:rPr>
              <w:fldChar w:fldCharType="end"/>
            </w:r>
            <w:r>
              <w:rPr>
                <w:color w:val="auto"/>
                <w:sz w:val="21"/>
                <w:szCs w:val="21"/>
                <w:highlight w:val="none"/>
              </w:rPr>
              <w:t>类功能区要求。</w:t>
            </w:r>
          </w:p>
          <w:p>
            <w:pPr>
              <w:spacing w:line="360" w:lineRule="auto"/>
              <w:ind w:firstLine="422" w:firstLineChars="200"/>
              <w:rPr>
                <w:b/>
                <w:bCs/>
                <w:color w:val="auto"/>
                <w:sz w:val="21"/>
                <w:szCs w:val="21"/>
                <w:highlight w:val="none"/>
              </w:rPr>
            </w:pPr>
            <w:r>
              <w:rPr>
                <w:b/>
                <w:bCs/>
                <w:color w:val="auto"/>
                <w:sz w:val="21"/>
                <w:szCs w:val="21"/>
                <w:highlight w:val="none"/>
              </w:rPr>
              <w:t>3、噪声</w:t>
            </w:r>
          </w:p>
          <w:p>
            <w:pPr>
              <w:adjustRightInd w:val="0"/>
              <w:snapToGrid w:val="0"/>
              <w:spacing w:line="360" w:lineRule="auto"/>
              <w:ind w:firstLine="420" w:firstLineChars="200"/>
              <w:rPr>
                <w:color w:val="auto"/>
                <w:sz w:val="21"/>
                <w:szCs w:val="21"/>
                <w:highlight w:val="none"/>
              </w:rPr>
            </w:pPr>
            <w:r>
              <w:rPr>
                <w:rFonts w:hint="eastAsia"/>
                <w:color w:val="auto"/>
                <w:sz w:val="21"/>
                <w:szCs w:val="21"/>
                <w:highlight w:val="none"/>
              </w:rPr>
              <w:t>江苏久诚检验检测</w:t>
            </w:r>
            <w:r>
              <w:rPr>
                <w:color w:val="auto"/>
                <w:sz w:val="21"/>
                <w:szCs w:val="21"/>
                <w:highlight w:val="none"/>
              </w:rPr>
              <w:t>有限公司</w:t>
            </w:r>
            <w:r>
              <w:rPr>
                <w:rFonts w:hint="eastAsia"/>
                <w:color w:val="auto"/>
                <w:sz w:val="21"/>
                <w:szCs w:val="21"/>
                <w:highlight w:val="none"/>
              </w:rPr>
              <w:t>于</w:t>
            </w:r>
            <w:r>
              <w:rPr>
                <w:color w:val="auto"/>
                <w:sz w:val="21"/>
                <w:szCs w:val="21"/>
                <w:highlight w:val="none"/>
              </w:rPr>
              <w:t>202</w:t>
            </w:r>
            <w:r>
              <w:rPr>
                <w:rFonts w:hint="eastAsia"/>
                <w:color w:val="auto"/>
                <w:sz w:val="21"/>
                <w:szCs w:val="21"/>
                <w:highlight w:val="none"/>
              </w:rPr>
              <w:t>2</w:t>
            </w:r>
            <w:r>
              <w:rPr>
                <w:color w:val="auto"/>
                <w:sz w:val="21"/>
                <w:szCs w:val="21"/>
                <w:highlight w:val="none"/>
              </w:rPr>
              <w:t>年</w:t>
            </w:r>
            <w:r>
              <w:rPr>
                <w:rFonts w:hint="eastAsia"/>
                <w:color w:val="auto"/>
                <w:sz w:val="21"/>
                <w:szCs w:val="21"/>
                <w:highlight w:val="none"/>
                <w:lang w:val="en-US" w:eastAsia="zh-CN"/>
              </w:rPr>
              <w:t>10</w:t>
            </w:r>
            <w:r>
              <w:rPr>
                <w:color w:val="auto"/>
                <w:sz w:val="21"/>
                <w:szCs w:val="21"/>
                <w:highlight w:val="none"/>
              </w:rPr>
              <w:t>月</w:t>
            </w:r>
            <w:r>
              <w:rPr>
                <w:rFonts w:hint="eastAsia"/>
                <w:color w:val="auto"/>
                <w:sz w:val="21"/>
                <w:szCs w:val="21"/>
                <w:highlight w:val="none"/>
                <w:lang w:val="en-US" w:eastAsia="zh-CN"/>
              </w:rPr>
              <w:t>22</w:t>
            </w:r>
            <w:r>
              <w:rPr>
                <w:color w:val="auto"/>
                <w:sz w:val="21"/>
                <w:szCs w:val="21"/>
                <w:highlight w:val="none"/>
              </w:rPr>
              <w:t>日-202</w:t>
            </w:r>
            <w:r>
              <w:rPr>
                <w:rFonts w:hint="eastAsia"/>
                <w:color w:val="auto"/>
                <w:sz w:val="21"/>
                <w:szCs w:val="21"/>
                <w:highlight w:val="none"/>
              </w:rPr>
              <w:t>2</w:t>
            </w:r>
            <w:r>
              <w:rPr>
                <w:color w:val="auto"/>
                <w:sz w:val="21"/>
                <w:szCs w:val="21"/>
                <w:highlight w:val="none"/>
              </w:rPr>
              <w:t>年</w:t>
            </w:r>
            <w:r>
              <w:rPr>
                <w:rFonts w:hint="eastAsia"/>
                <w:color w:val="auto"/>
                <w:sz w:val="21"/>
                <w:szCs w:val="21"/>
                <w:highlight w:val="none"/>
                <w:lang w:val="en-US" w:eastAsia="zh-CN"/>
              </w:rPr>
              <w:t>10</w:t>
            </w:r>
            <w:r>
              <w:rPr>
                <w:color w:val="auto"/>
                <w:sz w:val="21"/>
                <w:szCs w:val="21"/>
                <w:highlight w:val="none"/>
              </w:rPr>
              <w:t>月</w:t>
            </w:r>
            <w:r>
              <w:rPr>
                <w:rFonts w:hint="eastAsia"/>
                <w:color w:val="auto"/>
                <w:sz w:val="21"/>
                <w:szCs w:val="21"/>
                <w:highlight w:val="none"/>
                <w:lang w:val="en-US" w:eastAsia="zh-CN"/>
              </w:rPr>
              <w:t>24</w:t>
            </w:r>
            <w:r>
              <w:rPr>
                <w:color w:val="auto"/>
                <w:sz w:val="21"/>
                <w:szCs w:val="21"/>
                <w:highlight w:val="none"/>
              </w:rPr>
              <w:t>日对厂界</w:t>
            </w:r>
            <w:r>
              <w:rPr>
                <w:rFonts w:hint="eastAsia"/>
                <w:color w:val="auto"/>
                <w:sz w:val="21"/>
                <w:szCs w:val="21"/>
                <w:highlight w:val="none"/>
              </w:rPr>
              <w:t>噪声进行监测</w:t>
            </w:r>
            <w:r>
              <w:rPr>
                <w:color w:val="auto"/>
                <w:sz w:val="21"/>
                <w:szCs w:val="21"/>
                <w:highlight w:val="none"/>
              </w:rPr>
              <w:t>，</w:t>
            </w:r>
            <w:r>
              <w:rPr>
                <w:rFonts w:hint="eastAsia"/>
                <w:color w:val="auto"/>
                <w:sz w:val="21"/>
                <w:szCs w:val="21"/>
                <w:highlight w:val="none"/>
              </w:rPr>
              <w:t>项目厂界及周边敏感点噪声监测结果见表3-5</w:t>
            </w:r>
            <w:r>
              <w:rPr>
                <w:color w:val="auto"/>
                <w:sz w:val="21"/>
                <w:szCs w:val="21"/>
                <w:highlight w:val="none"/>
              </w:rPr>
              <w:t>。</w:t>
            </w:r>
          </w:p>
          <w:p>
            <w:pPr>
              <w:jc w:val="center"/>
              <w:rPr>
                <w:b/>
                <w:bCs/>
                <w:color w:val="auto"/>
                <w:sz w:val="21"/>
                <w:szCs w:val="21"/>
                <w:highlight w:val="none"/>
              </w:rPr>
            </w:pPr>
            <w:r>
              <w:rPr>
                <w:b/>
                <w:bCs/>
                <w:color w:val="auto"/>
                <w:sz w:val="21"/>
                <w:szCs w:val="21"/>
                <w:highlight w:val="none"/>
              </w:rPr>
              <w:t>表3-</w:t>
            </w:r>
            <w:r>
              <w:rPr>
                <w:rFonts w:hint="eastAsia"/>
                <w:b/>
                <w:bCs/>
                <w:color w:val="auto"/>
                <w:sz w:val="21"/>
                <w:szCs w:val="21"/>
                <w:highlight w:val="none"/>
              </w:rPr>
              <w:t>5</w:t>
            </w:r>
            <w:r>
              <w:rPr>
                <w:rFonts w:hint="eastAsia"/>
                <w:b/>
                <w:bCs/>
                <w:color w:val="auto"/>
                <w:sz w:val="21"/>
                <w:szCs w:val="21"/>
                <w:highlight w:val="none"/>
                <w:lang w:val="en-US" w:eastAsia="zh-CN"/>
              </w:rPr>
              <w:t xml:space="preserve"> </w:t>
            </w:r>
            <w:r>
              <w:rPr>
                <w:b/>
                <w:bCs/>
                <w:color w:val="auto"/>
                <w:sz w:val="21"/>
                <w:szCs w:val="21"/>
                <w:highlight w:val="none"/>
              </w:rPr>
              <w:t>噪声现状监测结果  单位：dB（A）</w:t>
            </w:r>
          </w:p>
          <w:tbl>
            <w:tblPr>
              <w:tblStyle w:val="25"/>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006"/>
              <w:gridCol w:w="1336"/>
              <w:gridCol w:w="1293"/>
              <w:gridCol w:w="1051"/>
              <w:gridCol w:w="108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55" w:type="pct"/>
                  <w:vAlign w:val="center"/>
                </w:tcPr>
                <w:p>
                  <w:pPr>
                    <w:jc w:val="center"/>
                    <w:rPr>
                      <w:b/>
                      <w:color w:val="auto"/>
                      <w:sz w:val="21"/>
                      <w:szCs w:val="21"/>
                      <w:highlight w:val="none"/>
                    </w:rPr>
                  </w:pPr>
                  <w:r>
                    <w:rPr>
                      <w:b/>
                      <w:color w:val="auto"/>
                      <w:sz w:val="21"/>
                      <w:szCs w:val="21"/>
                      <w:highlight w:val="none"/>
                    </w:rPr>
                    <w:t>监测时段</w:t>
                  </w:r>
                </w:p>
              </w:tc>
              <w:tc>
                <w:tcPr>
                  <w:tcW w:w="1258" w:type="pct"/>
                  <w:vAlign w:val="center"/>
                </w:tcPr>
                <w:p>
                  <w:pPr>
                    <w:jc w:val="center"/>
                    <w:rPr>
                      <w:b/>
                      <w:color w:val="auto"/>
                      <w:sz w:val="21"/>
                      <w:szCs w:val="21"/>
                      <w:highlight w:val="none"/>
                    </w:rPr>
                  </w:pPr>
                  <w:r>
                    <w:rPr>
                      <w:b/>
                      <w:color w:val="auto"/>
                      <w:sz w:val="21"/>
                      <w:szCs w:val="21"/>
                      <w:highlight w:val="none"/>
                    </w:rPr>
                    <w:t>监测点位</w:t>
                  </w:r>
                </w:p>
              </w:tc>
              <w:tc>
                <w:tcPr>
                  <w:tcW w:w="838" w:type="pct"/>
                  <w:vAlign w:val="center"/>
                </w:tcPr>
                <w:p>
                  <w:pPr>
                    <w:jc w:val="center"/>
                    <w:rPr>
                      <w:b/>
                      <w:color w:val="auto"/>
                      <w:sz w:val="21"/>
                      <w:szCs w:val="21"/>
                      <w:highlight w:val="none"/>
                    </w:rPr>
                  </w:pPr>
                  <w:r>
                    <w:rPr>
                      <w:b/>
                      <w:color w:val="auto"/>
                      <w:sz w:val="21"/>
                      <w:szCs w:val="21"/>
                      <w:highlight w:val="none"/>
                    </w:rPr>
                    <w:t>202</w:t>
                  </w:r>
                  <w:r>
                    <w:rPr>
                      <w:rFonts w:hint="eastAsia"/>
                      <w:b/>
                      <w:color w:val="auto"/>
                      <w:sz w:val="21"/>
                      <w:szCs w:val="21"/>
                      <w:highlight w:val="none"/>
                    </w:rPr>
                    <w:t>2</w:t>
                  </w:r>
                  <w:r>
                    <w:rPr>
                      <w:b/>
                      <w:color w:val="auto"/>
                      <w:sz w:val="21"/>
                      <w:szCs w:val="21"/>
                      <w:highlight w:val="none"/>
                    </w:rPr>
                    <w:t>年</w:t>
                  </w:r>
                  <w:r>
                    <w:rPr>
                      <w:rFonts w:hint="eastAsia"/>
                      <w:b/>
                      <w:color w:val="auto"/>
                      <w:sz w:val="21"/>
                      <w:szCs w:val="21"/>
                      <w:highlight w:val="none"/>
                      <w:lang w:val="en-US" w:eastAsia="zh-CN"/>
                    </w:rPr>
                    <w:t>10</w:t>
                  </w:r>
                  <w:r>
                    <w:rPr>
                      <w:b/>
                      <w:color w:val="auto"/>
                      <w:sz w:val="21"/>
                      <w:szCs w:val="21"/>
                      <w:highlight w:val="none"/>
                    </w:rPr>
                    <w:t>月</w:t>
                  </w:r>
                  <w:r>
                    <w:rPr>
                      <w:rFonts w:hint="eastAsia"/>
                      <w:b/>
                      <w:color w:val="auto"/>
                      <w:sz w:val="21"/>
                      <w:szCs w:val="21"/>
                      <w:highlight w:val="none"/>
                      <w:lang w:val="en-US" w:eastAsia="zh-CN"/>
                    </w:rPr>
                    <w:t>22</w:t>
                  </w:r>
                  <w:r>
                    <w:rPr>
                      <w:b/>
                      <w:color w:val="auto"/>
                      <w:sz w:val="21"/>
                      <w:szCs w:val="21"/>
                      <w:highlight w:val="none"/>
                    </w:rPr>
                    <w:t>日</w:t>
                  </w:r>
                </w:p>
              </w:tc>
              <w:tc>
                <w:tcPr>
                  <w:tcW w:w="811" w:type="pct"/>
                  <w:vAlign w:val="center"/>
                </w:tcPr>
                <w:p>
                  <w:pPr>
                    <w:jc w:val="center"/>
                    <w:rPr>
                      <w:b/>
                      <w:color w:val="auto"/>
                      <w:sz w:val="21"/>
                      <w:szCs w:val="21"/>
                      <w:highlight w:val="none"/>
                    </w:rPr>
                  </w:pPr>
                  <w:r>
                    <w:rPr>
                      <w:b/>
                      <w:color w:val="auto"/>
                      <w:sz w:val="21"/>
                      <w:szCs w:val="21"/>
                      <w:highlight w:val="none"/>
                    </w:rPr>
                    <w:t>202</w:t>
                  </w:r>
                  <w:r>
                    <w:rPr>
                      <w:rFonts w:hint="eastAsia"/>
                      <w:b/>
                      <w:color w:val="auto"/>
                      <w:sz w:val="21"/>
                      <w:szCs w:val="21"/>
                      <w:highlight w:val="none"/>
                    </w:rPr>
                    <w:t>2</w:t>
                  </w:r>
                  <w:r>
                    <w:rPr>
                      <w:b/>
                      <w:color w:val="auto"/>
                      <w:sz w:val="21"/>
                      <w:szCs w:val="21"/>
                      <w:highlight w:val="none"/>
                    </w:rPr>
                    <w:t>年</w:t>
                  </w:r>
                  <w:r>
                    <w:rPr>
                      <w:rFonts w:hint="eastAsia"/>
                      <w:b/>
                      <w:color w:val="auto"/>
                      <w:sz w:val="21"/>
                      <w:szCs w:val="21"/>
                      <w:highlight w:val="none"/>
                      <w:lang w:val="en-US" w:eastAsia="zh-CN"/>
                    </w:rPr>
                    <w:t>10</w:t>
                  </w:r>
                  <w:r>
                    <w:rPr>
                      <w:b/>
                      <w:color w:val="auto"/>
                      <w:sz w:val="21"/>
                      <w:szCs w:val="21"/>
                      <w:highlight w:val="none"/>
                    </w:rPr>
                    <w:t>月</w:t>
                  </w:r>
                  <w:r>
                    <w:rPr>
                      <w:rFonts w:hint="eastAsia"/>
                      <w:b/>
                      <w:color w:val="auto"/>
                      <w:sz w:val="21"/>
                      <w:szCs w:val="21"/>
                      <w:highlight w:val="none"/>
                      <w:lang w:val="en-US" w:eastAsia="zh-CN"/>
                    </w:rPr>
                    <w:t>23</w:t>
                  </w:r>
                  <w:r>
                    <w:rPr>
                      <w:b/>
                      <w:color w:val="auto"/>
                      <w:sz w:val="21"/>
                      <w:szCs w:val="21"/>
                      <w:highlight w:val="none"/>
                    </w:rPr>
                    <w:t>日</w:t>
                  </w:r>
                </w:p>
              </w:tc>
              <w:tc>
                <w:tcPr>
                  <w:tcW w:w="659" w:type="pct"/>
                  <w:vAlign w:val="center"/>
                </w:tcPr>
                <w:p>
                  <w:pPr>
                    <w:jc w:val="center"/>
                    <w:rPr>
                      <w:b/>
                      <w:color w:val="auto"/>
                      <w:sz w:val="21"/>
                      <w:szCs w:val="21"/>
                      <w:highlight w:val="none"/>
                    </w:rPr>
                  </w:pPr>
                  <w:r>
                    <w:rPr>
                      <w:b/>
                      <w:color w:val="auto"/>
                      <w:sz w:val="21"/>
                      <w:szCs w:val="21"/>
                      <w:highlight w:val="none"/>
                    </w:rPr>
                    <w:t>执行标准</w:t>
                  </w:r>
                </w:p>
              </w:tc>
              <w:tc>
                <w:tcPr>
                  <w:tcW w:w="677" w:type="pct"/>
                  <w:vAlign w:val="center"/>
                </w:tcPr>
                <w:p>
                  <w:pPr>
                    <w:jc w:val="center"/>
                    <w:rPr>
                      <w:b/>
                      <w:color w:val="auto"/>
                      <w:sz w:val="21"/>
                      <w:szCs w:val="21"/>
                      <w:highlight w:val="none"/>
                    </w:rPr>
                  </w:pPr>
                  <w:r>
                    <w:rPr>
                      <w:b/>
                      <w:color w:val="auto"/>
                      <w:sz w:val="21"/>
                      <w:szCs w:val="21"/>
                      <w:highlight w:val="none"/>
                    </w:rPr>
                    <w:t>是否超标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5" w:type="pct"/>
                  <w:vMerge w:val="restart"/>
                  <w:vAlign w:val="center"/>
                </w:tcPr>
                <w:p>
                  <w:pPr>
                    <w:jc w:val="center"/>
                    <w:rPr>
                      <w:color w:val="auto"/>
                      <w:sz w:val="21"/>
                      <w:szCs w:val="21"/>
                      <w:highlight w:val="none"/>
                    </w:rPr>
                  </w:pPr>
                  <w:r>
                    <w:rPr>
                      <w:color w:val="auto"/>
                      <w:sz w:val="21"/>
                      <w:szCs w:val="21"/>
                      <w:highlight w:val="none"/>
                    </w:rPr>
                    <w:t>昼间</w:t>
                  </w:r>
                </w:p>
              </w:tc>
              <w:tc>
                <w:tcPr>
                  <w:tcW w:w="1258" w:type="pct"/>
                  <w:vAlign w:val="center"/>
                </w:tcPr>
                <w:p>
                  <w:pPr>
                    <w:jc w:val="center"/>
                    <w:rPr>
                      <w:color w:val="auto"/>
                      <w:sz w:val="21"/>
                      <w:szCs w:val="21"/>
                      <w:highlight w:val="none"/>
                    </w:rPr>
                  </w:pPr>
                  <w:r>
                    <w:rPr>
                      <w:color w:val="auto"/>
                      <w:sz w:val="21"/>
                      <w:szCs w:val="21"/>
                      <w:highlight w:val="none"/>
                    </w:rPr>
                    <w:t>N1（东厂界）</w:t>
                  </w:r>
                </w:p>
              </w:tc>
              <w:tc>
                <w:tcPr>
                  <w:tcW w:w="838"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55</w:t>
                  </w:r>
                </w:p>
              </w:tc>
              <w:tc>
                <w:tcPr>
                  <w:tcW w:w="811"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46</w:t>
                  </w:r>
                </w:p>
              </w:tc>
              <w:tc>
                <w:tcPr>
                  <w:tcW w:w="659" w:type="pct"/>
                  <w:vMerge w:val="restart"/>
                  <w:vAlign w:val="center"/>
                </w:tcPr>
                <w:p>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60</w:t>
                  </w:r>
                </w:p>
              </w:tc>
              <w:tc>
                <w:tcPr>
                  <w:tcW w:w="677" w:type="pct"/>
                  <w:vAlign w:val="center"/>
                </w:tcPr>
                <w:p>
                  <w:pPr>
                    <w:jc w:val="center"/>
                    <w:rPr>
                      <w:color w:val="auto"/>
                      <w:sz w:val="21"/>
                      <w:szCs w:val="21"/>
                      <w:highlight w:val="none"/>
                    </w:rPr>
                  </w:pPr>
                  <w:r>
                    <w:rPr>
                      <w:color w:val="auto"/>
                      <w:sz w:val="21"/>
                      <w:szCs w:val="21"/>
                      <w:highlight w:val="none"/>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55" w:type="pct"/>
                  <w:vMerge w:val="continue"/>
                  <w:vAlign w:val="center"/>
                </w:tcPr>
                <w:p>
                  <w:pPr>
                    <w:jc w:val="center"/>
                    <w:rPr>
                      <w:color w:val="auto"/>
                      <w:sz w:val="21"/>
                      <w:szCs w:val="21"/>
                      <w:highlight w:val="none"/>
                    </w:rPr>
                  </w:pPr>
                </w:p>
              </w:tc>
              <w:tc>
                <w:tcPr>
                  <w:tcW w:w="1258" w:type="pct"/>
                  <w:vAlign w:val="center"/>
                </w:tcPr>
                <w:p>
                  <w:pPr>
                    <w:jc w:val="center"/>
                    <w:rPr>
                      <w:color w:val="auto"/>
                      <w:sz w:val="21"/>
                      <w:szCs w:val="21"/>
                      <w:highlight w:val="none"/>
                    </w:rPr>
                  </w:pPr>
                  <w:r>
                    <w:rPr>
                      <w:color w:val="auto"/>
                      <w:sz w:val="21"/>
                      <w:szCs w:val="21"/>
                      <w:highlight w:val="none"/>
                    </w:rPr>
                    <w:t>N2（南厂界）</w:t>
                  </w:r>
                </w:p>
              </w:tc>
              <w:tc>
                <w:tcPr>
                  <w:tcW w:w="838"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55</w:t>
                  </w:r>
                </w:p>
              </w:tc>
              <w:tc>
                <w:tcPr>
                  <w:tcW w:w="811"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46</w:t>
                  </w:r>
                </w:p>
              </w:tc>
              <w:tc>
                <w:tcPr>
                  <w:tcW w:w="659" w:type="pct"/>
                  <w:vMerge w:val="continue"/>
                  <w:vAlign w:val="center"/>
                </w:tcPr>
                <w:p>
                  <w:pPr>
                    <w:jc w:val="center"/>
                    <w:rPr>
                      <w:color w:val="auto"/>
                      <w:sz w:val="21"/>
                      <w:szCs w:val="21"/>
                      <w:highlight w:val="none"/>
                    </w:rPr>
                  </w:pPr>
                </w:p>
              </w:tc>
              <w:tc>
                <w:tcPr>
                  <w:tcW w:w="677" w:type="pct"/>
                  <w:vAlign w:val="center"/>
                </w:tcPr>
                <w:p>
                  <w:pPr>
                    <w:jc w:val="center"/>
                    <w:rPr>
                      <w:color w:val="auto"/>
                      <w:sz w:val="21"/>
                      <w:szCs w:val="21"/>
                      <w:highlight w:val="none"/>
                    </w:rPr>
                  </w:pPr>
                  <w:r>
                    <w:rPr>
                      <w:color w:val="auto"/>
                      <w:sz w:val="21"/>
                      <w:szCs w:val="21"/>
                      <w:highlight w:val="none"/>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90" w:hRule="atLeast"/>
              </w:trPr>
              <w:tc>
                <w:tcPr>
                  <w:tcW w:w="755" w:type="pct"/>
                  <w:vMerge w:val="continue"/>
                  <w:vAlign w:val="center"/>
                </w:tcPr>
                <w:p>
                  <w:pPr>
                    <w:jc w:val="center"/>
                    <w:rPr>
                      <w:color w:val="auto"/>
                      <w:sz w:val="21"/>
                      <w:szCs w:val="21"/>
                      <w:highlight w:val="none"/>
                    </w:rPr>
                  </w:pPr>
                </w:p>
              </w:tc>
              <w:tc>
                <w:tcPr>
                  <w:tcW w:w="1258" w:type="pct"/>
                  <w:vAlign w:val="center"/>
                </w:tcPr>
                <w:p>
                  <w:pPr>
                    <w:jc w:val="center"/>
                    <w:rPr>
                      <w:color w:val="auto"/>
                      <w:sz w:val="21"/>
                      <w:szCs w:val="21"/>
                      <w:highlight w:val="none"/>
                    </w:rPr>
                  </w:pPr>
                  <w:r>
                    <w:rPr>
                      <w:color w:val="auto"/>
                      <w:sz w:val="21"/>
                      <w:szCs w:val="21"/>
                      <w:highlight w:val="none"/>
                    </w:rPr>
                    <w:t>N3（西厂界）</w:t>
                  </w:r>
                </w:p>
              </w:tc>
              <w:tc>
                <w:tcPr>
                  <w:tcW w:w="838"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54</w:t>
                  </w:r>
                </w:p>
              </w:tc>
              <w:tc>
                <w:tcPr>
                  <w:tcW w:w="811"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44</w:t>
                  </w:r>
                </w:p>
              </w:tc>
              <w:tc>
                <w:tcPr>
                  <w:tcW w:w="659" w:type="pct"/>
                  <w:vMerge w:val="continue"/>
                  <w:vAlign w:val="center"/>
                </w:tcPr>
                <w:p>
                  <w:pPr>
                    <w:jc w:val="center"/>
                    <w:rPr>
                      <w:color w:val="auto"/>
                      <w:sz w:val="21"/>
                      <w:szCs w:val="21"/>
                      <w:highlight w:val="none"/>
                    </w:rPr>
                  </w:pPr>
                </w:p>
              </w:tc>
              <w:tc>
                <w:tcPr>
                  <w:tcW w:w="677" w:type="pct"/>
                  <w:vAlign w:val="center"/>
                </w:tcPr>
                <w:p>
                  <w:pPr>
                    <w:jc w:val="center"/>
                    <w:rPr>
                      <w:color w:val="auto"/>
                      <w:sz w:val="21"/>
                      <w:szCs w:val="21"/>
                      <w:highlight w:val="none"/>
                    </w:rPr>
                  </w:pPr>
                  <w:r>
                    <w:rPr>
                      <w:color w:val="auto"/>
                      <w:sz w:val="21"/>
                      <w:szCs w:val="21"/>
                      <w:highlight w:val="none"/>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55" w:type="pct"/>
                  <w:vMerge w:val="continue"/>
                  <w:vAlign w:val="center"/>
                </w:tcPr>
                <w:p>
                  <w:pPr>
                    <w:jc w:val="center"/>
                    <w:rPr>
                      <w:color w:val="auto"/>
                      <w:sz w:val="21"/>
                      <w:szCs w:val="21"/>
                      <w:highlight w:val="none"/>
                    </w:rPr>
                  </w:pPr>
                </w:p>
              </w:tc>
              <w:tc>
                <w:tcPr>
                  <w:tcW w:w="1258" w:type="pct"/>
                  <w:vAlign w:val="center"/>
                </w:tcPr>
                <w:p>
                  <w:pPr>
                    <w:jc w:val="center"/>
                    <w:rPr>
                      <w:color w:val="auto"/>
                      <w:sz w:val="21"/>
                      <w:szCs w:val="21"/>
                      <w:highlight w:val="none"/>
                    </w:rPr>
                  </w:pPr>
                  <w:r>
                    <w:rPr>
                      <w:color w:val="auto"/>
                      <w:sz w:val="21"/>
                      <w:szCs w:val="21"/>
                      <w:highlight w:val="none"/>
                    </w:rPr>
                    <w:t>N4（北厂界）</w:t>
                  </w:r>
                </w:p>
              </w:tc>
              <w:tc>
                <w:tcPr>
                  <w:tcW w:w="838"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55</w:t>
                  </w:r>
                </w:p>
              </w:tc>
              <w:tc>
                <w:tcPr>
                  <w:tcW w:w="811"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45</w:t>
                  </w:r>
                </w:p>
              </w:tc>
              <w:tc>
                <w:tcPr>
                  <w:tcW w:w="659" w:type="pct"/>
                  <w:vMerge w:val="continue"/>
                  <w:vAlign w:val="center"/>
                </w:tcPr>
                <w:p>
                  <w:pPr>
                    <w:jc w:val="center"/>
                    <w:rPr>
                      <w:color w:val="auto"/>
                      <w:sz w:val="21"/>
                      <w:szCs w:val="21"/>
                      <w:highlight w:val="none"/>
                    </w:rPr>
                  </w:pPr>
                </w:p>
              </w:tc>
              <w:tc>
                <w:tcPr>
                  <w:tcW w:w="677" w:type="pct"/>
                  <w:vAlign w:val="center"/>
                </w:tcPr>
                <w:p>
                  <w:pPr>
                    <w:jc w:val="center"/>
                    <w:rPr>
                      <w:color w:val="auto"/>
                      <w:sz w:val="21"/>
                      <w:szCs w:val="21"/>
                      <w:highlight w:val="none"/>
                    </w:rPr>
                  </w:pPr>
                  <w:r>
                    <w:rPr>
                      <w:color w:val="auto"/>
                      <w:sz w:val="21"/>
                      <w:szCs w:val="21"/>
                      <w:highlight w:val="none"/>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55" w:type="pct"/>
                  <w:vAlign w:val="center"/>
                </w:tcPr>
                <w:p>
                  <w:pPr>
                    <w:jc w:val="center"/>
                    <w:rPr>
                      <w:b/>
                      <w:color w:val="auto"/>
                      <w:sz w:val="21"/>
                      <w:szCs w:val="21"/>
                      <w:highlight w:val="none"/>
                    </w:rPr>
                  </w:pPr>
                  <w:r>
                    <w:rPr>
                      <w:b/>
                      <w:color w:val="auto"/>
                      <w:sz w:val="21"/>
                      <w:szCs w:val="21"/>
                      <w:highlight w:val="none"/>
                    </w:rPr>
                    <w:t>监测时段</w:t>
                  </w:r>
                </w:p>
              </w:tc>
              <w:tc>
                <w:tcPr>
                  <w:tcW w:w="1258" w:type="pct"/>
                  <w:vAlign w:val="center"/>
                </w:tcPr>
                <w:p>
                  <w:pPr>
                    <w:jc w:val="center"/>
                    <w:rPr>
                      <w:b/>
                      <w:color w:val="auto"/>
                      <w:sz w:val="21"/>
                      <w:szCs w:val="21"/>
                      <w:highlight w:val="none"/>
                    </w:rPr>
                  </w:pPr>
                  <w:r>
                    <w:rPr>
                      <w:b/>
                      <w:color w:val="auto"/>
                      <w:sz w:val="21"/>
                      <w:szCs w:val="21"/>
                      <w:highlight w:val="none"/>
                    </w:rPr>
                    <w:t>监测点位</w:t>
                  </w:r>
                </w:p>
              </w:tc>
              <w:tc>
                <w:tcPr>
                  <w:tcW w:w="838" w:type="pct"/>
                  <w:vAlign w:val="center"/>
                </w:tcPr>
                <w:p>
                  <w:pPr>
                    <w:jc w:val="center"/>
                    <w:rPr>
                      <w:b/>
                      <w:color w:val="auto"/>
                      <w:sz w:val="21"/>
                      <w:szCs w:val="21"/>
                      <w:highlight w:val="none"/>
                    </w:rPr>
                  </w:pPr>
                  <w:r>
                    <w:rPr>
                      <w:b/>
                      <w:color w:val="auto"/>
                      <w:sz w:val="21"/>
                      <w:szCs w:val="21"/>
                      <w:highlight w:val="none"/>
                    </w:rPr>
                    <w:t>202</w:t>
                  </w:r>
                  <w:r>
                    <w:rPr>
                      <w:rFonts w:hint="eastAsia"/>
                      <w:b/>
                      <w:color w:val="auto"/>
                      <w:sz w:val="21"/>
                      <w:szCs w:val="21"/>
                      <w:highlight w:val="none"/>
                    </w:rPr>
                    <w:t>2</w:t>
                  </w:r>
                  <w:r>
                    <w:rPr>
                      <w:b/>
                      <w:color w:val="auto"/>
                      <w:sz w:val="21"/>
                      <w:szCs w:val="21"/>
                      <w:highlight w:val="none"/>
                    </w:rPr>
                    <w:t>年</w:t>
                  </w:r>
                  <w:r>
                    <w:rPr>
                      <w:rFonts w:hint="eastAsia"/>
                      <w:b/>
                      <w:color w:val="auto"/>
                      <w:sz w:val="21"/>
                      <w:szCs w:val="21"/>
                      <w:highlight w:val="none"/>
                      <w:lang w:val="en-US" w:eastAsia="zh-CN"/>
                    </w:rPr>
                    <w:t>10</w:t>
                  </w:r>
                  <w:r>
                    <w:rPr>
                      <w:b/>
                      <w:color w:val="auto"/>
                      <w:sz w:val="21"/>
                      <w:szCs w:val="21"/>
                      <w:highlight w:val="none"/>
                    </w:rPr>
                    <w:t>月</w:t>
                  </w:r>
                  <w:r>
                    <w:rPr>
                      <w:rFonts w:hint="eastAsia"/>
                      <w:b/>
                      <w:color w:val="auto"/>
                      <w:sz w:val="21"/>
                      <w:szCs w:val="21"/>
                      <w:highlight w:val="none"/>
                    </w:rPr>
                    <w:t>2</w:t>
                  </w:r>
                  <w:r>
                    <w:rPr>
                      <w:rFonts w:hint="eastAsia"/>
                      <w:b/>
                      <w:color w:val="auto"/>
                      <w:sz w:val="21"/>
                      <w:szCs w:val="21"/>
                      <w:highlight w:val="none"/>
                      <w:lang w:val="en-US" w:eastAsia="zh-CN"/>
                    </w:rPr>
                    <w:t>3</w:t>
                  </w:r>
                  <w:r>
                    <w:rPr>
                      <w:b/>
                      <w:color w:val="auto"/>
                      <w:sz w:val="21"/>
                      <w:szCs w:val="21"/>
                      <w:highlight w:val="none"/>
                    </w:rPr>
                    <w:t>日</w:t>
                  </w:r>
                </w:p>
              </w:tc>
              <w:tc>
                <w:tcPr>
                  <w:tcW w:w="811" w:type="pct"/>
                  <w:vAlign w:val="center"/>
                </w:tcPr>
                <w:p>
                  <w:pPr>
                    <w:jc w:val="center"/>
                    <w:rPr>
                      <w:b/>
                      <w:color w:val="auto"/>
                      <w:sz w:val="21"/>
                      <w:szCs w:val="21"/>
                      <w:highlight w:val="none"/>
                    </w:rPr>
                  </w:pPr>
                  <w:r>
                    <w:rPr>
                      <w:b/>
                      <w:color w:val="auto"/>
                      <w:sz w:val="21"/>
                      <w:szCs w:val="21"/>
                      <w:highlight w:val="none"/>
                    </w:rPr>
                    <w:t>202</w:t>
                  </w:r>
                  <w:r>
                    <w:rPr>
                      <w:rFonts w:hint="eastAsia"/>
                      <w:b/>
                      <w:color w:val="auto"/>
                      <w:sz w:val="21"/>
                      <w:szCs w:val="21"/>
                      <w:highlight w:val="none"/>
                    </w:rPr>
                    <w:t>2</w:t>
                  </w:r>
                  <w:r>
                    <w:rPr>
                      <w:b/>
                      <w:color w:val="auto"/>
                      <w:sz w:val="21"/>
                      <w:szCs w:val="21"/>
                      <w:highlight w:val="none"/>
                    </w:rPr>
                    <w:t>年</w:t>
                  </w:r>
                  <w:r>
                    <w:rPr>
                      <w:rFonts w:hint="eastAsia"/>
                      <w:b/>
                      <w:color w:val="auto"/>
                      <w:sz w:val="21"/>
                      <w:szCs w:val="21"/>
                      <w:highlight w:val="none"/>
                      <w:lang w:val="en-US" w:eastAsia="zh-CN"/>
                    </w:rPr>
                    <w:t>10</w:t>
                  </w:r>
                  <w:r>
                    <w:rPr>
                      <w:b/>
                      <w:color w:val="auto"/>
                      <w:sz w:val="21"/>
                      <w:szCs w:val="21"/>
                      <w:highlight w:val="none"/>
                    </w:rPr>
                    <w:t>月</w:t>
                  </w:r>
                  <w:r>
                    <w:rPr>
                      <w:rFonts w:hint="eastAsia"/>
                      <w:b/>
                      <w:color w:val="auto"/>
                      <w:sz w:val="21"/>
                      <w:szCs w:val="21"/>
                      <w:highlight w:val="none"/>
                      <w:lang w:val="en-US" w:eastAsia="zh-CN"/>
                    </w:rPr>
                    <w:t>24</w:t>
                  </w:r>
                  <w:r>
                    <w:rPr>
                      <w:b/>
                      <w:color w:val="auto"/>
                      <w:sz w:val="21"/>
                      <w:szCs w:val="21"/>
                      <w:highlight w:val="none"/>
                    </w:rPr>
                    <w:t>日</w:t>
                  </w:r>
                </w:p>
              </w:tc>
              <w:tc>
                <w:tcPr>
                  <w:tcW w:w="659" w:type="pct"/>
                  <w:vAlign w:val="center"/>
                </w:tcPr>
                <w:p>
                  <w:pPr>
                    <w:jc w:val="center"/>
                    <w:rPr>
                      <w:b/>
                      <w:color w:val="auto"/>
                      <w:sz w:val="21"/>
                      <w:szCs w:val="21"/>
                      <w:highlight w:val="none"/>
                    </w:rPr>
                  </w:pPr>
                  <w:r>
                    <w:rPr>
                      <w:b/>
                      <w:color w:val="auto"/>
                      <w:sz w:val="21"/>
                      <w:szCs w:val="21"/>
                      <w:highlight w:val="none"/>
                    </w:rPr>
                    <w:t>执行标准</w:t>
                  </w:r>
                </w:p>
              </w:tc>
              <w:tc>
                <w:tcPr>
                  <w:tcW w:w="677" w:type="pct"/>
                  <w:vAlign w:val="center"/>
                </w:tcPr>
                <w:p>
                  <w:pPr>
                    <w:jc w:val="center"/>
                    <w:rPr>
                      <w:b/>
                      <w:color w:val="auto"/>
                      <w:sz w:val="21"/>
                      <w:szCs w:val="21"/>
                      <w:highlight w:val="none"/>
                    </w:rPr>
                  </w:pPr>
                  <w:r>
                    <w:rPr>
                      <w:b/>
                      <w:color w:val="auto"/>
                      <w:sz w:val="21"/>
                      <w:szCs w:val="21"/>
                      <w:highlight w:val="none"/>
                    </w:rPr>
                    <w:t>是否超标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55" w:type="pct"/>
                  <w:vMerge w:val="restart"/>
                  <w:vAlign w:val="center"/>
                </w:tcPr>
                <w:p>
                  <w:pPr>
                    <w:jc w:val="center"/>
                    <w:rPr>
                      <w:color w:val="auto"/>
                      <w:sz w:val="21"/>
                      <w:szCs w:val="21"/>
                      <w:highlight w:val="none"/>
                    </w:rPr>
                  </w:pPr>
                  <w:r>
                    <w:rPr>
                      <w:rFonts w:hint="eastAsia"/>
                      <w:color w:val="auto"/>
                      <w:sz w:val="21"/>
                      <w:szCs w:val="21"/>
                      <w:highlight w:val="none"/>
                    </w:rPr>
                    <w:t>夜间</w:t>
                  </w:r>
                </w:p>
              </w:tc>
              <w:tc>
                <w:tcPr>
                  <w:tcW w:w="1258" w:type="pct"/>
                  <w:vAlign w:val="center"/>
                </w:tcPr>
                <w:p>
                  <w:pPr>
                    <w:jc w:val="center"/>
                    <w:rPr>
                      <w:color w:val="auto"/>
                      <w:sz w:val="21"/>
                      <w:szCs w:val="21"/>
                      <w:highlight w:val="none"/>
                    </w:rPr>
                  </w:pPr>
                  <w:r>
                    <w:rPr>
                      <w:color w:val="auto"/>
                      <w:sz w:val="21"/>
                      <w:szCs w:val="21"/>
                      <w:highlight w:val="none"/>
                    </w:rPr>
                    <w:t>N1（东厂界）</w:t>
                  </w:r>
                </w:p>
              </w:tc>
              <w:tc>
                <w:tcPr>
                  <w:tcW w:w="838"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54</w:t>
                  </w:r>
                </w:p>
              </w:tc>
              <w:tc>
                <w:tcPr>
                  <w:tcW w:w="811"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44</w:t>
                  </w:r>
                </w:p>
              </w:tc>
              <w:tc>
                <w:tcPr>
                  <w:tcW w:w="659" w:type="pct"/>
                  <w:vMerge w:val="restart"/>
                  <w:vAlign w:val="center"/>
                </w:tcPr>
                <w:p>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50</w:t>
                  </w:r>
                </w:p>
              </w:tc>
              <w:tc>
                <w:tcPr>
                  <w:tcW w:w="677" w:type="pct"/>
                  <w:vAlign w:val="center"/>
                </w:tcPr>
                <w:p>
                  <w:pPr>
                    <w:jc w:val="center"/>
                    <w:rPr>
                      <w:color w:val="auto"/>
                      <w:sz w:val="21"/>
                      <w:szCs w:val="21"/>
                      <w:highlight w:val="none"/>
                    </w:rPr>
                  </w:pPr>
                  <w:r>
                    <w:rPr>
                      <w:color w:val="auto"/>
                      <w:sz w:val="21"/>
                      <w:szCs w:val="21"/>
                      <w:highlight w:val="none"/>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55" w:type="pct"/>
                  <w:vMerge w:val="continue"/>
                  <w:vAlign w:val="center"/>
                </w:tcPr>
                <w:p>
                  <w:pPr>
                    <w:jc w:val="center"/>
                    <w:rPr>
                      <w:color w:val="auto"/>
                      <w:sz w:val="21"/>
                      <w:szCs w:val="21"/>
                      <w:highlight w:val="none"/>
                    </w:rPr>
                  </w:pPr>
                </w:p>
              </w:tc>
              <w:tc>
                <w:tcPr>
                  <w:tcW w:w="1258" w:type="pct"/>
                  <w:vAlign w:val="center"/>
                </w:tcPr>
                <w:p>
                  <w:pPr>
                    <w:jc w:val="center"/>
                    <w:rPr>
                      <w:color w:val="auto"/>
                      <w:sz w:val="21"/>
                      <w:szCs w:val="21"/>
                      <w:highlight w:val="none"/>
                    </w:rPr>
                  </w:pPr>
                  <w:r>
                    <w:rPr>
                      <w:color w:val="auto"/>
                      <w:sz w:val="21"/>
                      <w:szCs w:val="21"/>
                      <w:highlight w:val="none"/>
                    </w:rPr>
                    <w:t>N2（南厂界）</w:t>
                  </w:r>
                </w:p>
              </w:tc>
              <w:tc>
                <w:tcPr>
                  <w:tcW w:w="838"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53</w:t>
                  </w:r>
                </w:p>
              </w:tc>
              <w:tc>
                <w:tcPr>
                  <w:tcW w:w="811"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44</w:t>
                  </w:r>
                </w:p>
              </w:tc>
              <w:tc>
                <w:tcPr>
                  <w:tcW w:w="659" w:type="pct"/>
                  <w:vMerge w:val="continue"/>
                  <w:vAlign w:val="center"/>
                </w:tcPr>
                <w:p>
                  <w:pPr>
                    <w:jc w:val="center"/>
                    <w:rPr>
                      <w:color w:val="auto"/>
                      <w:sz w:val="21"/>
                      <w:szCs w:val="21"/>
                      <w:highlight w:val="none"/>
                    </w:rPr>
                  </w:pPr>
                </w:p>
              </w:tc>
              <w:tc>
                <w:tcPr>
                  <w:tcW w:w="677" w:type="pct"/>
                  <w:vAlign w:val="center"/>
                </w:tcPr>
                <w:p>
                  <w:pPr>
                    <w:jc w:val="center"/>
                    <w:rPr>
                      <w:color w:val="auto"/>
                      <w:sz w:val="21"/>
                      <w:szCs w:val="21"/>
                      <w:highlight w:val="none"/>
                    </w:rPr>
                  </w:pPr>
                  <w:r>
                    <w:rPr>
                      <w:color w:val="auto"/>
                      <w:sz w:val="21"/>
                      <w:szCs w:val="21"/>
                      <w:highlight w:val="none"/>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55" w:type="pct"/>
                  <w:vMerge w:val="continue"/>
                  <w:vAlign w:val="center"/>
                </w:tcPr>
                <w:p>
                  <w:pPr>
                    <w:jc w:val="center"/>
                    <w:rPr>
                      <w:color w:val="auto"/>
                      <w:sz w:val="21"/>
                      <w:szCs w:val="21"/>
                      <w:highlight w:val="none"/>
                    </w:rPr>
                  </w:pPr>
                </w:p>
              </w:tc>
              <w:tc>
                <w:tcPr>
                  <w:tcW w:w="1258" w:type="pct"/>
                  <w:vAlign w:val="center"/>
                </w:tcPr>
                <w:p>
                  <w:pPr>
                    <w:jc w:val="center"/>
                    <w:rPr>
                      <w:color w:val="auto"/>
                      <w:sz w:val="21"/>
                      <w:szCs w:val="21"/>
                      <w:highlight w:val="none"/>
                    </w:rPr>
                  </w:pPr>
                  <w:r>
                    <w:rPr>
                      <w:color w:val="auto"/>
                      <w:sz w:val="21"/>
                      <w:szCs w:val="21"/>
                      <w:highlight w:val="none"/>
                    </w:rPr>
                    <w:t>N3（西厂界）</w:t>
                  </w:r>
                </w:p>
              </w:tc>
              <w:tc>
                <w:tcPr>
                  <w:tcW w:w="838"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55</w:t>
                  </w:r>
                </w:p>
              </w:tc>
              <w:tc>
                <w:tcPr>
                  <w:tcW w:w="811"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45</w:t>
                  </w:r>
                </w:p>
              </w:tc>
              <w:tc>
                <w:tcPr>
                  <w:tcW w:w="659" w:type="pct"/>
                  <w:vMerge w:val="continue"/>
                  <w:vAlign w:val="center"/>
                </w:tcPr>
                <w:p>
                  <w:pPr>
                    <w:jc w:val="center"/>
                    <w:rPr>
                      <w:color w:val="auto"/>
                      <w:sz w:val="21"/>
                      <w:szCs w:val="21"/>
                      <w:highlight w:val="none"/>
                    </w:rPr>
                  </w:pPr>
                </w:p>
              </w:tc>
              <w:tc>
                <w:tcPr>
                  <w:tcW w:w="677" w:type="pct"/>
                  <w:vAlign w:val="center"/>
                </w:tcPr>
                <w:p>
                  <w:pPr>
                    <w:jc w:val="center"/>
                    <w:rPr>
                      <w:color w:val="auto"/>
                      <w:sz w:val="21"/>
                      <w:szCs w:val="21"/>
                      <w:highlight w:val="none"/>
                    </w:rPr>
                  </w:pPr>
                  <w:r>
                    <w:rPr>
                      <w:color w:val="auto"/>
                      <w:sz w:val="21"/>
                      <w:szCs w:val="21"/>
                      <w:highlight w:val="none"/>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55" w:type="pct"/>
                  <w:vMerge w:val="continue"/>
                  <w:vAlign w:val="center"/>
                </w:tcPr>
                <w:p>
                  <w:pPr>
                    <w:jc w:val="center"/>
                    <w:rPr>
                      <w:color w:val="auto"/>
                      <w:sz w:val="21"/>
                      <w:szCs w:val="21"/>
                      <w:highlight w:val="none"/>
                    </w:rPr>
                  </w:pPr>
                </w:p>
              </w:tc>
              <w:tc>
                <w:tcPr>
                  <w:tcW w:w="1258" w:type="pct"/>
                  <w:vAlign w:val="center"/>
                </w:tcPr>
                <w:p>
                  <w:pPr>
                    <w:jc w:val="center"/>
                    <w:rPr>
                      <w:color w:val="auto"/>
                      <w:sz w:val="21"/>
                      <w:szCs w:val="21"/>
                      <w:highlight w:val="none"/>
                    </w:rPr>
                  </w:pPr>
                  <w:r>
                    <w:rPr>
                      <w:color w:val="auto"/>
                      <w:sz w:val="21"/>
                      <w:szCs w:val="21"/>
                      <w:highlight w:val="none"/>
                    </w:rPr>
                    <w:t>N4（北厂界）</w:t>
                  </w:r>
                </w:p>
              </w:tc>
              <w:tc>
                <w:tcPr>
                  <w:tcW w:w="838"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54</w:t>
                  </w:r>
                </w:p>
              </w:tc>
              <w:tc>
                <w:tcPr>
                  <w:tcW w:w="811" w:type="pct"/>
                  <w:vAlign w:val="center"/>
                </w:tcPr>
                <w:p>
                  <w:pPr>
                    <w:adjustRightInd w:val="0"/>
                    <w:snapToGrid w:val="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45</w:t>
                  </w:r>
                </w:p>
              </w:tc>
              <w:tc>
                <w:tcPr>
                  <w:tcW w:w="659" w:type="pct"/>
                  <w:vMerge w:val="continue"/>
                  <w:vAlign w:val="center"/>
                </w:tcPr>
                <w:p>
                  <w:pPr>
                    <w:jc w:val="center"/>
                    <w:rPr>
                      <w:color w:val="auto"/>
                      <w:sz w:val="21"/>
                      <w:szCs w:val="21"/>
                      <w:highlight w:val="none"/>
                    </w:rPr>
                  </w:pPr>
                </w:p>
              </w:tc>
              <w:tc>
                <w:tcPr>
                  <w:tcW w:w="677" w:type="pct"/>
                  <w:vAlign w:val="center"/>
                </w:tcPr>
                <w:p>
                  <w:pPr>
                    <w:jc w:val="center"/>
                    <w:rPr>
                      <w:color w:val="auto"/>
                      <w:sz w:val="21"/>
                      <w:szCs w:val="21"/>
                      <w:highlight w:val="none"/>
                    </w:rPr>
                  </w:pPr>
                  <w:r>
                    <w:rPr>
                      <w:color w:val="auto"/>
                      <w:sz w:val="21"/>
                      <w:szCs w:val="21"/>
                      <w:highlight w:val="none"/>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755" w:type="pct"/>
                  <w:vAlign w:val="center"/>
                </w:tcPr>
                <w:p>
                  <w:pPr>
                    <w:jc w:val="center"/>
                    <w:rPr>
                      <w:color w:val="auto"/>
                      <w:sz w:val="21"/>
                      <w:szCs w:val="21"/>
                      <w:highlight w:val="none"/>
                    </w:rPr>
                  </w:pPr>
                  <w:r>
                    <w:rPr>
                      <w:color w:val="auto"/>
                      <w:sz w:val="21"/>
                      <w:szCs w:val="21"/>
                      <w:highlight w:val="none"/>
                    </w:rPr>
                    <w:t>备注</w:t>
                  </w:r>
                </w:p>
              </w:tc>
              <w:tc>
                <w:tcPr>
                  <w:tcW w:w="4244" w:type="pct"/>
                  <w:gridSpan w:val="5"/>
                  <w:vAlign w:val="center"/>
                </w:tcPr>
                <w:p>
                  <w:pPr>
                    <w:jc w:val="center"/>
                    <w:rPr>
                      <w:color w:val="auto"/>
                      <w:sz w:val="21"/>
                      <w:szCs w:val="21"/>
                      <w:highlight w:val="none"/>
                    </w:rPr>
                  </w:pPr>
                  <w:r>
                    <w:rPr>
                      <w:color w:val="auto"/>
                      <w:sz w:val="21"/>
                      <w:szCs w:val="21"/>
                      <w:highlight w:val="none"/>
                    </w:rPr>
                    <w:t>检测期间：天气均为</w:t>
                  </w:r>
                  <w:r>
                    <w:rPr>
                      <w:rFonts w:hint="eastAsia"/>
                      <w:color w:val="auto"/>
                      <w:sz w:val="21"/>
                      <w:szCs w:val="21"/>
                      <w:highlight w:val="none"/>
                    </w:rPr>
                    <w:t>晴</w:t>
                  </w:r>
                  <w:r>
                    <w:rPr>
                      <w:color w:val="auto"/>
                      <w:sz w:val="21"/>
                      <w:szCs w:val="21"/>
                      <w:highlight w:val="none"/>
                    </w:rPr>
                    <w:t>，风速</w:t>
                  </w:r>
                  <w:r>
                    <w:rPr>
                      <w:rFonts w:hint="eastAsia"/>
                      <w:color w:val="auto"/>
                      <w:sz w:val="21"/>
                      <w:szCs w:val="21"/>
                      <w:highlight w:val="none"/>
                    </w:rPr>
                    <w:t>1.</w:t>
                  </w:r>
                  <w:r>
                    <w:rPr>
                      <w:rFonts w:hint="eastAsia"/>
                      <w:color w:val="auto"/>
                      <w:sz w:val="21"/>
                      <w:szCs w:val="21"/>
                      <w:highlight w:val="none"/>
                      <w:lang w:val="en-US" w:eastAsia="zh-CN"/>
                    </w:rPr>
                    <w:t>8</w:t>
                  </w:r>
                  <w:r>
                    <w:rPr>
                      <w:color w:val="auto"/>
                      <w:sz w:val="21"/>
                      <w:szCs w:val="21"/>
                      <w:highlight w:val="none"/>
                    </w:rPr>
                    <w:t>~2.</w:t>
                  </w:r>
                  <w:r>
                    <w:rPr>
                      <w:rFonts w:hint="eastAsia"/>
                      <w:color w:val="auto"/>
                      <w:sz w:val="21"/>
                      <w:szCs w:val="21"/>
                      <w:highlight w:val="none"/>
                      <w:lang w:val="en-US" w:eastAsia="zh-CN"/>
                    </w:rPr>
                    <w:t>6</w:t>
                  </w:r>
                  <w:r>
                    <w:rPr>
                      <w:color w:val="auto"/>
                      <w:sz w:val="21"/>
                      <w:szCs w:val="21"/>
                      <w:highlight w:val="none"/>
                    </w:rPr>
                    <w:t>m/s。</w:t>
                  </w:r>
                </w:p>
              </w:tc>
            </w:tr>
          </w:tbl>
          <w:p>
            <w:pPr>
              <w:snapToGrid w:val="0"/>
              <w:spacing w:before="120" w:beforeLines="50" w:line="360" w:lineRule="auto"/>
              <w:ind w:firstLine="420" w:firstLineChars="200"/>
              <w:rPr>
                <w:color w:val="auto"/>
                <w:kern w:val="0"/>
                <w:szCs w:val="21"/>
                <w:highlight w:val="none"/>
              </w:rPr>
            </w:pPr>
            <w:r>
              <w:rPr>
                <w:rFonts w:hint="eastAsia"/>
                <w:color w:val="auto"/>
                <w:sz w:val="21"/>
                <w:szCs w:val="21"/>
                <w:highlight w:val="none"/>
              </w:rPr>
              <w:t>监测结果表明，项目所在区域声环境质量现状满足《声环境质量标准》（GB3096-2008）中的2类标准，声环境现状良好。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93" w:hRule="atLeast"/>
          <w:jc w:val="center"/>
        </w:trPr>
        <w:tc>
          <w:tcPr>
            <w:tcW w:w="800" w:type="dxa"/>
            <w:vAlign w:val="center"/>
          </w:tcPr>
          <w:p>
            <w:pPr>
              <w:adjustRightInd w:val="0"/>
              <w:snapToGrid w:val="0"/>
              <w:jc w:val="center"/>
              <w:rPr>
                <w:color w:val="auto"/>
                <w:kern w:val="0"/>
                <w:sz w:val="21"/>
                <w:szCs w:val="21"/>
                <w:highlight w:val="none"/>
              </w:rPr>
            </w:pPr>
            <w:r>
              <w:rPr>
                <w:color w:val="auto"/>
                <w:kern w:val="0"/>
                <w:sz w:val="21"/>
                <w:szCs w:val="21"/>
                <w:highlight w:val="none"/>
              </w:rPr>
              <w:t>环境</w:t>
            </w:r>
          </w:p>
          <w:p>
            <w:pPr>
              <w:adjustRightInd w:val="0"/>
              <w:snapToGrid w:val="0"/>
              <w:jc w:val="center"/>
              <w:rPr>
                <w:color w:val="auto"/>
                <w:kern w:val="0"/>
                <w:sz w:val="21"/>
                <w:szCs w:val="21"/>
                <w:highlight w:val="none"/>
              </w:rPr>
            </w:pPr>
            <w:r>
              <w:rPr>
                <w:color w:val="auto"/>
                <w:kern w:val="0"/>
                <w:sz w:val="21"/>
                <w:szCs w:val="21"/>
                <w:highlight w:val="none"/>
              </w:rPr>
              <w:t>保护</w:t>
            </w:r>
          </w:p>
          <w:p>
            <w:pPr>
              <w:adjustRightInd w:val="0"/>
              <w:snapToGrid w:val="0"/>
              <w:jc w:val="center"/>
              <w:rPr>
                <w:color w:val="auto"/>
                <w:kern w:val="0"/>
                <w:szCs w:val="21"/>
                <w:highlight w:val="none"/>
              </w:rPr>
            </w:pPr>
            <w:r>
              <w:rPr>
                <w:color w:val="auto"/>
                <w:kern w:val="0"/>
                <w:sz w:val="21"/>
                <w:szCs w:val="21"/>
                <w:highlight w:val="none"/>
              </w:rPr>
              <w:t>目标</w:t>
            </w:r>
          </w:p>
        </w:tc>
        <w:tc>
          <w:tcPr>
            <w:tcW w:w="8190" w:type="dxa"/>
            <w:vAlign w:val="center"/>
          </w:tcPr>
          <w:p>
            <w:pPr>
              <w:spacing w:line="360" w:lineRule="auto"/>
              <w:ind w:firstLine="420" w:firstLineChars="200"/>
              <w:rPr>
                <w:color w:val="auto"/>
                <w:kern w:val="0"/>
                <w:sz w:val="21"/>
                <w:szCs w:val="21"/>
                <w:highlight w:val="none"/>
              </w:rPr>
            </w:pPr>
            <w:r>
              <w:rPr>
                <w:color w:val="auto"/>
                <w:kern w:val="0"/>
                <w:sz w:val="21"/>
                <w:szCs w:val="21"/>
                <w:highlight w:val="none"/>
              </w:rPr>
              <w:t>根据《金坛经济开发区土地利用规划图》，项目地为二类工业用地。经实地勘查，项目四周主要为工业企业，距离本项目最近的大气环境保护目标为</w:t>
            </w:r>
            <w:r>
              <w:rPr>
                <w:rFonts w:hint="eastAsia"/>
                <w:color w:val="auto"/>
                <w:kern w:val="0"/>
                <w:sz w:val="21"/>
                <w:szCs w:val="21"/>
                <w:highlight w:val="none"/>
              </w:rPr>
              <w:t>西北侧的金坛韩式中医关节病专科医院</w:t>
            </w:r>
            <w:r>
              <w:rPr>
                <w:color w:val="auto"/>
                <w:kern w:val="0"/>
                <w:sz w:val="21"/>
                <w:szCs w:val="21"/>
                <w:highlight w:val="none"/>
              </w:rPr>
              <w:t>，距本项目</w:t>
            </w:r>
            <w:r>
              <w:rPr>
                <w:rFonts w:hint="eastAsia"/>
                <w:color w:val="auto"/>
                <w:kern w:val="0"/>
                <w:sz w:val="21"/>
                <w:szCs w:val="21"/>
                <w:highlight w:val="none"/>
              </w:rPr>
              <w:t>厂房</w:t>
            </w:r>
            <w:r>
              <w:rPr>
                <w:rFonts w:hint="eastAsia"/>
                <w:color w:val="auto"/>
                <w:kern w:val="0"/>
                <w:sz w:val="21"/>
                <w:szCs w:val="21"/>
                <w:highlight w:val="none"/>
                <w:lang w:val="en-US" w:eastAsia="zh-CN"/>
              </w:rPr>
              <w:t>边界</w:t>
            </w:r>
            <w:r>
              <w:rPr>
                <w:rFonts w:hint="eastAsia"/>
                <w:color w:val="auto"/>
                <w:kern w:val="0"/>
                <w:sz w:val="21"/>
                <w:szCs w:val="21"/>
                <w:highlight w:val="none"/>
              </w:rPr>
              <w:t>约95</w:t>
            </w:r>
            <w:r>
              <w:rPr>
                <w:color w:val="auto"/>
                <w:kern w:val="0"/>
                <w:sz w:val="21"/>
                <w:szCs w:val="21"/>
                <w:highlight w:val="none"/>
              </w:rPr>
              <w:t>m</w:t>
            </w:r>
            <w:r>
              <w:rPr>
                <w:rFonts w:hint="eastAsia"/>
                <w:color w:val="auto"/>
                <w:kern w:val="0"/>
                <w:sz w:val="21"/>
                <w:szCs w:val="21"/>
                <w:highlight w:val="none"/>
                <w:lang w:eastAsia="zh-CN"/>
              </w:rPr>
              <w:t>，</w:t>
            </w:r>
            <w:r>
              <w:rPr>
                <w:rFonts w:hint="eastAsia"/>
                <w:color w:val="auto"/>
                <w:kern w:val="0"/>
                <w:sz w:val="21"/>
                <w:szCs w:val="21"/>
                <w:highlight w:val="none"/>
                <w:lang w:val="en-US" w:eastAsia="zh-CN"/>
              </w:rPr>
              <w:t>距离项目挤出成型车间边界约为120m</w:t>
            </w:r>
            <w:r>
              <w:rPr>
                <w:color w:val="auto"/>
                <w:kern w:val="0"/>
                <w:sz w:val="21"/>
                <w:szCs w:val="21"/>
                <w:highlight w:val="none"/>
              </w:rPr>
              <w:t>。项目厂区周围</w:t>
            </w:r>
            <w:r>
              <w:rPr>
                <w:rFonts w:hint="eastAsia"/>
                <w:color w:val="auto"/>
                <w:kern w:val="0"/>
                <w:sz w:val="21"/>
                <w:szCs w:val="21"/>
                <w:highlight w:val="none"/>
                <w:lang w:val="en-US" w:eastAsia="zh-CN"/>
              </w:rPr>
              <w:t>5</w:t>
            </w:r>
            <w:r>
              <w:rPr>
                <w:rFonts w:hint="eastAsia"/>
                <w:color w:val="auto"/>
                <w:kern w:val="0"/>
                <w:sz w:val="21"/>
                <w:szCs w:val="21"/>
                <w:highlight w:val="none"/>
              </w:rPr>
              <w:t>00</w:t>
            </w:r>
            <w:r>
              <w:rPr>
                <w:color w:val="auto"/>
                <w:kern w:val="0"/>
                <w:sz w:val="21"/>
                <w:szCs w:val="21"/>
                <w:highlight w:val="none"/>
              </w:rPr>
              <w:t>m范围内主要大气环境保护目标见表3-6。</w:t>
            </w:r>
          </w:p>
          <w:p>
            <w:pPr>
              <w:tabs>
                <w:tab w:val="left" w:pos="6510"/>
              </w:tabs>
              <w:jc w:val="center"/>
              <w:rPr>
                <w:b/>
                <w:bCs/>
                <w:color w:val="auto"/>
                <w:sz w:val="21"/>
                <w:szCs w:val="21"/>
                <w:highlight w:val="none"/>
              </w:rPr>
            </w:pPr>
            <w:r>
              <w:rPr>
                <w:b/>
                <w:bCs/>
                <w:color w:val="auto"/>
                <w:sz w:val="21"/>
                <w:szCs w:val="21"/>
                <w:highlight w:val="none"/>
              </w:rPr>
              <w:t>表3-6</w:t>
            </w:r>
            <w:r>
              <w:rPr>
                <w:rFonts w:hint="eastAsia"/>
                <w:b/>
                <w:bCs/>
                <w:color w:val="auto"/>
                <w:sz w:val="21"/>
                <w:szCs w:val="21"/>
                <w:highlight w:val="none"/>
                <w:lang w:val="en-US" w:eastAsia="zh-CN"/>
              </w:rPr>
              <w:t xml:space="preserve"> </w:t>
            </w:r>
            <w:r>
              <w:rPr>
                <w:b/>
                <w:bCs/>
                <w:color w:val="auto"/>
                <w:sz w:val="21"/>
                <w:szCs w:val="21"/>
                <w:highlight w:val="none"/>
              </w:rPr>
              <w:t>主要环境空气保护目标一览表</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735"/>
              <w:gridCol w:w="834"/>
              <w:gridCol w:w="736"/>
              <w:gridCol w:w="1033"/>
              <w:gridCol w:w="934"/>
              <w:gridCol w:w="2278"/>
              <w:gridCol w:w="609"/>
              <w:gridCol w:w="81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61" w:type="pct"/>
                  <w:vMerge w:val="restart"/>
                  <w:tcMar>
                    <w:top w:w="0" w:type="dxa"/>
                    <w:left w:w="0" w:type="dxa"/>
                    <w:bottom w:w="0" w:type="dxa"/>
                    <w:right w:w="0" w:type="dxa"/>
                  </w:tcMar>
                  <w:vAlign w:val="center"/>
                </w:tcPr>
                <w:p>
                  <w:pPr>
                    <w:adjustRightInd w:val="0"/>
                    <w:snapToGrid w:val="0"/>
                    <w:jc w:val="center"/>
                    <w:rPr>
                      <w:b/>
                      <w:bCs/>
                      <w:color w:val="auto"/>
                      <w:sz w:val="21"/>
                      <w:szCs w:val="21"/>
                      <w:highlight w:val="none"/>
                    </w:rPr>
                  </w:pPr>
                  <w:r>
                    <w:rPr>
                      <w:b/>
                      <w:bCs/>
                      <w:color w:val="auto"/>
                      <w:sz w:val="21"/>
                      <w:szCs w:val="21"/>
                      <w:highlight w:val="none"/>
                    </w:rPr>
                    <w:t>保护项目</w:t>
                  </w:r>
                </w:p>
              </w:tc>
              <w:tc>
                <w:tcPr>
                  <w:tcW w:w="984" w:type="pct"/>
                  <w:gridSpan w:val="2"/>
                  <w:tcMar>
                    <w:top w:w="0" w:type="dxa"/>
                    <w:left w:w="0" w:type="dxa"/>
                    <w:bottom w:w="0" w:type="dxa"/>
                    <w:right w:w="0" w:type="dxa"/>
                  </w:tcMar>
                  <w:vAlign w:val="center"/>
                </w:tcPr>
                <w:p>
                  <w:pPr>
                    <w:keepNext/>
                    <w:keepLines/>
                    <w:adjustRightInd w:val="0"/>
                    <w:snapToGrid w:val="0"/>
                    <w:jc w:val="center"/>
                    <w:rPr>
                      <w:b/>
                      <w:bCs/>
                      <w:color w:val="auto"/>
                      <w:sz w:val="21"/>
                      <w:szCs w:val="21"/>
                      <w:highlight w:val="none"/>
                    </w:rPr>
                  </w:pPr>
                  <w:r>
                    <w:rPr>
                      <w:b/>
                      <w:bCs/>
                      <w:color w:val="auto"/>
                      <w:sz w:val="21"/>
                      <w:szCs w:val="21"/>
                      <w:highlight w:val="none"/>
                    </w:rPr>
                    <w:t>坐标</w:t>
                  </w:r>
                </w:p>
              </w:tc>
              <w:tc>
                <w:tcPr>
                  <w:tcW w:w="647" w:type="pct"/>
                  <w:vMerge w:val="restart"/>
                  <w:tcMar>
                    <w:top w:w="0" w:type="dxa"/>
                    <w:left w:w="0" w:type="dxa"/>
                    <w:bottom w:w="0" w:type="dxa"/>
                    <w:right w:w="0" w:type="dxa"/>
                  </w:tcMar>
                  <w:vAlign w:val="center"/>
                </w:tcPr>
                <w:p>
                  <w:pPr>
                    <w:adjustRightInd w:val="0"/>
                    <w:snapToGrid w:val="0"/>
                    <w:jc w:val="center"/>
                    <w:rPr>
                      <w:b/>
                      <w:bCs/>
                      <w:color w:val="auto"/>
                      <w:sz w:val="21"/>
                      <w:szCs w:val="21"/>
                      <w:highlight w:val="none"/>
                    </w:rPr>
                  </w:pPr>
                  <w:r>
                    <w:rPr>
                      <w:b/>
                      <w:bCs/>
                      <w:color w:val="auto"/>
                      <w:sz w:val="21"/>
                      <w:szCs w:val="21"/>
                      <w:highlight w:val="none"/>
                    </w:rPr>
                    <w:t>保护对象</w:t>
                  </w:r>
                </w:p>
              </w:tc>
              <w:tc>
                <w:tcPr>
                  <w:tcW w:w="585" w:type="pct"/>
                  <w:vMerge w:val="restart"/>
                  <w:tcMar>
                    <w:top w:w="0" w:type="dxa"/>
                    <w:left w:w="0" w:type="dxa"/>
                    <w:bottom w:w="0" w:type="dxa"/>
                    <w:right w:w="0" w:type="dxa"/>
                  </w:tcMar>
                  <w:vAlign w:val="center"/>
                </w:tcPr>
                <w:p>
                  <w:pPr>
                    <w:adjustRightInd w:val="0"/>
                    <w:snapToGrid w:val="0"/>
                    <w:jc w:val="center"/>
                    <w:rPr>
                      <w:b/>
                      <w:bCs/>
                      <w:color w:val="auto"/>
                      <w:sz w:val="21"/>
                      <w:szCs w:val="21"/>
                      <w:highlight w:val="none"/>
                    </w:rPr>
                  </w:pPr>
                  <w:r>
                    <w:rPr>
                      <w:b/>
                      <w:bCs/>
                      <w:color w:val="auto"/>
                      <w:sz w:val="21"/>
                      <w:szCs w:val="21"/>
                      <w:highlight w:val="none"/>
                    </w:rPr>
                    <w:t>保护内容</w:t>
                  </w:r>
                </w:p>
              </w:tc>
              <w:tc>
                <w:tcPr>
                  <w:tcW w:w="1428" w:type="pct"/>
                  <w:vMerge w:val="restart"/>
                  <w:tcMar>
                    <w:top w:w="0" w:type="dxa"/>
                    <w:left w:w="0" w:type="dxa"/>
                    <w:bottom w:w="0" w:type="dxa"/>
                    <w:right w:w="0" w:type="dxa"/>
                  </w:tcMar>
                  <w:vAlign w:val="center"/>
                </w:tcPr>
                <w:p>
                  <w:pPr>
                    <w:adjustRightInd w:val="0"/>
                    <w:snapToGrid w:val="0"/>
                    <w:jc w:val="center"/>
                    <w:rPr>
                      <w:b/>
                      <w:bCs/>
                      <w:color w:val="auto"/>
                      <w:sz w:val="21"/>
                      <w:szCs w:val="21"/>
                      <w:highlight w:val="none"/>
                    </w:rPr>
                  </w:pPr>
                  <w:r>
                    <w:rPr>
                      <w:b/>
                      <w:bCs/>
                      <w:color w:val="auto"/>
                      <w:sz w:val="21"/>
                      <w:szCs w:val="21"/>
                      <w:highlight w:val="none"/>
                    </w:rPr>
                    <w:t>环境功能区</w:t>
                  </w:r>
                </w:p>
              </w:tc>
              <w:tc>
                <w:tcPr>
                  <w:tcW w:w="382" w:type="pct"/>
                  <w:vMerge w:val="restart"/>
                  <w:tcMar>
                    <w:top w:w="0" w:type="dxa"/>
                    <w:left w:w="0" w:type="dxa"/>
                    <w:bottom w:w="0" w:type="dxa"/>
                    <w:right w:w="0" w:type="dxa"/>
                  </w:tcMar>
                  <w:vAlign w:val="center"/>
                </w:tcPr>
                <w:p>
                  <w:pPr>
                    <w:adjustRightInd w:val="0"/>
                    <w:snapToGrid w:val="0"/>
                    <w:jc w:val="center"/>
                    <w:rPr>
                      <w:b/>
                      <w:bCs/>
                      <w:color w:val="auto"/>
                      <w:sz w:val="21"/>
                      <w:szCs w:val="21"/>
                      <w:highlight w:val="none"/>
                    </w:rPr>
                  </w:pPr>
                  <w:r>
                    <w:rPr>
                      <w:b/>
                      <w:bCs/>
                      <w:color w:val="auto"/>
                      <w:sz w:val="21"/>
                      <w:szCs w:val="21"/>
                      <w:highlight w:val="none"/>
                    </w:rPr>
                    <w:t>相对厂址方位</w:t>
                  </w:r>
                </w:p>
              </w:tc>
              <w:tc>
                <w:tcPr>
                  <w:tcW w:w="509" w:type="pct"/>
                  <w:vMerge w:val="restart"/>
                  <w:tcMar>
                    <w:top w:w="0" w:type="dxa"/>
                    <w:left w:w="0" w:type="dxa"/>
                    <w:bottom w:w="0" w:type="dxa"/>
                    <w:right w:w="0" w:type="dxa"/>
                  </w:tcMar>
                  <w:vAlign w:val="center"/>
                </w:tcPr>
                <w:p>
                  <w:pPr>
                    <w:adjustRightInd w:val="0"/>
                    <w:snapToGrid w:val="0"/>
                    <w:jc w:val="center"/>
                    <w:rPr>
                      <w:b/>
                      <w:bCs/>
                      <w:color w:val="auto"/>
                      <w:sz w:val="21"/>
                      <w:szCs w:val="21"/>
                      <w:highlight w:val="none"/>
                    </w:rPr>
                  </w:pPr>
                  <w:r>
                    <w:rPr>
                      <w:b/>
                      <w:bCs/>
                      <w:color w:val="auto"/>
                      <w:sz w:val="21"/>
                      <w:szCs w:val="21"/>
                      <w:highlight w:val="none"/>
                    </w:rPr>
                    <w:t>相对厂址距离/m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61" w:type="pct"/>
                  <w:vMerge w:val="continue"/>
                  <w:tcMar>
                    <w:top w:w="0" w:type="dxa"/>
                    <w:left w:w="0" w:type="dxa"/>
                    <w:bottom w:w="0" w:type="dxa"/>
                    <w:right w:w="0" w:type="dxa"/>
                  </w:tcMar>
                  <w:vAlign w:val="center"/>
                </w:tcPr>
                <w:p>
                  <w:pPr>
                    <w:adjustRightInd w:val="0"/>
                    <w:snapToGrid w:val="0"/>
                    <w:jc w:val="center"/>
                    <w:rPr>
                      <w:color w:val="auto"/>
                      <w:sz w:val="21"/>
                      <w:szCs w:val="21"/>
                      <w:highlight w:val="none"/>
                    </w:rPr>
                  </w:pPr>
                </w:p>
              </w:tc>
              <w:tc>
                <w:tcPr>
                  <w:tcW w:w="523" w:type="pct"/>
                  <w:tcMar>
                    <w:top w:w="0" w:type="dxa"/>
                    <w:left w:w="0" w:type="dxa"/>
                    <w:bottom w:w="0" w:type="dxa"/>
                    <w:right w:w="0" w:type="dxa"/>
                  </w:tcMar>
                  <w:vAlign w:val="center"/>
                </w:tcPr>
                <w:p>
                  <w:pPr>
                    <w:keepNext/>
                    <w:keepLines/>
                    <w:adjustRightInd w:val="0"/>
                    <w:snapToGrid w:val="0"/>
                    <w:jc w:val="center"/>
                    <w:rPr>
                      <w:b/>
                      <w:bCs/>
                      <w:color w:val="auto"/>
                      <w:sz w:val="21"/>
                      <w:szCs w:val="21"/>
                      <w:highlight w:val="none"/>
                    </w:rPr>
                  </w:pPr>
                  <w:r>
                    <w:rPr>
                      <w:b/>
                      <w:bCs/>
                      <w:color w:val="auto"/>
                      <w:sz w:val="21"/>
                      <w:szCs w:val="21"/>
                      <w:highlight w:val="none"/>
                    </w:rPr>
                    <w:t>X</w:t>
                  </w:r>
                </w:p>
              </w:tc>
              <w:tc>
                <w:tcPr>
                  <w:tcW w:w="461" w:type="pct"/>
                  <w:tcMar>
                    <w:top w:w="0" w:type="dxa"/>
                    <w:left w:w="0" w:type="dxa"/>
                    <w:bottom w:w="0" w:type="dxa"/>
                    <w:right w:w="0" w:type="dxa"/>
                  </w:tcMar>
                  <w:vAlign w:val="center"/>
                </w:tcPr>
                <w:p>
                  <w:pPr>
                    <w:keepNext/>
                    <w:keepLines/>
                    <w:adjustRightInd w:val="0"/>
                    <w:snapToGrid w:val="0"/>
                    <w:jc w:val="center"/>
                    <w:rPr>
                      <w:b/>
                      <w:bCs/>
                      <w:color w:val="auto"/>
                      <w:sz w:val="21"/>
                      <w:szCs w:val="21"/>
                      <w:highlight w:val="none"/>
                    </w:rPr>
                  </w:pPr>
                  <w:r>
                    <w:rPr>
                      <w:b/>
                      <w:bCs/>
                      <w:color w:val="auto"/>
                      <w:sz w:val="21"/>
                      <w:szCs w:val="21"/>
                      <w:highlight w:val="none"/>
                    </w:rPr>
                    <w:t>Y</w:t>
                  </w:r>
                </w:p>
              </w:tc>
              <w:tc>
                <w:tcPr>
                  <w:tcW w:w="647" w:type="pct"/>
                  <w:vMerge w:val="continue"/>
                  <w:tcMar>
                    <w:top w:w="0" w:type="dxa"/>
                    <w:left w:w="0" w:type="dxa"/>
                    <w:bottom w:w="0" w:type="dxa"/>
                    <w:right w:w="0" w:type="dxa"/>
                  </w:tcMar>
                  <w:vAlign w:val="center"/>
                </w:tcPr>
                <w:p>
                  <w:pPr>
                    <w:adjustRightInd w:val="0"/>
                    <w:snapToGrid w:val="0"/>
                    <w:jc w:val="center"/>
                    <w:rPr>
                      <w:color w:val="auto"/>
                      <w:sz w:val="21"/>
                      <w:szCs w:val="21"/>
                      <w:highlight w:val="none"/>
                    </w:rPr>
                  </w:pPr>
                </w:p>
              </w:tc>
              <w:tc>
                <w:tcPr>
                  <w:tcW w:w="585" w:type="pct"/>
                  <w:vMerge w:val="continue"/>
                  <w:tcMar>
                    <w:top w:w="0" w:type="dxa"/>
                    <w:left w:w="0" w:type="dxa"/>
                    <w:bottom w:w="0" w:type="dxa"/>
                    <w:right w:w="0" w:type="dxa"/>
                  </w:tcMar>
                  <w:vAlign w:val="center"/>
                </w:tcPr>
                <w:p>
                  <w:pPr>
                    <w:adjustRightInd w:val="0"/>
                    <w:snapToGrid w:val="0"/>
                    <w:jc w:val="center"/>
                    <w:rPr>
                      <w:color w:val="auto"/>
                      <w:sz w:val="21"/>
                      <w:szCs w:val="21"/>
                      <w:highlight w:val="none"/>
                    </w:rPr>
                  </w:pPr>
                </w:p>
              </w:tc>
              <w:tc>
                <w:tcPr>
                  <w:tcW w:w="1428" w:type="pct"/>
                  <w:vMerge w:val="continue"/>
                  <w:tcMar>
                    <w:top w:w="0" w:type="dxa"/>
                    <w:left w:w="0" w:type="dxa"/>
                    <w:bottom w:w="0" w:type="dxa"/>
                    <w:right w:w="0" w:type="dxa"/>
                  </w:tcMar>
                  <w:vAlign w:val="center"/>
                </w:tcPr>
                <w:p>
                  <w:pPr>
                    <w:adjustRightInd w:val="0"/>
                    <w:snapToGrid w:val="0"/>
                    <w:jc w:val="center"/>
                    <w:rPr>
                      <w:color w:val="auto"/>
                      <w:sz w:val="21"/>
                      <w:szCs w:val="21"/>
                      <w:highlight w:val="none"/>
                    </w:rPr>
                  </w:pPr>
                </w:p>
              </w:tc>
              <w:tc>
                <w:tcPr>
                  <w:tcW w:w="382" w:type="pct"/>
                  <w:vMerge w:val="continue"/>
                  <w:tcMar>
                    <w:top w:w="0" w:type="dxa"/>
                    <w:left w:w="0" w:type="dxa"/>
                    <w:bottom w:w="0" w:type="dxa"/>
                    <w:right w:w="0" w:type="dxa"/>
                  </w:tcMar>
                  <w:vAlign w:val="center"/>
                </w:tcPr>
                <w:p>
                  <w:pPr>
                    <w:adjustRightInd w:val="0"/>
                    <w:snapToGrid w:val="0"/>
                    <w:jc w:val="center"/>
                    <w:rPr>
                      <w:color w:val="auto"/>
                      <w:sz w:val="21"/>
                      <w:szCs w:val="21"/>
                      <w:highlight w:val="none"/>
                    </w:rPr>
                  </w:pPr>
                </w:p>
              </w:tc>
              <w:tc>
                <w:tcPr>
                  <w:tcW w:w="509" w:type="pct"/>
                  <w:vMerge w:val="continue"/>
                  <w:tcMar>
                    <w:top w:w="0" w:type="dxa"/>
                    <w:left w:w="0" w:type="dxa"/>
                    <w:bottom w:w="0" w:type="dxa"/>
                    <w:right w:w="0" w:type="dxa"/>
                  </w:tcMar>
                  <w:vAlign w:val="center"/>
                </w:tcPr>
                <w:p>
                  <w:pPr>
                    <w:adjustRightInd w:val="0"/>
                    <w:snapToGrid w:val="0"/>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61" w:type="pct"/>
                  <w:vMerge w:val="restart"/>
                  <w:tcMar>
                    <w:top w:w="0" w:type="dxa"/>
                    <w:left w:w="0" w:type="dxa"/>
                    <w:bottom w:w="0" w:type="dxa"/>
                    <w:right w:w="0" w:type="dxa"/>
                  </w:tcMar>
                  <w:vAlign w:val="center"/>
                </w:tcPr>
                <w:p>
                  <w:pPr>
                    <w:adjustRightInd w:val="0"/>
                    <w:snapToGrid w:val="0"/>
                    <w:spacing w:line="240" w:lineRule="auto"/>
                    <w:jc w:val="center"/>
                    <w:rPr>
                      <w:color w:val="auto"/>
                      <w:sz w:val="21"/>
                      <w:szCs w:val="21"/>
                      <w:highlight w:val="none"/>
                    </w:rPr>
                  </w:pPr>
                  <w:r>
                    <w:rPr>
                      <w:rFonts w:hint="eastAsia"/>
                      <w:color w:val="auto"/>
                      <w:sz w:val="21"/>
                      <w:szCs w:val="21"/>
                      <w:highlight w:val="none"/>
                    </w:rPr>
                    <w:t>大</w:t>
                  </w:r>
                  <w:r>
                    <w:rPr>
                      <w:color w:val="auto"/>
                      <w:sz w:val="21"/>
                      <w:szCs w:val="21"/>
                      <w:highlight w:val="none"/>
                    </w:rPr>
                    <w:t>气环境</w:t>
                  </w:r>
                </w:p>
              </w:tc>
              <w:tc>
                <w:tcPr>
                  <w:tcW w:w="523" w:type="pct"/>
                  <w:tcBorders>
                    <w:left w:val="single" w:color="000000" w:sz="4" w:space="0"/>
                  </w:tcBorders>
                  <w:tcMar>
                    <w:top w:w="0" w:type="dxa"/>
                    <w:left w:w="0" w:type="dxa"/>
                    <w:bottom w:w="0" w:type="dxa"/>
                    <w:right w:w="0" w:type="dxa"/>
                  </w:tcMar>
                  <w:vAlign w:val="center"/>
                </w:tcPr>
                <w:p>
                  <w:pPr>
                    <w:pStyle w:val="22"/>
                    <w:widowControl w:val="0"/>
                    <w:adjustRightInd w:val="0"/>
                    <w:snapToGrid w:val="0"/>
                    <w:spacing w:before="0"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119.643712</w:t>
                  </w:r>
                </w:p>
              </w:tc>
              <w:tc>
                <w:tcPr>
                  <w:tcW w:w="461" w:type="pct"/>
                  <w:tcBorders>
                    <w:left w:val="single" w:color="000000" w:sz="4" w:space="0"/>
                  </w:tcBorders>
                  <w:tcMar>
                    <w:top w:w="0" w:type="dxa"/>
                    <w:left w:w="0" w:type="dxa"/>
                    <w:bottom w:w="0" w:type="dxa"/>
                    <w:right w:w="0" w:type="dxa"/>
                  </w:tcMar>
                  <w:vAlign w:val="center"/>
                </w:tcPr>
                <w:p>
                  <w:pPr>
                    <w:pStyle w:val="22"/>
                    <w:widowControl w:val="0"/>
                    <w:adjustRightInd w:val="0"/>
                    <w:snapToGrid w:val="0"/>
                    <w:spacing w:before="0"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31.767126</w:t>
                  </w:r>
                </w:p>
              </w:tc>
              <w:tc>
                <w:tcPr>
                  <w:tcW w:w="647" w:type="pct"/>
                  <w:tcBorders>
                    <w:left w:val="single" w:color="000000" w:sz="4" w:space="0"/>
                  </w:tcBorders>
                  <w:tcMar>
                    <w:top w:w="0" w:type="dxa"/>
                    <w:left w:w="0" w:type="dxa"/>
                    <w:bottom w:w="0" w:type="dxa"/>
                    <w:right w:w="0" w:type="dxa"/>
                  </w:tcMar>
                  <w:vAlign w:val="center"/>
                </w:tcPr>
                <w:p>
                  <w:pPr>
                    <w:pStyle w:val="22"/>
                    <w:widowControl w:val="0"/>
                    <w:adjustRightInd w:val="0"/>
                    <w:snapToGrid w:val="0"/>
                    <w:spacing w:before="0"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金坛韩式中医关节病专科医院</w:t>
                  </w:r>
                </w:p>
              </w:tc>
              <w:tc>
                <w:tcPr>
                  <w:tcW w:w="585" w:type="pct"/>
                  <w:tcMar>
                    <w:top w:w="0" w:type="dxa"/>
                    <w:left w:w="0" w:type="dxa"/>
                    <w:bottom w:w="0" w:type="dxa"/>
                    <w:right w:w="0" w:type="dxa"/>
                  </w:tcMar>
                  <w:vAlign w:val="center"/>
                </w:tcPr>
                <w:p>
                  <w:pPr>
                    <w:pStyle w:val="22"/>
                    <w:widowControl w:val="0"/>
                    <w:adjustRightInd w:val="0"/>
                    <w:snapToGrid w:val="0"/>
                    <w:spacing w:before="0" w:line="240" w:lineRule="auto"/>
                    <w:jc w:val="center"/>
                    <w:rPr>
                      <w:rFonts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医院</w:t>
                  </w:r>
                </w:p>
              </w:tc>
              <w:tc>
                <w:tcPr>
                  <w:tcW w:w="1428" w:type="pct"/>
                  <w:vMerge w:val="restart"/>
                  <w:tcMar>
                    <w:top w:w="0" w:type="dxa"/>
                    <w:left w:w="0" w:type="dxa"/>
                    <w:bottom w:w="0" w:type="dxa"/>
                    <w:right w:w="0" w:type="dxa"/>
                  </w:tcMar>
                  <w:vAlign w:val="center"/>
                </w:tcPr>
                <w:p>
                  <w:pPr>
                    <w:adjustRightInd w:val="0"/>
                    <w:snapToGrid w:val="0"/>
                    <w:spacing w:line="240" w:lineRule="auto"/>
                    <w:jc w:val="center"/>
                    <w:rPr>
                      <w:color w:val="auto"/>
                      <w:sz w:val="21"/>
                      <w:szCs w:val="21"/>
                      <w:highlight w:val="none"/>
                    </w:rPr>
                  </w:pPr>
                  <w:r>
                    <w:rPr>
                      <w:color w:val="auto"/>
                      <w:sz w:val="21"/>
                      <w:szCs w:val="21"/>
                      <w:highlight w:val="none"/>
                    </w:rPr>
                    <w:t>《环境空气质量标准》</w:t>
                  </w:r>
                </w:p>
                <w:p>
                  <w:pPr>
                    <w:adjustRightInd w:val="0"/>
                    <w:snapToGrid w:val="0"/>
                    <w:spacing w:line="240" w:lineRule="auto"/>
                    <w:jc w:val="center"/>
                    <w:rPr>
                      <w:color w:val="auto"/>
                      <w:sz w:val="21"/>
                      <w:szCs w:val="21"/>
                      <w:highlight w:val="none"/>
                    </w:rPr>
                  </w:pPr>
                  <w:r>
                    <w:rPr>
                      <w:color w:val="auto"/>
                      <w:sz w:val="21"/>
                      <w:szCs w:val="21"/>
                      <w:highlight w:val="none"/>
                    </w:rPr>
                    <w:t>（GB3095-2012）中二级标准</w:t>
                  </w:r>
                </w:p>
              </w:tc>
              <w:tc>
                <w:tcPr>
                  <w:tcW w:w="382" w:type="pct"/>
                  <w:tcMar>
                    <w:top w:w="0" w:type="dxa"/>
                    <w:left w:w="0" w:type="dxa"/>
                    <w:bottom w:w="0" w:type="dxa"/>
                    <w:right w:w="0" w:type="dxa"/>
                  </w:tcMar>
                  <w:vAlign w:val="center"/>
                </w:tcPr>
                <w:p>
                  <w:pPr>
                    <w:pStyle w:val="46"/>
                    <w:spacing w:line="240" w:lineRule="auto"/>
                    <w:rPr>
                      <w:rFonts w:eastAsia="宋体"/>
                      <w:color w:val="auto"/>
                      <w:kern w:val="0"/>
                      <w:sz w:val="21"/>
                      <w:szCs w:val="21"/>
                      <w:highlight w:val="none"/>
                    </w:rPr>
                  </w:pPr>
                  <w:r>
                    <w:rPr>
                      <w:rFonts w:hint="eastAsia" w:eastAsia="宋体"/>
                      <w:color w:val="auto"/>
                      <w:kern w:val="0"/>
                      <w:sz w:val="21"/>
                      <w:szCs w:val="21"/>
                      <w:highlight w:val="none"/>
                    </w:rPr>
                    <w:t>NW</w:t>
                  </w:r>
                </w:p>
              </w:tc>
              <w:tc>
                <w:tcPr>
                  <w:tcW w:w="509" w:type="pct"/>
                  <w:tcMar>
                    <w:top w:w="0" w:type="dxa"/>
                    <w:left w:w="0" w:type="dxa"/>
                    <w:bottom w:w="0" w:type="dxa"/>
                    <w:right w:w="0" w:type="dxa"/>
                  </w:tcMar>
                  <w:vAlign w:val="center"/>
                </w:tcPr>
                <w:p>
                  <w:pPr>
                    <w:pStyle w:val="22"/>
                    <w:widowControl w:val="0"/>
                    <w:adjustRightInd w:val="0"/>
                    <w:snapToGrid w:val="0"/>
                    <w:spacing w:before="0" w:line="240" w:lineRule="auto"/>
                    <w:jc w:val="center"/>
                    <w:rPr>
                      <w:rFonts w:hint="eastAsia" w:ascii="Times New Roman" w:hAnsi="Times New Roman" w:eastAsia="宋体" w:cs="Times New Roman"/>
                      <w:color w:val="auto"/>
                      <w:sz w:val="21"/>
                      <w:szCs w:val="21"/>
                      <w:highlight w:val="none"/>
                      <w:lang w:eastAsia="zh-CN"/>
                    </w:rPr>
                  </w:pPr>
                  <w:r>
                    <w:rPr>
                      <w:rFonts w:hint="eastAsia" w:ascii="Times New Roman" w:hAnsi="Times New Roman" w:cs="Times New Roman"/>
                      <w:color w:val="auto"/>
                      <w:sz w:val="21"/>
                      <w:szCs w:val="21"/>
                      <w:highlight w:val="none"/>
                    </w:rPr>
                    <w:t>95</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相对挤出成型车间120m</w:t>
                  </w:r>
                  <w:r>
                    <w:rPr>
                      <w:rFonts w:hint="eastAsia" w:ascii="Times New Roman" w:hAnsi="Times New Roman" w:cs="Times New Roman"/>
                      <w:color w:val="auto"/>
                      <w:sz w:val="21"/>
                      <w:szCs w:val="21"/>
                      <w:highlight w:val="none"/>
                      <w:lang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61" w:type="pct"/>
                  <w:vMerge w:val="continue"/>
                  <w:tcMar>
                    <w:top w:w="0" w:type="dxa"/>
                    <w:left w:w="0" w:type="dxa"/>
                    <w:bottom w:w="0" w:type="dxa"/>
                    <w:right w:w="0" w:type="dxa"/>
                  </w:tcMar>
                  <w:vAlign w:val="center"/>
                </w:tcPr>
                <w:p>
                  <w:pPr>
                    <w:adjustRightInd w:val="0"/>
                    <w:snapToGrid w:val="0"/>
                    <w:spacing w:line="240" w:lineRule="auto"/>
                    <w:jc w:val="center"/>
                    <w:rPr>
                      <w:rFonts w:hint="eastAsia"/>
                      <w:color w:val="auto"/>
                      <w:sz w:val="21"/>
                      <w:szCs w:val="21"/>
                      <w:highlight w:val="none"/>
                    </w:rPr>
                  </w:pPr>
                </w:p>
              </w:tc>
              <w:tc>
                <w:tcPr>
                  <w:tcW w:w="523" w:type="pct"/>
                  <w:tcBorders>
                    <w:left w:val="single" w:color="000000" w:sz="4" w:space="0"/>
                  </w:tcBorders>
                  <w:tcMar>
                    <w:top w:w="0" w:type="dxa"/>
                    <w:left w:w="0" w:type="dxa"/>
                    <w:bottom w:w="0" w:type="dxa"/>
                    <w:right w:w="0" w:type="dxa"/>
                  </w:tcMar>
                  <w:vAlign w:val="center"/>
                </w:tcPr>
                <w:p>
                  <w:pPr>
                    <w:pStyle w:val="22"/>
                    <w:widowControl w:val="0"/>
                    <w:adjustRightInd w:val="0"/>
                    <w:snapToGrid w:val="0"/>
                    <w:spacing w:before="0"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119.641103</w:t>
                  </w:r>
                </w:p>
              </w:tc>
              <w:tc>
                <w:tcPr>
                  <w:tcW w:w="461" w:type="pct"/>
                  <w:tcBorders>
                    <w:left w:val="single" w:color="000000" w:sz="4" w:space="0"/>
                  </w:tcBorders>
                  <w:tcMar>
                    <w:top w:w="0" w:type="dxa"/>
                    <w:left w:w="0" w:type="dxa"/>
                    <w:bottom w:w="0" w:type="dxa"/>
                    <w:right w:w="0" w:type="dxa"/>
                  </w:tcMar>
                  <w:vAlign w:val="center"/>
                </w:tcPr>
                <w:p>
                  <w:pPr>
                    <w:pStyle w:val="22"/>
                    <w:widowControl w:val="0"/>
                    <w:adjustRightInd w:val="0"/>
                    <w:snapToGrid w:val="0"/>
                    <w:spacing w:before="0"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31.767655</w:t>
                  </w:r>
                </w:p>
              </w:tc>
              <w:tc>
                <w:tcPr>
                  <w:tcW w:w="647" w:type="pct"/>
                  <w:tcBorders>
                    <w:left w:val="single" w:color="000000" w:sz="4" w:space="0"/>
                  </w:tcBorders>
                  <w:tcMar>
                    <w:top w:w="0" w:type="dxa"/>
                    <w:left w:w="0" w:type="dxa"/>
                    <w:bottom w:w="0" w:type="dxa"/>
                    <w:right w:w="0" w:type="dxa"/>
                  </w:tcMar>
                  <w:vAlign w:val="center"/>
                </w:tcPr>
                <w:p>
                  <w:pPr>
                    <w:pStyle w:val="22"/>
                    <w:widowControl w:val="0"/>
                    <w:adjustRightInd w:val="0"/>
                    <w:snapToGrid w:val="0"/>
                    <w:spacing w:before="0"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薛庄村卫生室</w:t>
                  </w:r>
                </w:p>
              </w:tc>
              <w:tc>
                <w:tcPr>
                  <w:tcW w:w="585" w:type="pct"/>
                  <w:tcMar>
                    <w:top w:w="0" w:type="dxa"/>
                    <w:left w:w="0" w:type="dxa"/>
                    <w:bottom w:w="0" w:type="dxa"/>
                    <w:right w:w="0" w:type="dxa"/>
                  </w:tcMar>
                  <w:vAlign w:val="center"/>
                </w:tcPr>
                <w:p>
                  <w:pPr>
                    <w:pStyle w:val="22"/>
                    <w:widowControl w:val="0"/>
                    <w:adjustRightInd w:val="0"/>
                    <w:snapToGrid w:val="0"/>
                    <w:spacing w:before="0" w:line="240" w:lineRule="auto"/>
                    <w:jc w:val="center"/>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医院</w:t>
                  </w:r>
                </w:p>
              </w:tc>
              <w:tc>
                <w:tcPr>
                  <w:tcW w:w="1428" w:type="pct"/>
                  <w:vMerge w:val="continue"/>
                  <w:tcMar>
                    <w:top w:w="0" w:type="dxa"/>
                    <w:left w:w="0" w:type="dxa"/>
                    <w:bottom w:w="0" w:type="dxa"/>
                    <w:right w:w="0" w:type="dxa"/>
                  </w:tcMar>
                  <w:vAlign w:val="center"/>
                </w:tcPr>
                <w:p>
                  <w:pPr>
                    <w:adjustRightInd w:val="0"/>
                    <w:snapToGrid w:val="0"/>
                    <w:spacing w:line="240" w:lineRule="auto"/>
                    <w:jc w:val="center"/>
                    <w:rPr>
                      <w:color w:val="auto"/>
                      <w:sz w:val="21"/>
                      <w:szCs w:val="21"/>
                      <w:highlight w:val="none"/>
                    </w:rPr>
                  </w:pPr>
                </w:p>
              </w:tc>
              <w:tc>
                <w:tcPr>
                  <w:tcW w:w="382" w:type="pct"/>
                  <w:tcMar>
                    <w:top w:w="0" w:type="dxa"/>
                    <w:left w:w="0" w:type="dxa"/>
                    <w:bottom w:w="0" w:type="dxa"/>
                    <w:right w:w="0" w:type="dxa"/>
                  </w:tcMar>
                  <w:vAlign w:val="center"/>
                </w:tcPr>
                <w:p>
                  <w:pPr>
                    <w:pStyle w:val="46"/>
                    <w:spacing w:line="240" w:lineRule="auto"/>
                    <w:rPr>
                      <w:rFonts w:hint="default" w:eastAsia="宋体"/>
                      <w:color w:val="auto"/>
                      <w:kern w:val="0"/>
                      <w:sz w:val="21"/>
                      <w:szCs w:val="21"/>
                      <w:highlight w:val="none"/>
                      <w:lang w:val="en-US" w:eastAsia="zh-CN"/>
                    </w:rPr>
                  </w:pPr>
                  <w:r>
                    <w:rPr>
                      <w:rFonts w:hint="eastAsia" w:eastAsia="宋体"/>
                      <w:color w:val="auto"/>
                      <w:kern w:val="0"/>
                      <w:sz w:val="21"/>
                      <w:szCs w:val="21"/>
                      <w:highlight w:val="none"/>
                      <w:lang w:val="en-US" w:eastAsia="zh-CN"/>
                    </w:rPr>
                    <w:t>NW</w:t>
                  </w:r>
                </w:p>
              </w:tc>
              <w:tc>
                <w:tcPr>
                  <w:tcW w:w="509" w:type="pct"/>
                  <w:tcMar>
                    <w:top w:w="0" w:type="dxa"/>
                    <w:left w:w="0" w:type="dxa"/>
                    <w:bottom w:w="0" w:type="dxa"/>
                    <w:right w:w="0" w:type="dxa"/>
                  </w:tcMar>
                  <w:vAlign w:val="center"/>
                </w:tcPr>
                <w:p>
                  <w:pPr>
                    <w:pStyle w:val="22"/>
                    <w:widowControl w:val="0"/>
                    <w:adjustRightInd w:val="0"/>
                    <w:snapToGrid w:val="0"/>
                    <w:spacing w:before="0"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330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61" w:type="pct"/>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地表</w:t>
                  </w:r>
                  <w:r>
                    <w:rPr>
                      <w:color w:val="auto"/>
                      <w:sz w:val="21"/>
                      <w:szCs w:val="21"/>
                      <w:highlight w:val="none"/>
                    </w:rPr>
                    <w:t>水环境</w:t>
                  </w:r>
                </w:p>
              </w:tc>
              <w:tc>
                <w:tcPr>
                  <w:tcW w:w="523" w:type="pct"/>
                  <w:tcBorders>
                    <w:left w:val="single" w:color="000000" w:sz="4" w:space="0"/>
                  </w:tcBorders>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119.643583</w:t>
                  </w:r>
                </w:p>
              </w:tc>
              <w:tc>
                <w:tcPr>
                  <w:tcW w:w="461" w:type="pct"/>
                  <w:tcBorders>
                    <w:left w:val="single" w:color="000000" w:sz="4" w:space="0"/>
                  </w:tcBorders>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31.753940</w:t>
                  </w:r>
                </w:p>
              </w:tc>
              <w:tc>
                <w:tcPr>
                  <w:tcW w:w="647" w:type="pct"/>
                  <w:tcBorders>
                    <w:left w:val="single" w:color="000000" w:sz="4" w:space="0"/>
                  </w:tcBorders>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尧塘河</w:t>
                  </w:r>
                </w:p>
              </w:tc>
              <w:tc>
                <w:tcPr>
                  <w:tcW w:w="585" w:type="pct"/>
                  <w:tcMar>
                    <w:top w:w="0" w:type="dxa"/>
                    <w:left w:w="0" w:type="dxa"/>
                    <w:bottom w:w="0" w:type="dxa"/>
                    <w:right w:w="0" w:type="dxa"/>
                  </w:tcMar>
                  <w:vAlign w:val="center"/>
                </w:tcPr>
                <w:p>
                  <w:pPr>
                    <w:adjustRightInd w:val="0"/>
                    <w:snapToGrid w:val="0"/>
                    <w:jc w:val="center"/>
                    <w:rPr>
                      <w:color w:val="auto"/>
                      <w:sz w:val="21"/>
                      <w:szCs w:val="21"/>
                      <w:highlight w:val="none"/>
                    </w:rPr>
                  </w:pPr>
                  <w:r>
                    <w:rPr>
                      <w:color w:val="auto"/>
                      <w:sz w:val="21"/>
                      <w:szCs w:val="21"/>
                      <w:highlight w:val="none"/>
                    </w:rPr>
                    <w:t>小河</w:t>
                  </w:r>
                </w:p>
              </w:tc>
              <w:tc>
                <w:tcPr>
                  <w:tcW w:w="1428" w:type="pct"/>
                  <w:tcMar>
                    <w:top w:w="0" w:type="dxa"/>
                    <w:left w:w="0" w:type="dxa"/>
                    <w:bottom w:w="0" w:type="dxa"/>
                    <w:right w:w="0" w:type="dxa"/>
                  </w:tcMar>
                  <w:vAlign w:val="center"/>
                </w:tcPr>
                <w:p>
                  <w:pPr>
                    <w:adjustRightInd w:val="0"/>
                    <w:snapToGrid w:val="0"/>
                    <w:jc w:val="center"/>
                    <w:rPr>
                      <w:color w:val="auto"/>
                      <w:sz w:val="21"/>
                      <w:szCs w:val="21"/>
                      <w:highlight w:val="none"/>
                    </w:rPr>
                  </w:pPr>
                  <w:r>
                    <w:rPr>
                      <w:color w:val="auto"/>
                      <w:sz w:val="21"/>
                      <w:szCs w:val="21"/>
                      <w:highlight w:val="none"/>
                    </w:rPr>
                    <w:t>《地表水环境质量标准》</w:t>
                  </w:r>
                </w:p>
                <w:p>
                  <w:pPr>
                    <w:adjustRightInd w:val="0"/>
                    <w:snapToGrid w:val="0"/>
                    <w:jc w:val="center"/>
                    <w:rPr>
                      <w:color w:val="auto"/>
                      <w:sz w:val="21"/>
                      <w:szCs w:val="21"/>
                      <w:highlight w:val="none"/>
                    </w:rPr>
                  </w:pPr>
                  <w:r>
                    <w:rPr>
                      <w:color w:val="auto"/>
                      <w:sz w:val="21"/>
                      <w:szCs w:val="21"/>
                      <w:highlight w:val="none"/>
                    </w:rPr>
                    <w:t>（GB3838-2002）</w:t>
                  </w:r>
                  <w:r>
                    <w:rPr>
                      <w:color w:val="auto"/>
                      <w:sz w:val="21"/>
                      <w:szCs w:val="21"/>
                      <w:highlight w:val="none"/>
                    </w:rPr>
                    <w:fldChar w:fldCharType="begin"/>
                  </w:r>
                  <w:r>
                    <w:rPr>
                      <w:color w:val="auto"/>
                      <w:sz w:val="21"/>
                      <w:szCs w:val="21"/>
                      <w:highlight w:val="none"/>
                    </w:rPr>
                    <w:instrText xml:space="preserve"> = 3 \* ROMAN \* MERGEFORMAT </w:instrText>
                  </w:r>
                  <w:r>
                    <w:rPr>
                      <w:color w:val="auto"/>
                      <w:sz w:val="21"/>
                      <w:szCs w:val="21"/>
                      <w:highlight w:val="none"/>
                    </w:rPr>
                    <w:fldChar w:fldCharType="separate"/>
                  </w:r>
                  <w:r>
                    <w:rPr>
                      <w:color w:val="auto"/>
                      <w:sz w:val="21"/>
                      <w:szCs w:val="21"/>
                      <w:highlight w:val="none"/>
                    </w:rPr>
                    <w:t>III</w:t>
                  </w:r>
                  <w:r>
                    <w:rPr>
                      <w:color w:val="auto"/>
                      <w:sz w:val="21"/>
                      <w:szCs w:val="21"/>
                      <w:highlight w:val="none"/>
                    </w:rPr>
                    <w:fldChar w:fldCharType="end"/>
                  </w:r>
                  <w:r>
                    <w:rPr>
                      <w:color w:val="auto"/>
                      <w:sz w:val="21"/>
                      <w:szCs w:val="21"/>
                      <w:highlight w:val="none"/>
                    </w:rPr>
                    <w:t>类</w:t>
                  </w:r>
                </w:p>
              </w:tc>
              <w:tc>
                <w:tcPr>
                  <w:tcW w:w="382" w:type="pct"/>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S</w:t>
                  </w:r>
                </w:p>
              </w:tc>
              <w:tc>
                <w:tcPr>
                  <w:tcW w:w="509" w:type="pct"/>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1355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61" w:type="pct"/>
                  <w:tcMar>
                    <w:top w:w="0" w:type="dxa"/>
                    <w:left w:w="0" w:type="dxa"/>
                    <w:bottom w:w="0" w:type="dxa"/>
                    <w:right w:w="0" w:type="dxa"/>
                  </w:tcMar>
                  <w:vAlign w:val="center"/>
                </w:tcPr>
                <w:p>
                  <w:pPr>
                    <w:adjustRightInd w:val="0"/>
                    <w:snapToGrid w:val="0"/>
                    <w:jc w:val="center"/>
                    <w:rPr>
                      <w:color w:val="auto"/>
                      <w:sz w:val="21"/>
                      <w:szCs w:val="21"/>
                      <w:highlight w:val="none"/>
                    </w:rPr>
                  </w:pPr>
                  <w:r>
                    <w:rPr>
                      <w:color w:val="auto"/>
                      <w:sz w:val="21"/>
                      <w:szCs w:val="21"/>
                      <w:highlight w:val="none"/>
                    </w:rPr>
                    <w:t>声环境</w:t>
                  </w:r>
                </w:p>
              </w:tc>
              <w:tc>
                <w:tcPr>
                  <w:tcW w:w="523" w:type="pct"/>
                  <w:tcBorders>
                    <w:left w:val="single" w:color="000000" w:sz="4" w:space="0"/>
                  </w:tcBorders>
                  <w:tcMar>
                    <w:top w:w="0" w:type="dxa"/>
                    <w:left w:w="0" w:type="dxa"/>
                    <w:bottom w:w="0" w:type="dxa"/>
                    <w:right w:w="0" w:type="dxa"/>
                  </w:tcMar>
                  <w:vAlign w:val="center"/>
                </w:tcPr>
                <w:p>
                  <w:pPr>
                    <w:pStyle w:val="22"/>
                    <w:widowControl w:val="0"/>
                    <w:adjustRightInd w:val="0"/>
                    <w:snapToGrid w:val="0"/>
                    <w:spacing w:before="0"/>
                    <w:jc w:val="center"/>
                    <w:rPr>
                      <w:rFonts w:hint="eastAsia" w:eastAsia="宋体"/>
                      <w:color w:val="auto"/>
                      <w:sz w:val="21"/>
                      <w:szCs w:val="21"/>
                      <w:highlight w:val="none"/>
                      <w:lang w:val="en-US" w:eastAsia="zh-CN"/>
                    </w:rPr>
                  </w:pPr>
                  <w:r>
                    <w:rPr>
                      <w:rFonts w:hint="eastAsia"/>
                      <w:color w:val="auto"/>
                      <w:sz w:val="21"/>
                      <w:szCs w:val="21"/>
                      <w:highlight w:val="none"/>
                      <w:lang w:val="en-US" w:eastAsia="zh-CN"/>
                    </w:rPr>
                    <w:t>/</w:t>
                  </w:r>
                </w:p>
              </w:tc>
              <w:tc>
                <w:tcPr>
                  <w:tcW w:w="461" w:type="pct"/>
                  <w:tcBorders>
                    <w:left w:val="single" w:color="000000" w:sz="4" w:space="0"/>
                  </w:tcBorders>
                  <w:tcMar>
                    <w:top w:w="0" w:type="dxa"/>
                    <w:left w:w="0" w:type="dxa"/>
                    <w:bottom w:w="0" w:type="dxa"/>
                    <w:right w:w="0" w:type="dxa"/>
                  </w:tcMar>
                  <w:vAlign w:val="center"/>
                </w:tcPr>
                <w:p>
                  <w:pPr>
                    <w:pStyle w:val="22"/>
                    <w:widowControl w:val="0"/>
                    <w:adjustRightInd w:val="0"/>
                    <w:snapToGrid w:val="0"/>
                    <w:spacing w:before="0"/>
                    <w:jc w:val="center"/>
                    <w:rPr>
                      <w:rFonts w:hint="eastAsia" w:eastAsia="宋体"/>
                      <w:color w:val="auto"/>
                      <w:sz w:val="21"/>
                      <w:szCs w:val="21"/>
                      <w:highlight w:val="none"/>
                      <w:lang w:val="en-US" w:eastAsia="zh-CN"/>
                    </w:rPr>
                  </w:pPr>
                  <w:r>
                    <w:rPr>
                      <w:rFonts w:hint="eastAsia"/>
                      <w:color w:val="auto"/>
                      <w:sz w:val="21"/>
                      <w:szCs w:val="21"/>
                      <w:highlight w:val="none"/>
                      <w:lang w:val="en-US" w:eastAsia="zh-CN"/>
                    </w:rPr>
                    <w:t>/</w:t>
                  </w:r>
                </w:p>
              </w:tc>
              <w:tc>
                <w:tcPr>
                  <w:tcW w:w="647" w:type="pct"/>
                  <w:tcBorders>
                    <w:left w:val="single" w:color="000000" w:sz="4" w:space="0"/>
                  </w:tcBorders>
                  <w:tcMar>
                    <w:top w:w="0" w:type="dxa"/>
                    <w:left w:w="0" w:type="dxa"/>
                    <w:bottom w:w="0" w:type="dxa"/>
                    <w:right w:w="0" w:type="dxa"/>
                  </w:tcMar>
                  <w:vAlign w:val="center"/>
                </w:tcPr>
                <w:p>
                  <w:pPr>
                    <w:pStyle w:val="22"/>
                    <w:widowControl w:val="0"/>
                    <w:adjustRightInd w:val="0"/>
                    <w:snapToGrid w:val="0"/>
                    <w:spacing w:before="0"/>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厂界</w:t>
                  </w:r>
                </w:p>
              </w:tc>
              <w:tc>
                <w:tcPr>
                  <w:tcW w:w="585" w:type="pct"/>
                  <w:tcMar>
                    <w:top w:w="0" w:type="dxa"/>
                    <w:left w:w="0" w:type="dxa"/>
                    <w:bottom w:w="0" w:type="dxa"/>
                    <w:right w:w="0" w:type="dxa"/>
                  </w:tcMar>
                  <w:vAlign w:val="center"/>
                </w:tcPr>
                <w:p>
                  <w:pPr>
                    <w:pStyle w:val="22"/>
                    <w:widowControl w:val="0"/>
                    <w:adjustRightInd w:val="0"/>
                    <w:snapToGrid w:val="0"/>
                    <w:spacing w:before="0"/>
                    <w:jc w:val="center"/>
                    <w:rPr>
                      <w:rFonts w:hint="eastAsia" w:eastAsia="宋体"/>
                      <w:color w:val="auto"/>
                      <w:sz w:val="21"/>
                      <w:szCs w:val="21"/>
                      <w:highlight w:val="none"/>
                      <w:lang w:val="en-US" w:eastAsia="zh-CN"/>
                    </w:rPr>
                  </w:pPr>
                  <w:r>
                    <w:rPr>
                      <w:rFonts w:hint="eastAsia"/>
                      <w:color w:val="auto"/>
                      <w:sz w:val="21"/>
                      <w:szCs w:val="21"/>
                      <w:highlight w:val="none"/>
                      <w:lang w:val="en-US" w:eastAsia="zh-CN"/>
                    </w:rPr>
                    <w:t>/</w:t>
                  </w:r>
                </w:p>
              </w:tc>
              <w:tc>
                <w:tcPr>
                  <w:tcW w:w="1428" w:type="pct"/>
                  <w:tcMar>
                    <w:top w:w="0" w:type="dxa"/>
                    <w:left w:w="0" w:type="dxa"/>
                    <w:bottom w:w="0" w:type="dxa"/>
                    <w:right w:w="0" w:type="dxa"/>
                  </w:tcMar>
                  <w:vAlign w:val="center"/>
                </w:tcPr>
                <w:p>
                  <w:pPr>
                    <w:adjustRightInd w:val="0"/>
                    <w:snapToGrid w:val="0"/>
                    <w:jc w:val="center"/>
                    <w:rPr>
                      <w:color w:val="auto"/>
                      <w:sz w:val="21"/>
                      <w:szCs w:val="21"/>
                      <w:highlight w:val="none"/>
                    </w:rPr>
                  </w:pPr>
                  <w:r>
                    <w:rPr>
                      <w:color w:val="auto"/>
                      <w:sz w:val="21"/>
                      <w:szCs w:val="21"/>
                      <w:highlight w:val="none"/>
                    </w:rPr>
                    <w:t>《声环境质量标准》（GB 3096-2008）</w:t>
                  </w:r>
                  <w:r>
                    <w:rPr>
                      <w:rFonts w:hint="eastAsia"/>
                      <w:color w:val="auto"/>
                      <w:sz w:val="21"/>
                      <w:szCs w:val="21"/>
                      <w:highlight w:val="none"/>
                    </w:rPr>
                    <w:t>2</w:t>
                  </w:r>
                  <w:r>
                    <w:rPr>
                      <w:color w:val="auto"/>
                      <w:sz w:val="21"/>
                      <w:szCs w:val="21"/>
                      <w:highlight w:val="none"/>
                    </w:rPr>
                    <w:t>类标准</w:t>
                  </w:r>
                </w:p>
              </w:tc>
              <w:tc>
                <w:tcPr>
                  <w:tcW w:w="382" w:type="pct"/>
                  <w:tcMar>
                    <w:top w:w="0" w:type="dxa"/>
                    <w:left w:w="0" w:type="dxa"/>
                    <w:bottom w:w="0" w:type="dxa"/>
                    <w:right w:w="0" w:type="dxa"/>
                  </w:tcMar>
                  <w:vAlign w:val="center"/>
                </w:tcPr>
                <w:p>
                  <w:pPr>
                    <w:pStyle w:val="46"/>
                    <w:rPr>
                      <w:rFonts w:hint="eastAsia" w:eastAsia="仿宋_GB2312"/>
                      <w:color w:val="auto"/>
                      <w:sz w:val="21"/>
                      <w:szCs w:val="21"/>
                      <w:highlight w:val="none"/>
                      <w:lang w:val="en-US" w:eastAsia="zh-CN"/>
                    </w:rPr>
                  </w:pPr>
                  <w:r>
                    <w:rPr>
                      <w:rFonts w:hint="eastAsia" w:eastAsia="宋体"/>
                      <w:color w:val="auto"/>
                      <w:kern w:val="0"/>
                      <w:sz w:val="21"/>
                      <w:szCs w:val="21"/>
                      <w:highlight w:val="none"/>
                      <w:lang w:val="en-US" w:eastAsia="zh-CN"/>
                    </w:rPr>
                    <w:t>/</w:t>
                  </w:r>
                </w:p>
              </w:tc>
              <w:tc>
                <w:tcPr>
                  <w:tcW w:w="509" w:type="pct"/>
                  <w:tcMar>
                    <w:top w:w="0" w:type="dxa"/>
                    <w:left w:w="0" w:type="dxa"/>
                    <w:bottom w:w="0" w:type="dxa"/>
                    <w:right w:w="0" w:type="dxa"/>
                  </w:tcMar>
                  <w:vAlign w:val="center"/>
                </w:tcPr>
                <w:p>
                  <w:pPr>
                    <w:pStyle w:val="22"/>
                    <w:widowControl w:val="0"/>
                    <w:adjustRightInd w:val="0"/>
                    <w:snapToGrid w:val="0"/>
                    <w:spacing w:before="0"/>
                    <w:jc w:val="center"/>
                    <w:rPr>
                      <w:rFonts w:hint="eastAsia" w:eastAsia="宋体"/>
                      <w:color w:val="auto"/>
                      <w:sz w:val="21"/>
                      <w:szCs w:val="21"/>
                      <w:highlight w:val="none"/>
                      <w:lang w:val="en-US" w:eastAsia="zh-CN"/>
                    </w:rPr>
                  </w:pPr>
                  <w:r>
                    <w:rPr>
                      <w:rFonts w:hint="eastAsia"/>
                      <w:color w:val="auto"/>
                      <w:sz w:val="21"/>
                      <w:szCs w:val="21"/>
                      <w:highlight w:val="none"/>
                      <w:lang w:val="en-US" w:eastAsia="zh-C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61" w:type="pct"/>
                  <w:tcMar>
                    <w:top w:w="0" w:type="dxa"/>
                    <w:left w:w="0" w:type="dxa"/>
                    <w:bottom w:w="0" w:type="dxa"/>
                    <w:right w:w="0" w:type="dxa"/>
                  </w:tcMar>
                  <w:vAlign w:val="center"/>
                </w:tcPr>
                <w:p>
                  <w:pPr>
                    <w:adjustRightInd w:val="0"/>
                    <w:snapToGrid w:val="0"/>
                    <w:jc w:val="center"/>
                    <w:rPr>
                      <w:color w:val="auto"/>
                      <w:sz w:val="21"/>
                      <w:szCs w:val="21"/>
                      <w:highlight w:val="none"/>
                    </w:rPr>
                  </w:pPr>
                  <w:r>
                    <w:rPr>
                      <w:color w:val="auto"/>
                      <w:sz w:val="21"/>
                      <w:szCs w:val="21"/>
                      <w:highlight w:val="none"/>
                    </w:rPr>
                    <w:t>生态环境</w:t>
                  </w:r>
                </w:p>
              </w:tc>
              <w:tc>
                <w:tcPr>
                  <w:tcW w:w="523" w:type="pct"/>
                  <w:tcBorders>
                    <w:left w:val="single" w:color="000000" w:sz="4" w:space="0"/>
                  </w:tcBorders>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119.604058</w:t>
                  </w:r>
                </w:p>
              </w:tc>
              <w:tc>
                <w:tcPr>
                  <w:tcW w:w="461" w:type="pct"/>
                  <w:tcBorders>
                    <w:left w:val="single" w:color="000000" w:sz="4" w:space="0"/>
                  </w:tcBorders>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31.707570</w:t>
                  </w:r>
                </w:p>
              </w:tc>
              <w:tc>
                <w:tcPr>
                  <w:tcW w:w="647" w:type="pct"/>
                  <w:tcBorders>
                    <w:left w:val="single" w:color="000000" w:sz="4" w:space="0"/>
                  </w:tcBorders>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钱资荡</w:t>
                  </w:r>
                </w:p>
              </w:tc>
              <w:tc>
                <w:tcPr>
                  <w:tcW w:w="585" w:type="pct"/>
                  <w:tcMar>
                    <w:top w:w="0" w:type="dxa"/>
                    <w:left w:w="0" w:type="dxa"/>
                    <w:bottom w:w="0" w:type="dxa"/>
                    <w:right w:w="0" w:type="dxa"/>
                  </w:tcMar>
                  <w:vAlign w:val="center"/>
                </w:tcPr>
                <w:p>
                  <w:pPr>
                    <w:spacing w:before="49"/>
                    <w:ind w:left="30"/>
                    <w:jc w:val="center"/>
                    <w:rPr>
                      <w:color w:val="auto"/>
                      <w:sz w:val="21"/>
                      <w:szCs w:val="21"/>
                      <w:highlight w:val="none"/>
                    </w:rPr>
                  </w:pPr>
                  <w:r>
                    <w:rPr>
                      <w:color w:val="auto"/>
                      <w:sz w:val="21"/>
                      <w:szCs w:val="21"/>
                      <w:highlight w:val="none"/>
                    </w:rPr>
                    <w:t>重要湿地</w:t>
                  </w:r>
                </w:p>
              </w:tc>
              <w:tc>
                <w:tcPr>
                  <w:tcW w:w="1428" w:type="pct"/>
                  <w:tcMar>
                    <w:top w:w="0" w:type="dxa"/>
                    <w:left w:w="0" w:type="dxa"/>
                    <w:bottom w:w="0" w:type="dxa"/>
                    <w:right w:w="0" w:type="dxa"/>
                  </w:tcMar>
                  <w:vAlign w:val="center"/>
                </w:tcPr>
                <w:p>
                  <w:pPr>
                    <w:adjustRightInd w:val="0"/>
                    <w:snapToGrid w:val="0"/>
                    <w:jc w:val="center"/>
                    <w:rPr>
                      <w:color w:val="auto"/>
                      <w:sz w:val="21"/>
                      <w:szCs w:val="21"/>
                      <w:highlight w:val="none"/>
                    </w:rPr>
                  </w:pPr>
                  <w:r>
                    <w:rPr>
                      <w:color w:val="auto"/>
                      <w:sz w:val="21"/>
                      <w:szCs w:val="21"/>
                      <w:highlight w:val="none"/>
                    </w:rPr>
                    <w:t>《江苏省生态空间管控区域规划》</w:t>
                  </w:r>
                </w:p>
              </w:tc>
              <w:tc>
                <w:tcPr>
                  <w:tcW w:w="382" w:type="pct"/>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SW</w:t>
                  </w:r>
                </w:p>
              </w:tc>
              <w:tc>
                <w:tcPr>
                  <w:tcW w:w="509" w:type="pct"/>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7540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61" w:type="pct"/>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地下水</w:t>
                  </w:r>
                </w:p>
              </w:tc>
              <w:tc>
                <w:tcPr>
                  <w:tcW w:w="2218" w:type="pct"/>
                  <w:gridSpan w:val="4"/>
                  <w:tcBorders>
                    <w:left w:val="single" w:color="000000" w:sz="4" w:space="0"/>
                  </w:tcBorders>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项目所在区域500m范围</w:t>
                  </w:r>
                </w:p>
              </w:tc>
              <w:tc>
                <w:tcPr>
                  <w:tcW w:w="2320" w:type="pct"/>
                  <w:gridSpan w:val="3"/>
                  <w:tcMar>
                    <w:top w:w="0" w:type="dxa"/>
                    <w:left w:w="0" w:type="dxa"/>
                    <w:bottom w:w="0" w:type="dxa"/>
                    <w:right w:w="0" w:type="dxa"/>
                  </w:tcMar>
                  <w:vAlign w:val="center"/>
                </w:tcPr>
                <w:p>
                  <w:pPr>
                    <w:adjustRightInd w:val="0"/>
                    <w:snapToGrid w:val="0"/>
                    <w:jc w:val="center"/>
                    <w:rPr>
                      <w:color w:val="auto"/>
                      <w:sz w:val="21"/>
                      <w:szCs w:val="21"/>
                      <w:highlight w:val="none"/>
                    </w:rPr>
                  </w:pPr>
                  <w:r>
                    <w:rPr>
                      <w:rFonts w:hint="eastAsia"/>
                      <w:color w:val="auto"/>
                      <w:sz w:val="21"/>
                      <w:szCs w:val="21"/>
                      <w:highlight w:val="none"/>
                    </w:rPr>
                    <w:t>/</w:t>
                  </w:r>
                </w:p>
              </w:tc>
            </w:tr>
          </w:tbl>
          <w:p>
            <w:pPr>
              <w:adjustRightInd w:val="0"/>
              <w:snapToGrid w:val="0"/>
              <w:rPr>
                <w:color w:val="auto"/>
                <w:kern w:val="0"/>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0" w:type="dxa"/>
            <w:tcMar>
              <w:left w:w="28" w:type="dxa"/>
              <w:right w:w="28" w:type="dxa"/>
            </w:tcMar>
            <w:vAlign w:val="center"/>
          </w:tcPr>
          <w:p>
            <w:pPr>
              <w:adjustRightInd w:val="0"/>
              <w:snapToGrid w:val="0"/>
              <w:jc w:val="center"/>
              <w:rPr>
                <w:color w:val="auto"/>
                <w:kern w:val="0"/>
                <w:sz w:val="21"/>
                <w:szCs w:val="21"/>
                <w:highlight w:val="none"/>
              </w:rPr>
            </w:pPr>
            <w:r>
              <w:rPr>
                <w:color w:val="auto"/>
                <w:kern w:val="0"/>
                <w:sz w:val="21"/>
                <w:szCs w:val="21"/>
                <w:highlight w:val="none"/>
              </w:rPr>
              <w:t>污染</w:t>
            </w:r>
          </w:p>
          <w:p>
            <w:pPr>
              <w:adjustRightInd w:val="0"/>
              <w:snapToGrid w:val="0"/>
              <w:jc w:val="center"/>
              <w:rPr>
                <w:color w:val="auto"/>
                <w:kern w:val="0"/>
                <w:sz w:val="21"/>
                <w:szCs w:val="21"/>
                <w:highlight w:val="none"/>
              </w:rPr>
            </w:pPr>
            <w:r>
              <w:rPr>
                <w:color w:val="auto"/>
                <w:kern w:val="0"/>
                <w:sz w:val="21"/>
                <w:szCs w:val="21"/>
                <w:highlight w:val="none"/>
              </w:rPr>
              <w:t>物排</w:t>
            </w:r>
          </w:p>
          <w:p>
            <w:pPr>
              <w:adjustRightInd w:val="0"/>
              <w:snapToGrid w:val="0"/>
              <w:jc w:val="center"/>
              <w:rPr>
                <w:color w:val="auto"/>
                <w:kern w:val="0"/>
                <w:sz w:val="21"/>
                <w:szCs w:val="21"/>
                <w:highlight w:val="none"/>
              </w:rPr>
            </w:pPr>
            <w:r>
              <w:rPr>
                <w:color w:val="auto"/>
                <w:kern w:val="0"/>
                <w:sz w:val="21"/>
                <w:szCs w:val="21"/>
                <w:highlight w:val="none"/>
              </w:rPr>
              <w:t>放控</w:t>
            </w:r>
          </w:p>
          <w:p>
            <w:pPr>
              <w:adjustRightInd w:val="0"/>
              <w:snapToGrid w:val="0"/>
              <w:jc w:val="center"/>
              <w:rPr>
                <w:color w:val="auto"/>
                <w:kern w:val="0"/>
                <w:sz w:val="21"/>
                <w:szCs w:val="21"/>
                <w:highlight w:val="none"/>
              </w:rPr>
            </w:pPr>
            <w:r>
              <w:rPr>
                <w:color w:val="auto"/>
                <w:kern w:val="0"/>
                <w:sz w:val="21"/>
                <w:szCs w:val="21"/>
                <w:highlight w:val="none"/>
              </w:rPr>
              <w:t>制标</w:t>
            </w:r>
          </w:p>
          <w:p>
            <w:pPr>
              <w:adjustRightInd w:val="0"/>
              <w:snapToGrid w:val="0"/>
              <w:jc w:val="center"/>
              <w:rPr>
                <w:color w:val="auto"/>
                <w:kern w:val="0"/>
                <w:sz w:val="21"/>
                <w:szCs w:val="21"/>
                <w:highlight w:val="none"/>
              </w:rPr>
            </w:pPr>
            <w:r>
              <w:rPr>
                <w:color w:val="auto"/>
                <w:kern w:val="0"/>
                <w:sz w:val="21"/>
                <w:szCs w:val="21"/>
                <w:highlight w:val="none"/>
              </w:rPr>
              <w:t>准</w:t>
            </w:r>
          </w:p>
        </w:tc>
        <w:tc>
          <w:tcPr>
            <w:tcW w:w="8190"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bCs/>
                <w:color w:val="auto"/>
                <w:sz w:val="21"/>
                <w:szCs w:val="21"/>
                <w:highlight w:val="none"/>
              </w:rPr>
            </w:pPr>
            <w:r>
              <w:rPr>
                <w:b/>
                <w:bCs/>
                <w:color w:val="auto"/>
                <w:sz w:val="21"/>
                <w:szCs w:val="21"/>
                <w:highlight w:val="none"/>
              </w:rPr>
              <w:t>一、废气</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color w:val="auto"/>
                <w:sz w:val="21"/>
                <w:szCs w:val="21"/>
                <w:highlight w:val="none"/>
              </w:rPr>
            </w:pPr>
            <w:r>
              <w:rPr>
                <w:rFonts w:hint="eastAsia"/>
                <w:b/>
                <w:bCs/>
                <w:color w:val="auto"/>
                <w:sz w:val="21"/>
                <w:szCs w:val="21"/>
                <w:highlight w:val="none"/>
              </w:rPr>
              <w:t>有机废气：</w:t>
            </w:r>
            <w:r>
              <w:rPr>
                <w:rFonts w:hint="eastAsia"/>
                <w:color w:val="auto"/>
                <w:sz w:val="21"/>
                <w:szCs w:val="21"/>
                <w:highlight w:val="none"/>
              </w:rPr>
              <w:t>本项目排放的有机废气主要是</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rPr>
              <w:t>工序产生的有机废气，</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lang w:val="en-US" w:eastAsia="zh-CN"/>
              </w:rPr>
              <w:t>工序产生的有机废气经半密闭集气罩收集后通过二级活性炭吸附装置处理后由18米排气筒DA001排放，</w:t>
            </w:r>
            <w:r>
              <w:rPr>
                <w:rFonts w:hint="eastAsia"/>
                <w:color w:val="auto"/>
                <w:sz w:val="21"/>
                <w:szCs w:val="21"/>
                <w:highlight w:val="none"/>
              </w:rPr>
              <w:t>有组织及厂界无组织</w:t>
            </w:r>
            <w:r>
              <w:rPr>
                <w:rFonts w:hint="eastAsia"/>
                <w:snapToGrid w:val="0"/>
                <w:color w:val="auto"/>
                <w:kern w:val="0"/>
                <w:sz w:val="21"/>
                <w:szCs w:val="21"/>
                <w:highlight w:val="none"/>
              </w:rPr>
              <w:t>排放</w:t>
            </w:r>
            <w:r>
              <w:rPr>
                <w:rFonts w:hint="eastAsia"/>
                <w:color w:val="auto"/>
                <w:sz w:val="21"/>
                <w:szCs w:val="21"/>
                <w:highlight w:val="none"/>
              </w:rPr>
              <w:t>执行《合成树脂工业污染物排放标准》（GB31572-2015）表5及表9中的“非甲烷总烃”相应标准值；因《合成树脂工业污染物排放标准》（GB31572-2015）无厂区内非甲烷总烃无组织排放标准限值，故厂区内非甲烷总烃无组织排放执行《</w:t>
            </w:r>
            <w:r>
              <w:rPr>
                <w:color w:val="auto"/>
                <w:sz w:val="21"/>
                <w:szCs w:val="21"/>
                <w:highlight w:val="none"/>
              </w:rPr>
              <w:fldChar w:fldCharType="begin"/>
            </w:r>
            <w:r>
              <w:rPr>
                <w:color w:val="auto"/>
                <w:sz w:val="21"/>
                <w:szCs w:val="21"/>
                <w:highlight w:val="none"/>
              </w:rPr>
              <w:instrText xml:space="preserve"> HYPERLINK "http://kjs.mee.gov.cn/hjbhbz/bzwb/dqhjbh/dqgdwrywrwpfbz/201906/W020190606587693632696.pdf" </w:instrText>
            </w:r>
            <w:r>
              <w:rPr>
                <w:color w:val="auto"/>
                <w:sz w:val="21"/>
                <w:szCs w:val="21"/>
                <w:highlight w:val="none"/>
              </w:rPr>
              <w:fldChar w:fldCharType="separate"/>
            </w:r>
            <w:r>
              <w:rPr>
                <w:rFonts w:hint="eastAsia"/>
                <w:color w:val="auto"/>
                <w:sz w:val="21"/>
                <w:szCs w:val="21"/>
                <w:highlight w:val="none"/>
              </w:rPr>
              <w:t>大气污染物综合排放标准》（DB32/4041-2021）</w:t>
            </w:r>
            <w:r>
              <w:rPr>
                <w:rFonts w:hint="eastAsia"/>
                <w:color w:val="auto"/>
                <w:sz w:val="21"/>
                <w:szCs w:val="21"/>
                <w:highlight w:val="none"/>
              </w:rPr>
              <w:fldChar w:fldCharType="end"/>
            </w:r>
            <w:r>
              <w:rPr>
                <w:rFonts w:hint="eastAsia"/>
                <w:color w:val="auto"/>
                <w:sz w:val="21"/>
                <w:szCs w:val="21"/>
                <w:highlight w:val="none"/>
              </w:rPr>
              <w:t>表2中相应标准值；</w:t>
            </w:r>
          </w:p>
          <w:p>
            <w:pPr>
              <w:adjustRightInd w:val="0"/>
              <w:snapToGrid w:val="0"/>
              <w:spacing w:line="360" w:lineRule="auto"/>
              <w:ind w:firstLine="422" w:firstLineChars="200"/>
              <w:jc w:val="both"/>
              <w:rPr>
                <w:color w:val="auto"/>
                <w:sz w:val="21"/>
                <w:szCs w:val="21"/>
                <w:highlight w:val="none"/>
              </w:rPr>
            </w:pPr>
            <w:r>
              <w:rPr>
                <w:rFonts w:hint="eastAsia"/>
                <w:b/>
                <w:bCs/>
                <w:color w:val="auto"/>
                <w:sz w:val="21"/>
                <w:szCs w:val="21"/>
                <w:highlight w:val="none"/>
              </w:rPr>
              <w:t>颗粒物：</w:t>
            </w:r>
            <w:r>
              <w:rPr>
                <w:rFonts w:hint="eastAsia"/>
                <w:color w:val="auto"/>
                <w:sz w:val="21"/>
                <w:szCs w:val="21"/>
                <w:highlight w:val="none"/>
              </w:rPr>
              <w:t>本项目排放的颗粒物为破碎</w:t>
            </w:r>
            <w:r>
              <w:rPr>
                <w:rFonts w:hint="eastAsia"/>
                <w:color w:val="auto"/>
                <w:sz w:val="21"/>
                <w:szCs w:val="21"/>
                <w:highlight w:val="none"/>
                <w:lang w:val="en-US" w:eastAsia="zh-CN"/>
              </w:rPr>
              <w:t>及投料</w:t>
            </w:r>
            <w:r>
              <w:rPr>
                <w:rFonts w:hint="eastAsia"/>
                <w:color w:val="auto"/>
                <w:sz w:val="21"/>
                <w:szCs w:val="21"/>
                <w:highlight w:val="none"/>
              </w:rPr>
              <w:t>工序产生的粉尘，</w:t>
            </w:r>
            <w:r>
              <w:rPr>
                <w:rFonts w:hint="eastAsia"/>
                <w:color w:val="auto"/>
                <w:sz w:val="21"/>
                <w:szCs w:val="21"/>
                <w:highlight w:val="none"/>
                <w:lang w:val="en-US" w:eastAsia="zh-CN"/>
              </w:rPr>
              <w:t>呈无组织排放，</w:t>
            </w:r>
            <w:r>
              <w:rPr>
                <w:rFonts w:hint="eastAsia"/>
                <w:color w:val="auto"/>
                <w:sz w:val="21"/>
                <w:szCs w:val="21"/>
                <w:highlight w:val="none"/>
              </w:rPr>
              <w:t>颗粒物</w:t>
            </w:r>
            <w:r>
              <w:rPr>
                <w:rFonts w:hint="eastAsia"/>
                <w:color w:val="auto"/>
                <w:sz w:val="21"/>
                <w:szCs w:val="21"/>
                <w:highlight w:val="none"/>
                <w:lang w:val="en-US" w:eastAsia="zh-CN"/>
              </w:rPr>
              <w:t>厂界无组织</w:t>
            </w:r>
            <w:r>
              <w:rPr>
                <w:rFonts w:hint="eastAsia"/>
                <w:color w:val="auto"/>
                <w:sz w:val="21"/>
                <w:szCs w:val="21"/>
                <w:highlight w:val="none"/>
              </w:rPr>
              <w:t>排放执行《</w:t>
            </w:r>
            <w:r>
              <w:rPr>
                <w:color w:val="auto"/>
                <w:sz w:val="21"/>
                <w:szCs w:val="21"/>
                <w:highlight w:val="none"/>
              </w:rPr>
              <w:fldChar w:fldCharType="begin"/>
            </w:r>
            <w:r>
              <w:rPr>
                <w:color w:val="auto"/>
                <w:sz w:val="21"/>
                <w:szCs w:val="21"/>
                <w:highlight w:val="none"/>
              </w:rPr>
              <w:instrText xml:space="preserve"> HYPERLINK "http://kjs.mee.gov.cn/hjbhbz/bzwb/dqhjbh/dqgdwrywrwpfbz/201906/W020190606587693632696.pdf" </w:instrText>
            </w:r>
            <w:r>
              <w:rPr>
                <w:color w:val="auto"/>
                <w:sz w:val="21"/>
                <w:szCs w:val="21"/>
                <w:highlight w:val="none"/>
              </w:rPr>
              <w:fldChar w:fldCharType="separate"/>
            </w:r>
            <w:r>
              <w:rPr>
                <w:rFonts w:hint="eastAsia"/>
                <w:color w:val="auto"/>
                <w:sz w:val="21"/>
                <w:szCs w:val="21"/>
                <w:highlight w:val="none"/>
              </w:rPr>
              <w:t>大气污染物综合排放标准》（DB32/4041-2021）</w:t>
            </w:r>
            <w:r>
              <w:rPr>
                <w:rFonts w:hint="eastAsia"/>
                <w:color w:val="auto"/>
                <w:sz w:val="21"/>
                <w:szCs w:val="21"/>
                <w:highlight w:val="none"/>
              </w:rPr>
              <w:fldChar w:fldCharType="end"/>
            </w:r>
            <w:r>
              <w:rPr>
                <w:rFonts w:hint="eastAsia"/>
                <w:color w:val="auto"/>
                <w:sz w:val="21"/>
                <w:szCs w:val="21"/>
                <w:highlight w:val="none"/>
              </w:rPr>
              <w:t>表3中标准限值。</w:t>
            </w:r>
          </w:p>
          <w:p>
            <w:pPr>
              <w:adjustRightInd w:val="0"/>
              <w:snapToGrid w:val="0"/>
              <w:spacing w:line="360" w:lineRule="auto"/>
              <w:ind w:firstLine="420" w:firstLineChars="200"/>
              <w:rPr>
                <w:b/>
                <w:color w:val="auto"/>
                <w:sz w:val="21"/>
                <w:szCs w:val="21"/>
                <w:highlight w:val="none"/>
              </w:rPr>
            </w:pPr>
            <w:r>
              <w:rPr>
                <w:rFonts w:hint="eastAsia"/>
                <w:color w:val="auto"/>
                <w:sz w:val="21"/>
                <w:szCs w:val="21"/>
                <w:highlight w:val="none"/>
              </w:rPr>
              <w:t>具体标准值见表3-7</w:t>
            </w:r>
            <w:r>
              <w:rPr>
                <w:rFonts w:hint="eastAsia"/>
                <w:color w:val="auto"/>
                <w:sz w:val="21"/>
                <w:szCs w:val="21"/>
                <w:highlight w:val="none"/>
                <w:lang w:val="en-US" w:eastAsia="zh-CN"/>
              </w:rPr>
              <w:t>~</w:t>
            </w:r>
            <w:r>
              <w:rPr>
                <w:rFonts w:hint="eastAsia"/>
                <w:color w:val="auto"/>
                <w:sz w:val="21"/>
                <w:szCs w:val="21"/>
                <w:highlight w:val="none"/>
              </w:rPr>
              <w:t>3-</w:t>
            </w:r>
            <w:r>
              <w:rPr>
                <w:rFonts w:hint="eastAsia"/>
                <w:color w:val="auto"/>
                <w:sz w:val="21"/>
                <w:szCs w:val="21"/>
                <w:highlight w:val="none"/>
                <w:lang w:val="en-US" w:eastAsia="zh-CN"/>
              </w:rPr>
              <w:t>9</w:t>
            </w:r>
            <w:r>
              <w:rPr>
                <w:rFonts w:hint="eastAsia"/>
                <w:color w:val="auto"/>
                <w:sz w:val="21"/>
                <w:szCs w:val="21"/>
                <w:highlight w:val="none"/>
              </w:rPr>
              <w:t>。</w:t>
            </w:r>
          </w:p>
          <w:p>
            <w:pPr>
              <w:pStyle w:val="2"/>
              <w:adjustRightInd w:val="0"/>
              <w:snapToGrid w:val="0"/>
              <w:jc w:val="center"/>
              <w:rPr>
                <w:rFonts w:ascii="Times New Roman" w:hAnsi="Times New Roman" w:eastAsia="宋体"/>
                <w:b/>
                <w:color w:val="auto"/>
                <w:sz w:val="21"/>
                <w:szCs w:val="21"/>
                <w:highlight w:val="none"/>
              </w:rPr>
            </w:pPr>
            <w:r>
              <w:rPr>
                <w:rFonts w:hint="eastAsia" w:ascii="Times New Roman" w:hAnsi="Times New Roman" w:eastAsia="宋体"/>
                <w:b/>
                <w:color w:val="auto"/>
                <w:sz w:val="21"/>
                <w:szCs w:val="21"/>
                <w:highlight w:val="none"/>
              </w:rPr>
              <w:t xml:space="preserve">表3-7 </w:t>
            </w:r>
            <w:r>
              <w:rPr>
                <w:rFonts w:hint="eastAsia" w:ascii="Times New Roman" w:hAnsi="Times New Roman" w:eastAsia="宋体"/>
                <w:b/>
                <w:color w:val="auto"/>
                <w:sz w:val="21"/>
                <w:szCs w:val="21"/>
                <w:highlight w:val="none"/>
                <w:lang w:val="en-US" w:eastAsia="zh-CN"/>
              </w:rPr>
              <w:t>有组织</w:t>
            </w:r>
            <w:r>
              <w:rPr>
                <w:rFonts w:hint="eastAsia" w:ascii="Times New Roman" w:hAnsi="Times New Roman" w:eastAsia="宋体"/>
                <w:b/>
                <w:color w:val="auto"/>
                <w:sz w:val="21"/>
                <w:szCs w:val="21"/>
                <w:highlight w:val="none"/>
              </w:rPr>
              <w:t>大气污染物排放标准</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938"/>
              <w:gridCol w:w="2030"/>
              <w:gridCol w:w="1668"/>
              <w:gridCol w:w="1562"/>
              <w:gridCol w:w="17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588" w:type="pct"/>
                  <w:vMerge w:val="restart"/>
                  <w:tcBorders>
                    <w:tl2br w:val="nil"/>
                    <w:tr2bl w:val="nil"/>
                  </w:tcBorders>
                  <w:vAlign w:val="center"/>
                </w:tcPr>
                <w:p>
                  <w:pPr>
                    <w:pStyle w:val="24"/>
                    <w:adjustRightInd w:val="0"/>
                    <w:snapToGrid w:val="0"/>
                    <w:ind w:firstLine="0" w:firstLineChars="0"/>
                    <w:jc w:val="center"/>
                    <w:rPr>
                      <w:rFonts w:hint="default" w:ascii="Times New Roman" w:hAnsi="Times New Roman" w:eastAsia="宋体"/>
                      <w:b/>
                      <w:color w:val="auto"/>
                      <w:sz w:val="21"/>
                      <w:szCs w:val="21"/>
                      <w:highlight w:val="none"/>
                      <w:lang w:val="en-US" w:eastAsia="zh-CN"/>
                    </w:rPr>
                  </w:pPr>
                  <w:r>
                    <w:rPr>
                      <w:rFonts w:hint="eastAsia" w:ascii="Times New Roman" w:hAnsi="Times New Roman" w:eastAsia="宋体"/>
                      <w:b/>
                      <w:color w:val="auto"/>
                      <w:sz w:val="21"/>
                      <w:szCs w:val="21"/>
                      <w:highlight w:val="none"/>
                      <w:lang w:val="en-US" w:eastAsia="zh-CN"/>
                    </w:rPr>
                    <w:t>排气筒编号</w:t>
                  </w:r>
                </w:p>
              </w:tc>
              <w:tc>
                <w:tcPr>
                  <w:tcW w:w="1273" w:type="pct"/>
                  <w:vMerge w:val="restart"/>
                  <w:tcBorders>
                    <w:tl2br w:val="nil"/>
                    <w:tr2bl w:val="nil"/>
                  </w:tcBorders>
                  <w:vAlign w:val="center"/>
                </w:tcPr>
                <w:p>
                  <w:pPr>
                    <w:pStyle w:val="24"/>
                    <w:adjustRightInd w:val="0"/>
                    <w:snapToGrid w:val="0"/>
                    <w:ind w:firstLine="0" w:firstLineChars="0"/>
                    <w:jc w:val="center"/>
                    <w:rPr>
                      <w:rFonts w:ascii="Times New Roman" w:hAnsi="Times New Roman" w:eastAsia="宋体"/>
                      <w:b/>
                      <w:color w:val="auto"/>
                      <w:sz w:val="21"/>
                      <w:szCs w:val="21"/>
                      <w:highlight w:val="none"/>
                    </w:rPr>
                  </w:pPr>
                  <w:r>
                    <w:rPr>
                      <w:rFonts w:hint="eastAsia" w:ascii="Times New Roman" w:hAnsi="Times New Roman" w:eastAsia="宋体"/>
                      <w:b/>
                      <w:color w:val="auto"/>
                      <w:sz w:val="21"/>
                      <w:szCs w:val="21"/>
                      <w:highlight w:val="none"/>
                    </w:rPr>
                    <w:t>污染物名称</w:t>
                  </w:r>
                </w:p>
              </w:tc>
              <w:tc>
                <w:tcPr>
                  <w:tcW w:w="1046" w:type="pct"/>
                  <w:vMerge w:val="restart"/>
                  <w:tcBorders>
                    <w:tl2br w:val="nil"/>
                    <w:tr2bl w:val="nil"/>
                  </w:tcBorders>
                  <w:vAlign w:val="center"/>
                </w:tcPr>
                <w:p>
                  <w:pPr>
                    <w:pStyle w:val="24"/>
                    <w:adjustRightInd w:val="0"/>
                    <w:snapToGrid w:val="0"/>
                    <w:ind w:firstLine="0" w:firstLineChars="0"/>
                    <w:jc w:val="center"/>
                    <w:rPr>
                      <w:rFonts w:ascii="Times New Roman" w:hAnsi="Times New Roman" w:eastAsia="宋体"/>
                      <w:b/>
                      <w:color w:val="auto"/>
                      <w:sz w:val="21"/>
                      <w:szCs w:val="21"/>
                      <w:highlight w:val="none"/>
                    </w:rPr>
                  </w:pPr>
                  <w:r>
                    <w:rPr>
                      <w:rFonts w:hint="eastAsia" w:ascii="Times New Roman" w:hAnsi="Times New Roman" w:eastAsia="宋体"/>
                      <w:b/>
                      <w:color w:val="auto"/>
                      <w:sz w:val="21"/>
                      <w:szCs w:val="21"/>
                      <w:highlight w:val="none"/>
                    </w:rPr>
                    <w:t>最高允许排放浓度（mg/m</w:t>
                  </w:r>
                  <w:r>
                    <w:rPr>
                      <w:rFonts w:ascii="Times New Roman" w:hAnsi="Times New Roman" w:eastAsia="宋体"/>
                      <w:b/>
                      <w:color w:val="auto"/>
                      <w:sz w:val="21"/>
                      <w:szCs w:val="21"/>
                      <w:highlight w:val="none"/>
                      <w:vertAlign w:val="superscript"/>
                    </w:rPr>
                    <w:t>3</w:t>
                  </w:r>
                  <w:r>
                    <w:rPr>
                      <w:rFonts w:hint="eastAsia" w:ascii="Times New Roman" w:hAnsi="Times New Roman" w:eastAsia="宋体"/>
                      <w:b/>
                      <w:color w:val="auto"/>
                      <w:sz w:val="21"/>
                      <w:szCs w:val="21"/>
                      <w:highlight w:val="none"/>
                    </w:rPr>
                    <w:t>）</w:t>
                  </w:r>
                </w:p>
              </w:tc>
              <w:tc>
                <w:tcPr>
                  <w:tcW w:w="979" w:type="pct"/>
                  <w:vMerge w:val="restart"/>
                  <w:tcBorders>
                    <w:tl2br w:val="nil"/>
                    <w:tr2bl w:val="nil"/>
                  </w:tcBorders>
                  <w:tcMar>
                    <w:left w:w="0" w:type="dxa"/>
                    <w:right w:w="0" w:type="dxa"/>
                  </w:tcMar>
                  <w:vAlign w:val="center"/>
                </w:tcPr>
                <w:p>
                  <w:pPr>
                    <w:pStyle w:val="24"/>
                    <w:adjustRightInd w:val="0"/>
                    <w:snapToGrid w:val="0"/>
                    <w:ind w:firstLine="0" w:firstLineChars="0"/>
                    <w:jc w:val="center"/>
                    <w:rPr>
                      <w:rFonts w:ascii="Times New Roman" w:hAnsi="Times New Roman" w:eastAsia="宋体"/>
                      <w:b/>
                      <w:color w:val="auto"/>
                      <w:sz w:val="21"/>
                      <w:szCs w:val="21"/>
                      <w:highlight w:val="none"/>
                    </w:rPr>
                  </w:pPr>
                  <w:r>
                    <w:rPr>
                      <w:rFonts w:hint="eastAsia" w:ascii="Times New Roman" w:hAnsi="Times New Roman" w:eastAsia="宋体"/>
                      <w:b/>
                      <w:color w:val="auto"/>
                      <w:sz w:val="21"/>
                      <w:szCs w:val="21"/>
                      <w:highlight w:val="none"/>
                    </w:rPr>
                    <w:t>监控位置</w:t>
                  </w:r>
                </w:p>
              </w:tc>
              <w:tc>
                <w:tcPr>
                  <w:tcW w:w="1112" w:type="pct"/>
                  <w:vMerge w:val="restart"/>
                  <w:tcBorders>
                    <w:tl2br w:val="nil"/>
                    <w:tr2bl w:val="nil"/>
                  </w:tcBorders>
                  <w:tcMar>
                    <w:left w:w="0" w:type="dxa"/>
                    <w:right w:w="0" w:type="dxa"/>
                  </w:tcMar>
                  <w:vAlign w:val="center"/>
                </w:tcPr>
                <w:p>
                  <w:pPr>
                    <w:pStyle w:val="24"/>
                    <w:adjustRightInd w:val="0"/>
                    <w:snapToGrid w:val="0"/>
                    <w:ind w:firstLine="0" w:firstLineChars="0"/>
                    <w:jc w:val="center"/>
                    <w:rPr>
                      <w:rFonts w:ascii="Times New Roman" w:hAnsi="Times New Roman" w:eastAsia="宋体"/>
                      <w:b/>
                      <w:color w:val="auto"/>
                      <w:sz w:val="21"/>
                      <w:szCs w:val="21"/>
                      <w:highlight w:val="none"/>
                    </w:rPr>
                  </w:pPr>
                  <w:r>
                    <w:rPr>
                      <w:rFonts w:hint="eastAsia" w:ascii="Times New Roman" w:hAnsi="Times New Roman" w:eastAsia="宋体"/>
                      <w:b/>
                      <w:color w:val="auto"/>
                      <w:sz w:val="21"/>
                      <w:szCs w:val="21"/>
                      <w:highlight w:val="none"/>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588" w:type="pct"/>
                  <w:vMerge w:val="continue"/>
                  <w:tcBorders>
                    <w:tl2br w:val="nil"/>
                    <w:tr2bl w:val="nil"/>
                  </w:tcBorders>
                  <w:vAlign w:val="center"/>
                </w:tcPr>
                <w:p>
                  <w:pPr>
                    <w:pStyle w:val="24"/>
                    <w:adjustRightInd w:val="0"/>
                    <w:snapToGrid w:val="0"/>
                    <w:ind w:firstLine="0" w:firstLineChars="0"/>
                    <w:jc w:val="center"/>
                    <w:rPr>
                      <w:color w:val="auto"/>
                      <w:sz w:val="21"/>
                      <w:szCs w:val="21"/>
                      <w:highlight w:val="none"/>
                    </w:rPr>
                  </w:pPr>
                </w:p>
              </w:tc>
              <w:tc>
                <w:tcPr>
                  <w:tcW w:w="1273" w:type="pct"/>
                  <w:vMerge w:val="continue"/>
                  <w:tcBorders>
                    <w:tl2br w:val="nil"/>
                    <w:tr2bl w:val="nil"/>
                  </w:tcBorders>
                  <w:vAlign w:val="center"/>
                </w:tcPr>
                <w:p>
                  <w:pPr>
                    <w:pStyle w:val="24"/>
                    <w:adjustRightInd w:val="0"/>
                    <w:snapToGrid w:val="0"/>
                    <w:ind w:firstLine="0" w:firstLineChars="0"/>
                    <w:jc w:val="center"/>
                    <w:rPr>
                      <w:color w:val="auto"/>
                      <w:sz w:val="21"/>
                      <w:szCs w:val="21"/>
                      <w:highlight w:val="none"/>
                    </w:rPr>
                  </w:pPr>
                </w:p>
              </w:tc>
              <w:tc>
                <w:tcPr>
                  <w:tcW w:w="1046" w:type="pct"/>
                  <w:vMerge w:val="continue"/>
                  <w:tcBorders>
                    <w:tl2br w:val="nil"/>
                    <w:tr2bl w:val="nil"/>
                  </w:tcBorders>
                  <w:vAlign w:val="center"/>
                </w:tcPr>
                <w:p>
                  <w:pPr>
                    <w:pStyle w:val="24"/>
                    <w:adjustRightInd w:val="0"/>
                    <w:snapToGrid w:val="0"/>
                    <w:ind w:firstLine="0" w:firstLineChars="0"/>
                    <w:jc w:val="center"/>
                    <w:rPr>
                      <w:color w:val="auto"/>
                      <w:sz w:val="21"/>
                      <w:szCs w:val="21"/>
                      <w:highlight w:val="none"/>
                    </w:rPr>
                  </w:pPr>
                </w:p>
              </w:tc>
              <w:tc>
                <w:tcPr>
                  <w:tcW w:w="979" w:type="pct"/>
                  <w:vMerge w:val="continue"/>
                  <w:tcBorders>
                    <w:tl2br w:val="nil"/>
                    <w:tr2bl w:val="nil"/>
                  </w:tcBorders>
                  <w:tcMar>
                    <w:left w:w="0" w:type="dxa"/>
                    <w:right w:w="0" w:type="dxa"/>
                  </w:tcMar>
                  <w:vAlign w:val="center"/>
                </w:tcPr>
                <w:p>
                  <w:pPr>
                    <w:pStyle w:val="24"/>
                    <w:adjustRightInd w:val="0"/>
                    <w:snapToGrid w:val="0"/>
                    <w:ind w:firstLine="0" w:firstLineChars="0"/>
                    <w:jc w:val="center"/>
                    <w:rPr>
                      <w:color w:val="auto"/>
                      <w:sz w:val="21"/>
                      <w:szCs w:val="21"/>
                      <w:highlight w:val="none"/>
                    </w:rPr>
                  </w:pPr>
                </w:p>
              </w:tc>
              <w:tc>
                <w:tcPr>
                  <w:tcW w:w="1112" w:type="pct"/>
                  <w:vMerge w:val="continue"/>
                  <w:tcBorders>
                    <w:tl2br w:val="nil"/>
                    <w:tr2bl w:val="nil"/>
                  </w:tcBorders>
                  <w:tcMar>
                    <w:left w:w="0" w:type="dxa"/>
                    <w:right w:w="0" w:type="dxa"/>
                  </w:tcMar>
                  <w:vAlign w:val="center"/>
                </w:tcPr>
                <w:p>
                  <w:pPr>
                    <w:pStyle w:val="24"/>
                    <w:adjustRightInd w:val="0"/>
                    <w:snapToGrid w:val="0"/>
                    <w:ind w:firstLine="0" w:firstLineChars="0"/>
                    <w:jc w:val="center"/>
                    <w:rPr>
                      <w:rFonts w:ascii="Times New Roman" w:hAnsi="Times New Roman" w:eastAsia="宋体"/>
                      <w:b/>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588" w:type="pct"/>
                  <w:vMerge w:val="restart"/>
                  <w:tcBorders>
                    <w:tl2br w:val="nil"/>
                    <w:tr2bl w:val="nil"/>
                  </w:tcBorders>
                  <w:vAlign w:val="center"/>
                </w:tcPr>
                <w:p>
                  <w:pPr>
                    <w:pStyle w:val="24"/>
                    <w:adjustRightInd w:val="0"/>
                    <w:snapToGrid w:val="0"/>
                    <w:ind w:firstLine="0" w:firstLineChars="0"/>
                    <w:jc w:val="center"/>
                    <w:rPr>
                      <w:rFonts w:hint="default" w:ascii="Times New Roman" w:hAnsi="Times New Roman" w:eastAsia="宋体"/>
                      <w:snapToGrid w:val="0"/>
                      <w:color w:val="auto"/>
                      <w:kern w:val="0"/>
                      <w:sz w:val="21"/>
                      <w:szCs w:val="21"/>
                      <w:highlight w:val="none"/>
                      <w:lang w:val="en-US" w:eastAsia="zh-CN"/>
                    </w:rPr>
                  </w:pPr>
                  <w:r>
                    <w:rPr>
                      <w:rFonts w:hint="eastAsia" w:ascii="Times New Roman" w:hAnsi="Times New Roman" w:eastAsia="宋体"/>
                      <w:snapToGrid w:val="0"/>
                      <w:color w:val="auto"/>
                      <w:kern w:val="0"/>
                      <w:sz w:val="21"/>
                      <w:szCs w:val="21"/>
                      <w:highlight w:val="none"/>
                      <w:lang w:val="en-US" w:eastAsia="zh-CN"/>
                    </w:rPr>
                    <w:t>DA001</w:t>
                  </w:r>
                </w:p>
              </w:tc>
              <w:tc>
                <w:tcPr>
                  <w:tcW w:w="1273" w:type="pct"/>
                  <w:tcBorders>
                    <w:tl2br w:val="nil"/>
                    <w:tr2bl w:val="nil"/>
                  </w:tcBorders>
                  <w:vAlign w:val="center"/>
                </w:tcPr>
                <w:p>
                  <w:pPr>
                    <w:pStyle w:val="24"/>
                    <w:adjustRightInd w:val="0"/>
                    <w:snapToGrid w:val="0"/>
                    <w:ind w:firstLine="0" w:firstLineChars="0"/>
                    <w:jc w:val="center"/>
                    <w:rPr>
                      <w:rFonts w:ascii="Times New Roman" w:hAnsi="Times New Roman" w:eastAsia="宋体"/>
                      <w:color w:val="auto"/>
                      <w:sz w:val="21"/>
                      <w:szCs w:val="21"/>
                      <w:highlight w:val="none"/>
                    </w:rPr>
                  </w:pPr>
                  <w:r>
                    <w:rPr>
                      <w:rFonts w:hint="eastAsia" w:ascii="Times New Roman" w:hAnsi="Times New Roman" w:eastAsia="宋体"/>
                      <w:snapToGrid w:val="0"/>
                      <w:color w:val="auto"/>
                      <w:kern w:val="0"/>
                      <w:sz w:val="21"/>
                      <w:szCs w:val="21"/>
                      <w:highlight w:val="none"/>
                    </w:rPr>
                    <w:t>非甲烷总烃</w:t>
                  </w:r>
                </w:p>
              </w:tc>
              <w:tc>
                <w:tcPr>
                  <w:tcW w:w="1046" w:type="pct"/>
                  <w:tcBorders>
                    <w:tl2br w:val="nil"/>
                    <w:tr2bl w:val="nil"/>
                  </w:tcBorders>
                  <w:vAlign w:val="center"/>
                </w:tcPr>
                <w:p>
                  <w:pPr>
                    <w:pStyle w:val="56"/>
                    <w:adjustRightInd w:val="0"/>
                    <w:snapToGrid w:val="0"/>
                    <w:ind w:right="0" w:rightChars="0"/>
                    <w:rPr>
                      <w:rFonts w:ascii="Times New Roman" w:hAnsi="Times New Roman"/>
                      <w:color w:val="auto"/>
                      <w:sz w:val="21"/>
                      <w:szCs w:val="21"/>
                      <w:highlight w:val="none"/>
                    </w:rPr>
                  </w:pPr>
                  <w:r>
                    <w:rPr>
                      <w:rFonts w:hint="eastAsia" w:ascii="Times New Roman" w:hAnsi="Times New Roman"/>
                      <w:color w:val="auto"/>
                      <w:sz w:val="21"/>
                      <w:szCs w:val="21"/>
                      <w:highlight w:val="none"/>
                    </w:rPr>
                    <w:t>60</w:t>
                  </w:r>
                </w:p>
              </w:tc>
              <w:tc>
                <w:tcPr>
                  <w:tcW w:w="979" w:type="pct"/>
                  <w:tcBorders>
                    <w:tl2br w:val="nil"/>
                    <w:tr2bl w:val="nil"/>
                  </w:tcBorders>
                  <w:vAlign w:val="center"/>
                </w:tcPr>
                <w:p>
                  <w:pPr>
                    <w:pStyle w:val="56"/>
                    <w:adjustRightInd w:val="0"/>
                    <w:snapToGrid w:val="0"/>
                    <w:ind w:right="0" w:rightChars="0"/>
                    <w:rPr>
                      <w:rFonts w:ascii="Times New Roman" w:hAnsi="Times New Roman"/>
                      <w:color w:val="auto"/>
                      <w:sz w:val="21"/>
                      <w:szCs w:val="21"/>
                      <w:highlight w:val="none"/>
                    </w:rPr>
                  </w:pPr>
                  <w:r>
                    <w:rPr>
                      <w:rFonts w:hint="eastAsia" w:ascii="Times New Roman" w:hAnsi="Times New Roman"/>
                      <w:color w:val="auto"/>
                      <w:sz w:val="21"/>
                      <w:szCs w:val="21"/>
                      <w:highlight w:val="none"/>
                    </w:rPr>
                    <w:t>车间或生产设施排气筒</w:t>
                  </w:r>
                </w:p>
              </w:tc>
              <w:tc>
                <w:tcPr>
                  <w:tcW w:w="1112" w:type="pct"/>
                  <w:vMerge w:val="restart"/>
                  <w:tcBorders>
                    <w:tl2br w:val="nil"/>
                    <w:tr2bl w:val="nil"/>
                  </w:tcBorders>
                  <w:vAlign w:val="center"/>
                </w:tcPr>
                <w:p>
                  <w:pPr>
                    <w:pStyle w:val="56"/>
                    <w:adjustRightInd w:val="0"/>
                    <w:snapToGrid w:val="0"/>
                    <w:ind w:right="0" w:rightChars="0"/>
                    <w:rPr>
                      <w:rFonts w:ascii="Times New Roman" w:hAnsi="Times New Roman"/>
                      <w:color w:val="auto"/>
                      <w:sz w:val="21"/>
                      <w:szCs w:val="21"/>
                      <w:highlight w:val="none"/>
                    </w:rPr>
                  </w:pPr>
                  <w:r>
                    <w:rPr>
                      <w:rStyle w:val="30"/>
                      <w:rFonts w:hint="eastAsia" w:ascii="Times New Roman" w:hAnsi="Times New Roman"/>
                      <w:color w:val="auto"/>
                      <w:kern w:val="2"/>
                      <w:sz w:val="21"/>
                      <w:szCs w:val="21"/>
                      <w:highlight w:val="none"/>
                    </w:rPr>
                    <w:t>《合成树脂工业污染物排放标准》（GB31572-2015）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588" w:type="pct"/>
                  <w:vMerge w:val="continue"/>
                  <w:tcBorders>
                    <w:tl2br w:val="nil"/>
                    <w:tr2bl w:val="nil"/>
                  </w:tcBorders>
                  <w:vAlign w:val="center"/>
                </w:tcPr>
                <w:p>
                  <w:pPr>
                    <w:pStyle w:val="24"/>
                    <w:adjustRightInd w:val="0"/>
                    <w:snapToGrid w:val="0"/>
                    <w:ind w:firstLine="0" w:firstLineChars="0"/>
                    <w:jc w:val="center"/>
                    <w:rPr>
                      <w:rFonts w:hint="eastAsia" w:ascii="Times New Roman" w:hAnsi="Times New Roman" w:eastAsia="宋体"/>
                      <w:snapToGrid w:val="0"/>
                      <w:color w:val="auto"/>
                      <w:kern w:val="0"/>
                      <w:sz w:val="21"/>
                      <w:szCs w:val="21"/>
                      <w:highlight w:val="none"/>
                    </w:rPr>
                  </w:pPr>
                </w:p>
              </w:tc>
              <w:tc>
                <w:tcPr>
                  <w:tcW w:w="1273" w:type="pct"/>
                  <w:tcBorders>
                    <w:tl2br w:val="nil"/>
                    <w:tr2bl w:val="nil"/>
                  </w:tcBorders>
                  <w:vAlign w:val="center"/>
                </w:tcPr>
                <w:p>
                  <w:pPr>
                    <w:pStyle w:val="24"/>
                    <w:adjustRightInd w:val="0"/>
                    <w:snapToGrid w:val="0"/>
                    <w:ind w:firstLine="0" w:firstLineChars="0"/>
                    <w:jc w:val="center"/>
                    <w:rPr>
                      <w:rFonts w:ascii="Times New Roman" w:hAnsi="Times New Roman" w:eastAsia="宋体"/>
                      <w:snapToGrid w:val="0"/>
                      <w:color w:val="auto"/>
                      <w:kern w:val="0"/>
                      <w:sz w:val="21"/>
                      <w:szCs w:val="21"/>
                      <w:highlight w:val="none"/>
                    </w:rPr>
                  </w:pPr>
                  <w:r>
                    <w:rPr>
                      <w:rFonts w:hint="eastAsia" w:ascii="Times New Roman" w:hAnsi="Times New Roman" w:eastAsia="宋体"/>
                      <w:snapToGrid w:val="0"/>
                      <w:color w:val="auto"/>
                      <w:kern w:val="0"/>
                      <w:sz w:val="21"/>
                      <w:szCs w:val="21"/>
                      <w:highlight w:val="none"/>
                    </w:rPr>
                    <w:t>单位产品非甲烷总烃排放量（kg/t产品）</w:t>
                  </w:r>
                </w:p>
              </w:tc>
              <w:tc>
                <w:tcPr>
                  <w:tcW w:w="1046" w:type="pct"/>
                  <w:tcBorders>
                    <w:tl2br w:val="nil"/>
                    <w:tr2bl w:val="nil"/>
                  </w:tcBorders>
                  <w:vAlign w:val="center"/>
                </w:tcPr>
                <w:p>
                  <w:pPr>
                    <w:pStyle w:val="56"/>
                    <w:adjustRightInd w:val="0"/>
                    <w:snapToGrid w:val="0"/>
                    <w:ind w:right="0" w:rightChars="0"/>
                    <w:rPr>
                      <w:rFonts w:ascii="Times New Roman" w:hAnsi="Times New Roman"/>
                      <w:color w:val="auto"/>
                      <w:sz w:val="21"/>
                      <w:szCs w:val="21"/>
                      <w:highlight w:val="none"/>
                    </w:rPr>
                  </w:pPr>
                  <w:r>
                    <w:rPr>
                      <w:rFonts w:hint="eastAsia" w:ascii="Times New Roman" w:hAnsi="Times New Roman"/>
                      <w:color w:val="auto"/>
                      <w:sz w:val="21"/>
                      <w:szCs w:val="21"/>
                      <w:highlight w:val="none"/>
                    </w:rPr>
                    <w:t>0.3</w:t>
                  </w:r>
                </w:p>
              </w:tc>
              <w:tc>
                <w:tcPr>
                  <w:tcW w:w="979" w:type="pct"/>
                  <w:tcBorders>
                    <w:tl2br w:val="nil"/>
                    <w:tr2bl w:val="nil"/>
                  </w:tcBorders>
                  <w:vAlign w:val="center"/>
                </w:tcPr>
                <w:p>
                  <w:pPr>
                    <w:pStyle w:val="56"/>
                    <w:adjustRightInd w:val="0"/>
                    <w:snapToGrid w:val="0"/>
                    <w:ind w:right="0" w:rightChars="0"/>
                    <w:rPr>
                      <w:rFonts w:ascii="Times New Roman" w:hAnsi="Times New Roman"/>
                      <w:color w:val="auto"/>
                      <w:sz w:val="21"/>
                      <w:szCs w:val="21"/>
                      <w:highlight w:val="none"/>
                    </w:rPr>
                  </w:pPr>
                  <w:r>
                    <w:rPr>
                      <w:rFonts w:hint="eastAsia" w:ascii="Times New Roman" w:hAnsi="Times New Roman"/>
                      <w:color w:val="auto"/>
                      <w:sz w:val="21"/>
                      <w:szCs w:val="21"/>
                      <w:highlight w:val="none"/>
                    </w:rPr>
                    <w:t>/</w:t>
                  </w:r>
                </w:p>
              </w:tc>
              <w:tc>
                <w:tcPr>
                  <w:tcW w:w="1112" w:type="pct"/>
                  <w:vMerge w:val="continue"/>
                  <w:tcBorders>
                    <w:tl2br w:val="nil"/>
                    <w:tr2bl w:val="nil"/>
                  </w:tcBorders>
                  <w:vAlign w:val="center"/>
                </w:tcPr>
                <w:p>
                  <w:pPr>
                    <w:pStyle w:val="56"/>
                    <w:adjustRightInd w:val="0"/>
                    <w:snapToGrid w:val="0"/>
                    <w:ind w:right="0" w:rightChars="0"/>
                    <w:rPr>
                      <w:rStyle w:val="30"/>
                      <w:rFonts w:ascii="Times New Roman" w:hAnsi="Times New Roman"/>
                      <w:color w:val="auto"/>
                      <w:kern w:val="2"/>
                      <w:sz w:val="21"/>
                      <w:szCs w:val="21"/>
                      <w:highlight w:val="none"/>
                    </w:rPr>
                  </w:pPr>
                </w:p>
              </w:tc>
            </w:tr>
          </w:tbl>
          <w:p>
            <w:pPr>
              <w:pStyle w:val="72"/>
              <w:adjustRightInd w:val="0"/>
              <w:snapToGrid w:val="0"/>
              <w:spacing w:before="120" w:beforeLines="50" w:after="0"/>
              <w:rPr>
                <w:rFonts w:ascii="Times New Roman" w:hAnsi="Times New Roman" w:cs="Times New Roman"/>
                <w:b/>
                <w:color w:val="auto"/>
                <w:sz w:val="21"/>
                <w:szCs w:val="21"/>
                <w:highlight w:val="none"/>
              </w:rPr>
            </w:pPr>
            <w:r>
              <w:rPr>
                <w:rFonts w:hint="eastAsia" w:ascii="Times New Roman" w:hAnsi="Times New Roman" w:eastAsia="宋体"/>
                <w:b/>
                <w:color w:val="auto"/>
                <w:sz w:val="21"/>
                <w:szCs w:val="21"/>
                <w:highlight w:val="none"/>
              </w:rPr>
              <w:t>表3-</w:t>
            </w:r>
            <w:r>
              <w:rPr>
                <w:rFonts w:hint="eastAsia" w:ascii="Times New Roman" w:hAnsi="Times New Roman"/>
                <w:b/>
                <w:color w:val="auto"/>
                <w:sz w:val="21"/>
                <w:szCs w:val="21"/>
                <w:highlight w:val="none"/>
                <w:lang w:val="en-US" w:eastAsia="zh-CN"/>
              </w:rPr>
              <w:t>8 无</w:t>
            </w:r>
            <w:r>
              <w:rPr>
                <w:rFonts w:hint="eastAsia" w:ascii="Times New Roman" w:hAnsi="Times New Roman" w:eastAsia="宋体"/>
                <w:b/>
                <w:color w:val="auto"/>
                <w:sz w:val="21"/>
                <w:szCs w:val="21"/>
                <w:highlight w:val="none"/>
                <w:lang w:val="en-US" w:eastAsia="zh-CN"/>
              </w:rPr>
              <w:t>组织</w:t>
            </w:r>
            <w:r>
              <w:rPr>
                <w:rFonts w:hint="eastAsia" w:ascii="Times New Roman" w:hAnsi="Times New Roman" w:eastAsia="宋体"/>
                <w:b/>
                <w:color w:val="auto"/>
                <w:sz w:val="21"/>
                <w:szCs w:val="21"/>
                <w:highlight w:val="none"/>
              </w:rPr>
              <w:t>大气污染物排放标准</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1328"/>
              <w:gridCol w:w="2224"/>
              <w:gridCol w:w="1569"/>
              <w:gridCol w:w="285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833" w:type="pct"/>
                  <w:vMerge w:val="restart"/>
                  <w:tcBorders>
                    <w:tl2br w:val="nil"/>
                    <w:tr2bl w:val="nil"/>
                  </w:tcBorders>
                  <w:vAlign w:val="center"/>
                </w:tcPr>
                <w:p>
                  <w:pPr>
                    <w:pStyle w:val="24"/>
                    <w:adjustRightInd w:val="0"/>
                    <w:snapToGrid w:val="0"/>
                    <w:ind w:firstLine="0" w:firstLineChars="0"/>
                    <w:jc w:val="center"/>
                    <w:rPr>
                      <w:rFonts w:ascii="Times New Roman" w:hAnsi="Times New Roman" w:eastAsia="宋体"/>
                      <w:b/>
                      <w:color w:val="auto"/>
                      <w:sz w:val="21"/>
                      <w:szCs w:val="21"/>
                      <w:highlight w:val="none"/>
                    </w:rPr>
                  </w:pPr>
                  <w:r>
                    <w:rPr>
                      <w:rFonts w:hint="eastAsia" w:ascii="Times New Roman" w:hAnsi="Times New Roman" w:eastAsia="宋体"/>
                      <w:b/>
                      <w:color w:val="auto"/>
                      <w:sz w:val="21"/>
                      <w:szCs w:val="21"/>
                      <w:highlight w:val="none"/>
                    </w:rPr>
                    <w:t>污染物名称</w:t>
                  </w:r>
                </w:p>
              </w:tc>
              <w:tc>
                <w:tcPr>
                  <w:tcW w:w="2379" w:type="pct"/>
                  <w:gridSpan w:val="2"/>
                  <w:tcBorders>
                    <w:tl2br w:val="nil"/>
                    <w:tr2bl w:val="nil"/>
                  </w:tcBorders>
                  <w:tcMar>
                    <w:left w:w="0" w:type="dxa"/>
                    <w:right w:w="0" w:type="dxa"/>
                  </w:tcMar>
                  <w:vAlign w:val="center"/>
                </w:tcPr>
                <w:p>
                  <w:pPr>
                    <w:pStyle w:val="24"/>
                    <w:adjustRightInd w:val="0"/>
                    <w:snapToGrid w:val="0"/>
                    <w:ind w:firstLine="0" w:firstLineChars="0"/>
                    <w:jc w:val="center"/>
                    <w:rPr>
                      <w:rFonts w:ascii="Times New Roman" w:hAnsi="Times New Roman" w:eastAsia="宋体"/>
                      <w:b/>
                      <w:color w:val="auto"/>
                      <w:sz w:val="21"/>
                      <w:szCs w:val="21"/>
                      <w:highlight w:val="none"/>
                    </w:rPr>
                  </w:pPr>
                  <w:r>
                    <w:rPr>
                      <w:rFonts w:hint="eastAsia" w:ascii="Times New Roman" w:hAnsi="Times New Roman" w:eastAsia="宋体"/>
                      <w:b/>
                      <w:color w:val="auto"/>
                      <w:sz w:val="21"/>
                      <w:szCs w:val="21"/>
                      <w:highlight w:val="none"/>
                    </w:rPr>
                    <w:t>无组织排放监控浓度限值</w:t>
                  </w:r>
                </w:p>
              </w:tc>
              <w:tc>
                <w:tcPr>
                  <w:tcW w:w="1787" w:type="pct"/>
                  <w:vMerge w:val="restart"/>
                  <w:tcBorders>
                    <w:tl2br w:val="nil"/>
                    <w:tr2bl w:val="nil"/>
                  </w:tcBorders>
                  <w:tcMar>
                    <w:left w:w="0" w:type="dxa"/>
                    <w:right w:w="0" w:type="dxa"/>
                  </w:tcMar>
                  <w:vAlign w:val="center"/>
                </w:tcPr>
                <w:p>
                  <w:pPr>
                    <w:pStyle w:val="24"/>
                    <w:adjustRightInd w:val="0"/>
                    <w:snapToGrid w:val="0"/>
                    <w:ind w:firstLine="0" w:firstLineChars="0"/>
                    <w:jc w:val="center"/>
                    <w:rPr>
                      <w:rFonts w:ascii="Times New Roman" w:hAnsi="Times New Roman" w:eastAsia="宋体"/>
                      <w:b/>
                      <w:color w:val="auto"/>
                      <w:sz w:val="21"/>
                      <w:szCs w:val="21"/>
                      <w:highlight w:val="none"/>
                    </w:rPr>
                  </w:pPr>
                  <w:r>
                    <w:rPr>
                      <w:rFonts w:hint="eastAsia" w:ascii="Times New Roman" w:hAnsi="Times New Roman" w:eastAsia="宋体"/>
                      <w:b/>
                      <w:color w:val="auto"/>
                      <w:sz w:val="21"/>
                      <w:szCs w:val="21"/>
                      <w:highlight w:val="none"/>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833" w:type="pct"/>
                  <w:vMerge w:val="continue"/>
                  <w:tcBorders>
                    <w:tl2br w:val="nil"/>
                    <w:tr2bl w:val="nil"/>
                  </w:tcBorders>
                  <w:vAlign w:val="center"/>
                </w:tcPr>
                <w:p>
                  <w:pPr>
                    <w:pStyle w:val="24"/>
                    <w:adjustRightInd w:val="0"/>
                    <w:snapToGrid w:val="0"/>
                    <w:ind w:firstLine="0" w:firstLineChars="0"/>
                    <w:jc w:val="center"/>
                    <w:rPr>
                      <w:color w:val="auto"/>
                      <w:sz w:val="21"/>
                      <w:szCs w:val="21"/>
                      <w:highlight w:val="none"/>
                    </w:rPr>
                  </w:pPr>
                </w:p>
              </w:tc>
              <w:tc>
                <w:tcPr>
                  <w:tcW w:w="1395" w:type="pct"/>
                  <w:tcBorders>
                    <w:tl2br w:val="nil"/>
                    <w:tr2bl w:val="nil"/>
                  </w:tcBorders>
                  <w:tcMar>
                    <w:left w:w="0" w:type="dxa"/>
                    <w:right w:w="0" w:type="dxa"/>
                  </w:tcMar>
                  <w:vAlign w:val="center"/>
                </w:tcPr>
                <w:p>
                  <w:pPr>
                    <w:pStyle w:val="24"/>
                    <w:adjustRightInd w:val="0"/>
                    <w:snapToGrid w:val="0"/>
                    <w:ind w:firstLine="0" w:firstLineChars="0"/>
                    <w:jc w:val="center"/>
                    <w:rPr>
                      <w:rFonts w:ascii="Times New Roman" w:hAnsi="Times New Roman" w:eastAsia="宋体"/>
                      <w:b/>
                      <w:color w:val="auto"/>
                      <w:sz w:val="21"/>
                      <w:szCs w:val="21"/>
                      <w:highlight w:val="none"/>
                    </w:rPr>
                  </w:pPr>
                  <w:r>
                    <w:rPr>
                      <w:rFonts w:hint="eastAsia" w:ascii="Times New Roman" w:hAnsi="Times New Roman" w:eastAsia="宋体"/>
                      <w:b/>
                      <w:color w:val="auto"/>
                      <w:sz w:val="21"/>
                      <w:szCs w:val="21"/>
                      <w:highlight w:val="none"/>
                    </w:rPr>
                    <w:t>监控点</w:t>
                  </w:r>
                </w:p>
              </w:tc>
              <w:tc>
                <w:tcPr>
                  <w:tcW w:w="984" w:type="pct"/>
                  <w:tcBorders>
                    <w:tl2br w:val="nil"/>
                    <w:tr2bl w:val="nil"/>
                  </w:tcBorders>
                  <w:tcMar>
                    <w:left w:w="0" w:type="dxa"/>
                    <w:right w:w="0" w:type="dxa"/>
                  </w:tcMar>
                  <w:vAlign w:val="center"/>
                </w:tcPr>
                <w:p>
                  <w:pPr>
                    <w:pStyle w:val="24"/>
                    <w:adjustRightInd w:val="0"/>
                    <w:snapToGrid w:val="0"/>
                    <w:ind w:firstLine="0" w:firstLineChars="0"/>
                    <w:jc w:val="center"/>
                    <w:rPr>
                      <w:rFonts w:ascii="Times New Roman" w:hAnsi="Times New Roman" w:eastAsia="宋体"/>
                      <w:b/>
                      <w:color w:val="auto"/>
                      <w:sz w:val="21"/>
                      <w:szCs w:val="21"/>
                      <w:highlight w:val="none"/>
                    </w:rPr>
                  </w:pPr>
                  <w:r>
                    <w:rPr>
                      <w:rFonts w:hint="eastAsia" w:ascii="Times New Roman" w:hAnsi="Times New Roman" w:eastAsia="宋体"/>
                      <w:b/>
                      <w:color w:val="auto"/>
                      <w:sz w:val="21"/>
                      <w:szCs w:val="21"/>
                      <w:highlight w:val="none"/>
                    </w:rPr>
                    <w:t>浓度（mg/m</w:t>
                  </w:r>
                  <w:r>
                    <w:rPr>
                      <w:rFonts w:ascii="Times New Roman" w:hAnsi="Times New Roman" w:eastAsia="宋体"/>
                      <w:b/>
                      <w:color w:val="auto"/>
                      <w:sz w:val="21"/>
                      <w:szCs w:val="21"/>
                      <w:highlight w:val="none"/>
                      <w:vertAlign w:val="superscript"/>
                    </w:rPr>
                    <w:t>3</w:t>
                  </w:r>
                  <w:r>
                    <w:rPr>
                      <w:rFonts w:hint="eastAsia" w:ascii="Times New Roman" w:hAnsi="Times New Roman" w:eastAsia="宋体"/>
                      <w:b/>
                      <w:color w:val="auto"/>
                      <w:sz w:val="21"/>
                      <w:szCs w:val="21"/>
                      <w:highlight w:val="none"/>
                    </w:rPr>
                    <w:t>）</w:t>
                  </w:r>
                </w:p>
              </w:tc>
              <w:tc>
                <w:tcPr>
                  <w:tcW w:w="1787" w:type="pct"/>
                  <w:vMerge w:val="continue"/>
                  <w:tcBorders>
                    <w:tl2br w:val="nil"/>
                    <w:tr2bl w:val="nil"/>
                  </w:tcBorders>
                  <w:tcMar>
                    <w:left w:w="0" w:type="dxa"/>
                    <w:right w:w="0" w:type="dxa"/>
                  </w:tcMar>
                  <w:vAlign w:val="center"/>
                </w:tcPr>
                <w:p>
                  <w:pPr>
                    <w:pStyle w:val="24"/>
                    <w:adjustRightInd w:val="0"/>
                    <w:snapToGrid w:val="0"/>
                    <w:ind w:firstLine="0" w:firstLineChars="0"/>
                    <w:jc w:val="center"/>
                    <w:rPr>
                      <w:rFonts w:ascii="Times New Roman" w:hAnsi="Times New Roman" w:eastAsia="宋体"/>
                      <w:b/>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833" w:type="pct"/>
                  <w:tcBorders>
                    <w:tl2br w:val="nil"/>
                    <w:tr2bl w:val="nil"/>
                  </w:tcBorders>
                  <w:vAlign w:val="center"/>
                </w:tcPr>
                <w:p>
                  <w:pPr>
                    <w:pStyle w:val="24"/>
                    <w:adjustRightInd w:val="0"/>
                    <w:snapToGrid w:val="0"/>
                    <w:ind w:firstLine="0" w:firstLineChars="0"/>
                    <w:jc w:val="center"/>
                    <w:rPr>
                      <w:rFonts w:ascii="Times New Roman" w:hAnsi="Times New Roman" w:eastAsia="宋体"/>
                      <w:color w:val="auto"/>
                      <w:sz w:val="21"/>
                      <w:szCs w:val="21"/>
                      <w:highlight w:val="none"/>
                    </w:rPr>
                  </w:pPr>
                  <w:r>
                    <w:rPr>
                      <w:rFonts w:hint="eastAsia" w:ascii="Times New Roman" w:hAnsi="Times New Roman" w:eastAsia="宋体"/>
                      <w:snapToGrid w:val="0"/>
                      <w:color w:val="auto"/>
                      <w:kern w:val="0"/>
                      <w:sz w:val="21"/>
                      <w:szCs w:val="21"/>
                      <w:highlight w:val="none"/>
                    </w:rPr>
                    <w:t>非甲烷总烃</w:t>
                  </w:r>
                </w:p>
              </w:tc>
              <w:tc>
                <w:tcPr>
                  <w:tcW w:w="1395" w:type="pct"/>
                  <w:tcBorders>
                    <w:tl2br w:val="nil"/>
                    <w:tr2bl w:val="nil"/>
                  </w:tcBorders>
                  <w:vAlign w:val="center"/>
                </w:tcPr>
                <w:p>
                  <w:pPr>
                    <w:pStyle w:val="56"/>
                    <w:adjustRightInd w:val="0"/>
                    <w:snapToGrid w:val="0"/>
                    <w:ind w:right="0" w:rightChars="0"/>
                    <w:rPr>
                      <w:rFonts w:ascii="Times New Roman" w:hAnsi="Times New Roman"/>
                      <w:color w:val="auto"/>
                      <w:sz w:val="21"/>
                      <w:szCs w:val="21"/>
                      <w:highlight w:val="none"/>
                    </w:rPr>
                  </w:pPr>
                  <w:r>
                    <w:rPr>
                      <w:rFonts w:hint="eastAsia" w:ascii="Times New Roman" w:hAnsi="Times New Roman"/>
                      <w:color w:val="auto"/>
                      <w:sz w:val="21"/>
                      <w:szCs w:val="21"/>
                      <w:highlight w:val="none"/>
                    </w:rPr>
                    <w:t>企业边界外浓度最高点</w:t>
                  </w:r>
                </w:p>
              </w:tc>
              <w:tc>
                <w:tcPr>
                  <w:tcW w:w="984" w:type="pct"/>
                  <w:tcBorders>
                    <w:tl2br w:val="nil"/>
                    <w:tr2bl w:val="nil"/>
                  </w:tcBorders>
                  <w:vAlign w:val="center"/>
                </w:tcPr>
                <w:p>
                  <w:pPr>
                    <w:pStyle w:val="56"/>
                    <w:adjustRightInd w:val="0"/>
                    <w:snapToGrid w:val="0"/>
                    <w:ind w:right="0" w:rightChars="0"/>
                    <w:rPr>
                      <w:rFonts w:ascii="Times New Roman" w:hAnsi="Times New Roman"/>
                      <w:color w:val="auto"/>
                      <w:sz w:val="21"/>
                      <w:szCs w:val="21"/>
                      <w:highlight w:val="none"/>
                    </w:rPr>
                  </w:pPr>
                  <w:r>
                    <w:rPr>
                      <w:rFonts w:hint="eastAsia" w:ascii="Times New Roman" w:hAnsi="Times New Roman"/>
                      <w:color w:val="auto"/>
                      <w:sz w:val="21"/>
                      <w:szCs w:val="21"/>
                      <w:highlight w:val="none"/>
                    </w:rPr>
                    <w:t>4.0</w:t>
                  </w:r>
                </w:p>
              </w:tc>
              <w:tc>
                <w:tcPr>
                  <w:tcW w:w="1787" w:type="pct"/>
                  <w:tcBorders>
                    <w:tl2br w:val="nil"/>
                    <w:tr2bl w:val="nil"/>
                  </w:tcBorders>
                  <w:vAlign w:val="center"/>
                </w:tcPr>
                <w:p>
                  <w:pPr>
                    <w:pStyle w:val="56"/>
                    <w:adjustRightInd w:val="0"/>
                    <w:snapToGrid w:val="0"/>
                    <w:ind w:right="0" w:rightChars="0"/>
                    <w:rPr>
                      <w:rFonts w:ascii="Times New Roman" w:hAnsi="Times New Roman"/>
                      <w:color w:val="auto"/>
                      <w:sz w:val="21"/>
                      <w:szCs w:val="21"/>
                      <w:highlight w:val="none"/>
                    </w:rPr>
                  </w:pPr>
                  <w:r>
                    <w:rPr>
                      <w:rStyle w:val="30"/>
                      <w:rFonts w:hint="eastAsia" w:ascii="Times New Roman" w:hAnsi="Times New Roman"/>
                      <w:color w:val="auto"/>
                      <w:kern w:val="2"/>
                      <w:sz w:val="21"/>
                      <w:szCs w:val="21"/>
                      <w:highlight w:val="none"/>
                    </w:rPr>
                    <w:t>《合成树脂工业污染物排放标准》（GB31572-2015）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833" w:type="pct"/>
                  <w:tcBorders>
                    <w:tl2br w:val="nil"/>
                    <w:tr2bl w:val="nil"/>
                  </w:tcBorders>
                  <w:vAlign w:val="center"/>
                </w:tcPr>
                <w:p>
                  <w:pPr>
                    <w:pStyle w:val="24"/>
                    <w:adjustRightInd w:val="0"/>
                    <w:snapToGrid w:val="0"/>
                    <w:ind w:firstLine="0" w:firstLineChars="0"/>
                    <w:jc w:val="center"/>
                    <w:rPr>
                      <w:rFonts w:ascii="Times New Roman" w:hAnsi="Times New Roman" w:eastAsia="宋体"/>
                      <w:snapToGrid w:val="0"/>
                      <w:color w:val="auto"/>
                      <w:kern w:val="0"/>
                      <w:sz w:val="21"/>
                      <w:szCs w:val="21"/>
                      <w:highlight w:val="none"/>
                    </w:rPr>
                  </w:pPr>
                  <w:r>
                    <w:rPr>
                      <w:rFonts w:hint="eastAsia" w:ascii="Times New Roman" w:hAnsi="Times New Roman" w:eastAsia="宋体"/>
                      <w:snapToGrid w:val="0"/>
                      <w:color w:val="auto"/>
                      <w:kern w:val="0"/>
                      <w:sz w:val="21"/>
                      <w:szCs w:val="21"/>
                      <w:highlight w:val="none"/>
                    </w:rPr>
                    <w:t>颗粒物</w:t>
                  </w:r>
                </w:p>
              </w:tc>
              <w:tc>
                <w:tcPr>
                  <w:tcW w:w="1395" w:type="pct"/>
                  <w:tcBorders>
                    <w:tl2br w:val="nil"/>
                    <w:tr2bl w:val="nil"/>
                  </w:tcBorders>
                  <w:vAlign w:val="center"/>
                </w:tcPr>
                <w:p>
                  <w:pPr>
                    <w:pStyle w:val="56"/>
                    <w:adjustRightInd w:val="0"/>
                    <w:snapToGrid w:val="0"/>
                    <w:ind w:right="0" w:rightChars="0"/>
                    <w:rPr>
                      <w:rFonts w:ascii="Times New Roman" w:hAnsi="Times New Roman"/>
                      <w:color w:val="auto"/>
                      <w:sz w:val="21"/>
                      <w:szCs w:val="21"/>
                      <w:highlight w:val="none"/>
                    </w:rPr>
                  </w:pPr>
                  <w:r>
                    <w:rPr>
                      <w:rFonts w:hint="eastAsia" w:ascii="Times New Roman" w:hAnsi="Times New Roman"/>
                      <w:color w:val="auto"/>
                      <w:sz w:val="21"/>
                      <w:szCs w:val="21"/>
                      <w:highlight w:val="none"/>
                    </w:rPr>
                    <w:t>企业边界外浓度最高点</w:t>
                  </w:r>
                </w:p>
              </w:tc>
              <w:tc>
                <w:tcPr>
                  <w:tcW w:w="984" w:type="pct"/>
                  <w:tcBorders>
                    <w:tl2br w:val="nil"/>
                    <w:tr2bl w:val="nil"/>
                  </w:tcBorders>
                  <w:vAlign w:val="center"/>
                </w:tcPr>
                <w:p>
                  <w:pPr>
                    <w:pStyle w:val="24"/>
                    <w:adjustRightInd w:val="0"/>
                    <w:snapToGrid w:val="0"/>
                    <w:ind w:firstLine="0" w:firstLineChars="0"/>
                    <w:jc w:val="center"/>
                    <w:rPr>
                      <w:rFonts w:ascii="Times New Roman" w:hAnsi="Times New Roman" w:eastAsia="宋体"/>
                      <w:snapToGrid w:val="0"/>
                      <w:color w:val="auto"/>
                      <w:kern w:val="0"/>
                      <w:sz w:val="21"/>
                      <w:szCs w:val="21"/>
                      <w:highlight w:val="none"/>
                    </w:rPr>
                  </w:pPr>
                  <w:r>
                    <w:rPr>
                      <w:rFonts w:hint="eastAsia" w:ascii="Times New Roman" w:hAnsi="Times New Roman" w:eastAsia="宋体"/>
                      <w:snapToGrid w:val="0"/>
                      <w:color w:val="auto"/>
                      <w:kern w:val="0"/>
                      <w:sz w:val="21"/>
                      <w:szCs w:val="21"/>
                      <w:highlight w:val="none"/>
                    </w:rPr>
                    <w:t>0.5</w:t>
                  </w:r>
                </w:p>
              </w:tc>
              <w:tc>
                <w:tcPr>
                  <w:tcW w:w="1787" w:type="pct"/>
                  <w:tcBorders>
                    <w:tl2br w:val="nil"/>
                    <w:tr2bl w:val="nil"/>
                  </w:tcBorders>
                  <w:vAlign w:val="center"/>
                </w:tcPr>
                <w:p>
                  <w:pPr>
                    <w:pStyle w:val="24"/>
                    <w:adjustRightInd w:val="0"/>
                    <w:snapToGrid w:val="0"/>
                    <w:ind w:firstLine="0" w:firstLineChars="0"/>
                    <w:jc w:val="center"/>
                    <w:rPr>
                      <w:rFonts w:ascii="Times New Roman" w:hAnsi="Times New Roman" w:eastAsia="宋体"/>
                      <w:snapToGrid w:val="0"/>
                      <w:color w:val="auto"/>
                      <w:kern w:val="0"/>
                      <w:sz w:val="21"/>
                      <w:szCs w:val="21"/>
                      <w:highlight w:val="none"/>
                    </w:rPr>
                  </w:pPr>
                  <w:r>
                    <w:rPr>
                      <w:rFonts w:hint="eastAsia" w:ascii="Times New Roman" w:hAnsi="Times New Roman" w:eastAsia="宋体"/>
                      <w:snapToGrid w:val="0"/>
                      <w:color w:val="auto"/>
                      <w:kern w:val="0"/>
                      <w:sz w:val="21"/>
                      <w:szCs w:val="21"/>
                      <w:highlight w:val="none"/>
                    </w:rPr>
                    <w:t>《大气污染物综合排放标准》（DB 32/4041-2021）</w:t>
                  </w:r>
                </w:p>
              </w:tc>
            </w:tr>
          </w:tbl>
          <w:p>
            <w:pPr>
              <w:pStyle w:val="72"/>
              <w:adjustRightInd w:val="0"/>
              <w:snapToGrid w:val="0"/>
              <w:spacing w:before="120" w:beforeLines="50" w:after="0"/>
              <w:rPr>
                <w:rFonts w:hint="default"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表3-</w:t>
            </w:r>
            <w:r>
              <w:rPr>
                <w:rFonts w:hint="eastAsia" w:ascii="Times New Roman" w:hAnsi="Times New Roman" w:cs="Times New Roman"/>
                <w:b/>
                <w:color w:val="auto"/>
                <w:sz w:val="21"/>
                <w:szCs w:val="21"/>
                <w:highlight w:val="none"/>
                <w:lang w:val="en-US" w:eastAsia="zh-CN"/>
              </w:rPr>
              <w:t>9</w:t>
            </w:r>
            <w:r>
              <w:rPr>
                <w:rFonts w:hint="default" w:ascii="Times New Roman" w:hAnsi="Times New Roman" w:cs="Times New Roman"/>
                <w:b/>
                <w:color w:val="auto"/>
                <w:sz w:val="21"/>
                <w:szCs w:val="21"/>
                <w:highlight w:val="none"/>
              </w:rPr>
              <w:t xml:space="preserve"> </w:t>
            </w:r>
            <w:r>
              <w:rPr>
                <w:rFonts w:ascii="Times New Roman" w:hAnsi="Times New Roman" w:cs="Times New Roman"/>
                <w:b/>
                <w:color w:val="auto"/>
                <w:sz w:val="21"/>
                <w:szCs w:val="21"/>
                <w:highlight w:val="none"/>
              </w:rPr>
              <w:t>厂区内非甲烷总烃无组织排放限值  单位：mg/m</w:t>
            </w:r>
            <w:r>
              <w:rPr>
                <w:rFonts w:hint="default" w:ascii="Times New Roman" w:hAnsi="Times New Roman" w:cs="Times New Roman"/>
                <w:b/>
                <w:color w:val="auto"/>
                <w:sz w:val="21"/>
                <w:szCs w:val="21"/>
                <w:highlight w:val="none"/>
                <w:vertAlign w:val="superscript"/>
              </w:rPr>
              <w:t>3</w:t>
            </w:r>
          </w:p>
          <w:tbl>
            <w:tblPr>
              <w:tblStyle w:val="25"/>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49"/>
              <w:gridCol w:w="1067"/>
              <w:gridCol w:w="2569"/>
              <w:gridCol w:w="1277"/>
              <w:gridCol w:w="210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595" w:type="pct"/>
                  <w:tcBorders>
                    <w:top w:val="single" w:color="auto" w:sz="12" w:space="0"/>
                    <w:left w:val="nil"/>
                    <w:bottom w:val="single" w:color="auto" w:sz="4" w:space="0"/>
                    <w:right w:val="single" w:color="auto" w:sz="4" w:space="0"/>
                  </w:tcBorders>
                  <w:vAlign w:val="center"/>
                </w:tcPr>
                <w:p>
                  <w:pPr>
                    <w:pStyle w:val="72"/>
                    <w:spacing w:before="0" w:after="0"/>
                    <w:rPr>
                      <w:rFonts w:hint="default"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污染物项目</w:t>
                  </w:r>
                </w:p>
              </w:tc>
              <w:tc>
                <w:tcPr>
                  <w:tcW w:w="669" w:type="pct"/>
                  <w:tcBorders>
                    <w:top w:val="single" w:color="auto" w:sz="12" w:space="0"/>
                    <w:left w:val="single" w:color="auto" w:sz="4" w:space="0"/>
                    <w:bottom w:val="single" w:color="auto" w:sz="4" w:space="0"/>
                    <w:right w:val="single" w:color="auto" w:sz="4" w:space="0"/>
                  </w:tcBorders>
                  <w:vAlign w:val="center"/>
                </w:tcPr>
                <w:p>
                  <w:pPr>
                    <w:pStyle w:val="72"/>
                    <w:spacing w:before="0" w:after="0"/>
                    <w:rPr>
                      <w:rFonts w:hint="default"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排放限值</w:t>
                  </w:r>
                </w:p>
              </w:tc>
              <w:tc>
                <w:tcPr>
                  <w:tcW w:w="1611" w:type="pct"/>
                  <w:tcBorders>
                    <w:top w:val="single" w:color="auto" w:sz="12" w:space="0"/>
                    <w:left w:val="single" w:color="auto" w:sz="4" w:space="0"/>
                    <w:bottom w:val="single" w:color="auto" w:sz="4" w:space="0"/>
                    <w:right w:val="single" w:color="auto" w:sz="4" w:space="0"/>
                  </w:tcBorders>
                  <w:vAlign w:val="center"/>
                </w:tcPr>
                <w:p>
                  <w:pPr>
                    <w:pStyle w:val="72"/>
                    <w:spacing w:before="0" w:after="0"/>
                    <w:rPr>
                      <w:rFonts w:hint="default"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限值含义</w:t>
                  </w:r>
                </w:p>
              </w:tc>
              <w:tc>
                <w:tcPr>
                  <w:tcW w:w="801" w:type="pct"/>
                  <w:tcBorders>
                    <w:top w:val="single" w:color="auto" w:sz="12" w:space="0"/>
                    <w:left w:val="single" w:color="auto" w:sz="4" w:space="0"/>
                    <w:bottom w:val="single" w:color="auto" w:sz="4" w:space="0"/>
                    <w:right w:val="single" w:color="auto" w:sz="4" w:space="0"/>
                  </w:tcBorders>
                  <w:vAlign w:val="center"/>
                </w:tcPr>
                <w:p>
                  <w:pPr>
                    <w:pStyle w:val="72"/>
                    <w:spacing w:before="0" w:after="0"/>
                    <w:rPr>
                      <w:rFonts w:hint="default"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无组织排放监控位置</w:t>
                  </w:r>
                </w:p>
              </w:tc>
              <w:tc>
                <w:tcPr>
                  <w:tcW w:w="1322" w:type="pct"/>
                  <w:tcBorders>
                    <w:top w:val="single" w:color="auto" w:sz="12" w:space="0"/>
                    <w:left w:val="single" w:color="auto" w:sz="4" w:space="0"/>
                    <w:bottom w:val="single" w:color="auto" w:sz="4" w:space="0"/>
                    <w:right w:val="nil"/>
                  </w:tcBorders>
                  <w:vAlign w:val="center"/>
                </w:tcPr>
                <w:p>
                  <w:pPr>
                    <w:pStyle w:val="72"/>
                    <w:spacing w:before="0" w:after="0"/>
                    <w:rPr>
                      <w:rFonts w:hint="default" w:ascii="Times New Roman" w:hAnsi="Times New Roman" w:cs="Times New Roman"/>
                      <w:b/>
                      <w:color w:val="auto"/>
                      <w:sz w:val="21"/>
                      <w:szCs w:val="21"/>
                      <w:highlight w:val="none"/>
                    </w:rPr>
                  </w:pPr>
                  <w:r>
                    <w:rPr>
                      <w:rFonts w:ascii="Times New Roman" w:hAnsi="Times New Roman"/>
                      <w:b/>
                      <w:color w:val="auto"/>
                      <w:sz w:val="21"/>
                      <w:szCs w:val="21"/>
                      <w:highlight w:val="none"/>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95" w:type="pct"/>
                  <w:vMerge w:val="restart"/>
                  <w:tcBorders>
                    <w:top w:val="single" w:color="auto" w:sz="4" w:space="0"/>
                    <w:left w:val="nil"/>
                    <w:bottom w:val="single" w:color="auto" w:sz="4" w:space="0"/>
                    <w:right w:val="single" w:color="auto" w:sz="4" w:space="0"/>
                  </w:tcBorders>
                  <w:vAlign w:val="center"/>
                </w:tcPr>
                <w:p>
                  <w:pPr>
                    <w:pStyle w:val="72"/>
                    <w:spacing w:before="0" w:after="0"/>
                    <w:rPr>
                      <w:rFonts w:hint="default" w:ascii="Times New Roman" w:hAnsi="Times New Roman" w:cs="Times New Roman"/>
                      <w:color w:val="auto"/>
                      <w:sz w:val="21"/>
                      <w:szCs w:val="21"/>
                      <w:highlight w:val="none"/>
                    </w:rPr>
                  </w:pPr>
                  <w:bookmarkStart w:id="6" w:name="_Hlk51663979"/>
                  <w:r>
                    <w:rPr>
                      <w:rFonts w:hint="default" w:ascii="Times New Roman" w:hAnsi="Times New Roman" w:cs="Times New Roman"/>
                      <w:color w:val="auto"/>
                      <w:sz w:val="21"/>
                      <w:szCs w:val="21"/>
                      <w:highlight w:val="none"/>
                    </w:rPr>
                    <w:t>NMHC</w:t>
                  </w:r>
                  <w:bookmarkEnd w:id="6"/>
                </w:p>
              </w:tc>
              <w:tc>
                <w:tcPr>
                  <w:tcW w:w="669" w:type="pct"/>
                  <w:tcBorders>
                    <w:top w:val="single" w:color="auto" w:sz="4" w:space="0"/>
                    <w:left w:val="single" w:color="auto" w:sz="4" w:space="0"/>
                    <w:bottom w:val="single" w:color="auto" w:sz="4" w:space="0"/>
                    <w:right w:val="single" w:color="auto" w:sz="4" w:space="0"/>
                  </w:tcBorders>
                  <w:vAlign w:val="center"/>
                </w:tcPr>
                <w:p>
                  <w:pPr>
                    <w:pStyle w:val="72"/>
                    <w:spacing w:before="0" w:after="0"/>
                    <w:rPr>
                      <w:rFonts w:hint="default"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6</w:t>
                  </w:r>
                </w:p>
              </w:tc>
              <w:tc>
                <w:tcPr>
                  <w:tcW w:w="1611" w:type="pct"/>
                  <w:tcBorders>
                    <w:top w:val="single" w:color="auto" w:sz="4" w:space="0"/>
                    <w:left w:val="single" w:color="auto" w:sz="4" w:space="0"/>
                    <w:bottom w:val="single" w:color="auto" w:sz="4" w:space="0"/>
                    <w:right w:val="single" w:color="auto" w:sz="4" w:space="0"/>
                  </w:tcBorders>
                  <w:vAlign w:val="center"/>
                </w:tcPr>
                <w:p>
                  <w:pPr>
                    <w:pStyle w:val="72"/>
                    <w:spacing w:before="0" w:after="0"/>
                    <w:rPr>
                      <w:rFonts w:hint="default"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监控点处1h平均浓度值</w:t>
                  </w:r>
                </w:p>
              </w:tc>
              <w:tc>
                <w:tcPr>
                  <w:tcW w:w="801" w:type="pct"/>
                  <w:vMerge w:val="restart"/>
                  <w:tcBorders>
                    <w:top w:val="single" w:color="auto" w:sz="4" w:space="0"/>
                    <w:left w:val="single" w:color="auto" w:sz="4" w:space="0"/>
                    <w:bottom w:val="single" w:color="auto" w:sz="4" w:space="0"/>
                    <w:right w:val="single" w:color="auto" w:sz="4" w:space="0"/>
                  </w:tcBorders>
                  <w:vAlign w:val="center"/>
                </w:tcPr>
                <w:p>
                  <w:pPr>
                    <w:pStyle w:val="72"/>
                    <w:spacing w:before="0" w:after="0"/>
                    <w:rPr>
                      <w:rFonts w:hint="default"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在厂房外设置监控点</w:t>
                  </w:r>
                </w:p>
              </w:tc>
              <w:tc>
                <w:tcPr>
                  <w:tcW w:w="1322" w:type="pct"/>
                  <w:vMerge w:val="restart"/>
                  <w:tcBorders>
                    <w:top w:val="single" w:color="auto" w:sz="4" w:space="0"/>
                    <w:left w:val="single" w:color="auto" w:sz="4" w:space="0"/>
                    <w:bottom w:val="single" w:color="auto" w:sz="4" w:space="0"/>
                    <w:right w:val="nil"/>
                  </w:tcBorders>
                  <w:vAlign w:val="center"/>
                </w:tcPr>
                <w:p>
                  <w:pPr>
                    <w:pStyle w:val="72"/>
                    <w:spacing w:before="0" w:after="0"/>
                    <w:rPr>
                      <w:rFonts w:hint="default"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《大气污染物综合排放标准》（DB32/4041-2021）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595" w:type="pct"/>
                  <w:vMerge w:val="continue"/>
                  <w:tcBorders>
                    <w:top w:val="single" w:color="auto" w:sz="4" w:space="0"/>
                    <w:left w:val="nil"/>
                    <w:bottom w:val="single" w:color="auto" w:sz="12" w:space="0"/>
                    <w:right w:val="single" w:color="auto" w:sz="4" w:space="0"/>
                  </w:tcBorders>
                  <w:vAlign w:val="center"/>
                </w:tcPr>
                <w:p>
                  <w:pPr>
                    <w:pStyle w:val="72"/>
                    <w:spacing w:before="0" w:after="0"/>
                    <w:rPr>
                      <w:rFonts w:hint="default" w:ascii="Times New Roman" w:hAnsi="Times New Roman" w:cs="Times New Roman"/>
                      <w:color w:val="auto"/>
                      <w:sz w:val="21"/>
                      <w:szCs w:val="21"/>
                      <w:highlight w:val="none"/>
                    </w:rPr>
                  </w:pPr>
                </w:p>
              </w:tc>
              <w:tc>
                <w:tcPr>
                  <w:tcW w:w="669" w:type="pct"/>
                  <w:tcBorders>
                    <w:top w:val="single" w:color="auto" w:sz="4" w:space="0"/>
                    <w:left w:val="single" w:color="auto" w:sz="4" w:space="0"/>
                    <w:bottom w:val="single" w:color="auto" w:sz="12" w:space="0"/>
                    <w:right w:val="single" w:color="auto" w:sz="4" w:space="0"/>
                  </w:tcBorders>
                  <w:vAlign w:val="center"/>
                </w:tcPr>
                <w:p>
                  <w:pPr>
                    <w:pStyle w:val="72"/>
                    <w:spacing w:before="0" w:after="0"/>
                    <w:rPr>
                      <w:rFonts w:hint="default"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20</w:t>
                  </w:r>
                </w:p>
              </w:tc>
              <w:tc>
                <w:tcPr>
                  <w:tcW w:w="1611" w:type="pct"/>
                  <w:tcBorders>
                    <w:top w:val="single" w:color="auto" w:sz="4" w:space="0"/>
                    <w:left w:val="single" w:color="auto" w:sz="4" w:space="0"/>
                    <w:bottom w:val="single" w:color="auto" w:sz="12" w:space="0"/>
                    <w:right w:val="single" w:color="auto" w:sz="4" w:space="0"/>
                  </w:tcBorders>
                  <w:vAlign w:val="center"/>
                </w:tcPr>
                <w:p>
                  <w:pPr>
                    <w:pStyle w:val="72"/>
                    <w:spacing w:before="0" w:after="0"/>
                    <w:rPr>
                      <w:rFonts w:hint="default"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监控点处任意一次浓度值</w:t>
                  </w:r>
                </w:p>
              </w:tc>
              <w:tc>
                <w:tcPr>
                  <w:tcW w:w="801" w:type="pct"/>
                  <w:vMerge w:val="continue"/>
                  <w:tcBorders>
                    <w:top w:val="single" w:color="auto" w:sz="4" w:space="0"/>
                    <w:left w:val="single" w:color="auto" w:sz="4" w:space="0"/>
                    <w:bottom w:val="single" w:color="auto" w:sz="12" w:space="0"/>
                    <w:right w:val="single" w:color="auto" w:sz="4" w:space="0"/>
                  </w:tcBorders>
                  <w:vAlign w:val="center"/>
                </w:tcPr>
                <w:p>
                  <w:pPr>
                    <w:pStyle w:val="72"/>
                    <w:spacing w:before="0" w:after="0"/>
                    <w:rPr>
                      <w:rFonts w:hint="default" w:ascii="Times New Roman" w:hAnsi="Times New Roman" w:cs="Times New Roman"/>
                      <w:color w:val="auto"/>
                      <w:sz w:val="21"/>
                      <w:szCs w:val="21"/>
                      <w:highlight w:val="none"/>
                    </w:rPr>
                  </w:pPr>
                </w:p>
              </w:tc>
              <w:tc>
                <w:tcPr>
                  <w:tcW w:w="1322" w:type="pct"/>
                  <w:vMerge w:val="continue"/>
                  <w:tcBorders>
                    <w:top w:val="single" w:color="auto" w:sz="4" w:space="0"/>
                    <w:left w:val="single" w:color="auto" w:sz="4" w:space="0"/>
                    <w:bottom w:val="single" w:color="auto" w:sz="12" w:space="0"/>
                    <w:right w:val="nil"/>
                  </w:tcBorders>
                  <w:vAlign w:val="center"/>
                </w:tcPr>
                <w:p>
                  <w:pPr>
                    <w:pStyle w:val="72"/>
                    <w:spacing w:before="0" w:after="0"/>
                    <w:rPr>
                      <w:rFonts w:hint="default" w:ascii="Times New Roman" w:hAnsi="Times New Roman" w:cs="Times New Roman"/>
                      <w:color w:val="auto"/>
                      <w:sz w:val="21"/>
                      <w:szCs w:val="21"/>
                      <w:highlight w:val="none"/>
                    </w:rPr>
                  </w:pPr>
                </w:p>
              </w:tc>
            </w:tr>
          </w:tbl>
          <w:p>
            <w:pPr>
              <w:spacing w:before="120" w:beforeLines="50" w:line="360" w:lineRule="auto"/>
              <w:ind w:firstLine="422" w:firstLineChars="200"/>
              <w:rPr>
                <w:b/>
                <w:bCs/>
                <w:color w:val="auto"/>
                <w:sz w:val="21"/>
                <w:szCs w:val="21"/>
                <w:highlight w:val="none"/>
              </w:rPr>
            </w:pPr>
            <w:r>
              <w:rPr>
                <w:b/>
                <w:bCs/>
                <w:color w:val="auto"/>
                <w:sz w:val="21"/>
                <w:szCs w:val="21"/>
                <w:highlight w:val="none"/>
              </w:rPr>
              <w:t>二、废水</w:t>
            </w:r>
          </w:p>
          <w:p>
            <w:pPr>
              <w:adjustRightInd w:val="0"/>
              <w:snapToGrid w:val="0"/>
              <w:spacing w:line="360" w:lineRule="auto"/>
              <w:ind w:firstLine="420" w:firstLineChars="200"/>
              <w:rPr>
                <w:color w:val="auto"/>
                <w:sz w:val="21"/>
                <w:szCs w:val="21"/>
                <w:highlight w:val="none"/>
              </w:rPr>
            </w:pPr>
            <w:r>
              <w:rPr>
                <w:color w:val="auto"/>
                <w:sz w:val="21"/>
                <w:szCs w:val="21"/>
                <w:highlight w:val="none"/>
              </w:rPr>
              <w:t>本项目生活污水经厂区现有污水接管口排入市政污水管网，接管至</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，生活污水满足</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接管限值和《污水排入城镇下水道水质标准》（GB/T31962-2015）表1中B等级标准，具体详见下表。</w:t>
            </w:r>
          </w:p>
          <w:p>
            <w:pPr>
              <w:tabs>
                <w:tab w:val="left" w:pos="960"/>
              </w:tabs>
              <w:jc w:val="center"/>
              <w:rPr>
                <w:b/>
                <w:bCs/>
                <w:color w:val="auto"/>
                <w:spacing w:val="-4"/>
                <w:sz w:val="21"/>
                <w:szCs w:val="21"/>
                <w:highlight w:val="none"/>
              </w:rPr>
            </w:pPr>
            <w:r>
              <w:rPr>
                <w:b/>
                <w:bCs/>
                <w:color w:val="auto"/>
                <w:spacing w:val="-4"/>
                <w:sz w:val="21"/>
                <w:szCs w:val="21"/>
                <w:highlight w:val="none"/>
              </w:rPr>
              <w:t>表3-</w:t>
            </w:r>
            <w:r>
              <w:rPr>
                <w:rFonts w:hint="eastAsia"/>
                <w:b/>
                <w:bCs/>
                <w:color w:val="auto"/>
                <w:spacing w:val="-4"/>
                <w:sz w:val="21"/>
                <w:szCs w:val="21"/>
                <w:highlight w:val="none"/>
                <w:lang w:val="en-US" w:eastAsia="zh-CN"/>
              </w:rPr>
              <w:t>10</w:t>
            </w:r>
            <w:r>
              <w:rPr>
                <w:b/>
                <w:bCs/>
                <w:color w:val="auto"/>
                <w:spacing w:val="-4"/>
                <w:sz w:val="21"/>
                <w:szCs w:val="21"/>
                <w:highlight w:val="none"/>
              </w:rPr>
              <w:t xml:space="preserve"> 废水污染物排放执行标准  单位：mg/L，pH无量纲</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2627"/>
              <w:gridCol w:w="2590"/>
              <w:gridCol w:w="2754"/>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647" w:type="pct"/>
                  <w:vAlign w:val="center"/>
                </w:tcPr>
                <w:p>
                  <w:pPr>
                    <w:jc w:val="center"/>
                    <w:rPr>
                      <w:b/>
                      <w:bCs/>
                      <w:color w:val="auto"/>
                      <w:sz w:val="21"/>
                      <w:szCs w:val="21"/>
                      <w:highlight w:val="none"/>
                    </w:rPr>
                  </w:pPr>
                  <w:r>
                    <w:rPr>
                      <w:b/>
                      <w:bCs/>
                      <w:color w:val="auto"/>
                      <w:sz w:val="21"/>
                      <w:szCs w:val="21"/>
                      <w:highlight w:val="none"/>
                    </w:rPr>
                    <w:t>污染物</w:t>
                  </w:r>
                </w:p>
              </w:tc>
              <w:tc>
                <w:tcPr>
                  <w:tcW w:w="1624" w:type="pct"/>
                  <w:vAlign w:val="center"/>
                </w:tcPr>
                <w:p>
                  <w:pPr>
                    <w:jc w:val="center"/>
                    <w:rPr>
                      <w:b/>
                      <w:bCs/>
                      <w:color w:val="auto"/>
                      <w:sz w:val="21"/>
                      <w:szCs w:val="21"/>
                      <w:highlight w:val="none"/>
                    </w:rPr>
                  </w:pPr>
                  <w:r>
                    <w:rPr>
                      <w:b/>
                      <w:bCs/>
                      <w:color w:val="auto"/>
                      <w:sz w:val="21"/>
                      <w:szCs w:val="21"/>
                      <w:highlight w:val="none"/>
                    </w:rPr>
                    <w:t>接管标准浓度限值</w:t>
                  </w:r>
                </w:p>
              </w:tc>
              <w:tc>
                <w:tcPr>
                  <w:tcW w:w="1727" w:type="pct"/>
                  <w:vAlign w:val="center"/>
                </w:tcPr>
                <w:p>
                  <w:pPr>
                    <w:jc w:val="center"/>
                    <w:rPr>
                      <w:b/>
                      <w:bCs/>
                      <w:color w:val="auto"/>
                      <w:sz w:val="21"/>
                      <w:szCs w:val="21"/>
                      <w:highlight w:val="none"/>
                    </w:rPr>
                  </w:pPr>
                  <w:r>
                    <w:rPr>
                      <w:b/>
                      <w:bCs/>
                      <w:color w:val="auto"/>
                      <w:sz w:val="21"/>
                      <w:szCs w:val="21"/>
                      <w:highlight w:val="none"/>
                    </w:rPr>
                    <w:t>标准来源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647" w:type="pct"/>
                  <w:vAlign w:val="center"/>
                </w:tcPr>
                <w:p>
                  <w:pPr>
                    <w:jc w:val="center"/>
                    <w:rPr>
                      <w:color w:val="auto"/>
                      <w:sz w:val="21"/>
                      <w:szCs w:val="21"/>
                      <w:highlight w:val="none"/>
                    </w:rPr>
                  </w:pPr>
                  <w:r>
                    <w:rPr>
                      <w:color w:val="auto"/>
                      <w:sz w:val="21"/>
                      <w:szCs w:val="21"/>
                      <w:highlight w:val="none"/>
                    </w:rPr>
                    <w:t>pH</w:t>
                  </w:r>
                </w:p>
              </w:tc>
              <w:tc>
                <w:tcPr>
                  <w:tcW w:w="1624" w:type="pct"/>
                  <w:vAlign w:val="center"/>
                </w:tcPr>
                <w:p>
                  <w:pPr>
                    <w:jc w:val="center"/>
                    <w:rPr>
                      <w:color w:val="auto"/>
                      <w:sz w:val="21"/>
                      <w:szCs w:val="21"/>
                      <w:highlight w:val="none"/>
                    </w:rPr>
                  </w:pPr>
                  <w:r>
                    <w:rPr>
                      <w:color w:val="auto"/>
                      <w:sz w:val="21"/>
                      <w:szCs w:val="21"/>
                      <w:highlight w:val="none"/>
                    </w:rPr>
                    <w:t>6～9</w:t>
                  </w:r>
                </w:p>
              </w:tc>
              <w:tc>
                <w:tcPr>
                  <w:tcW w:w="1727" w:type="pct"/>
                  <w:vMerge w:val="restart"/>
                  <w:vAlign w:val="center"/>
                </w:tcPr>
                <w:p>
                  <w:pPr>
                    <w:jc w:val="center"/>
                    <w:rPr>
                      <w:color w:val="auto"/>
                      <w:sz w:val="21"/>
                      <w:szCs w:val="21"/>
                      <w:highlight w:val="none"/>
                    </w:rPr>
                  </w:pP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接管</w:t>
                  </w:r>
                </w:p>
                <w:p>
                  <w:pPr>
                    <w:jc w:val="center"/>
                    <w:rPr>
                      <w:color w:val="auto"/>
                      <w:sz w:val="21"/>
                      <w:szCs w:val="21"/>
                      <w:highlight w:val="none"/>
                    </w:rPr>
                  </w:pPr>
                  <w:r>
                    <w:rPr>
                      <w:color w:val="auto"/>
                      <w:sz w:val="21"/>
                      <w:szCs w:val="21"/>
                      <w:highlight w:val="none"/>
                    </w:rPr>
                    <w:t>标准要求</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647" w:type="pct"/>
                  <w:vAlign w:val="center"/>
                </w:tcPr>
                <w:p>
                  <w:pPr>
                    <w:jc w:val="center"/>
                    <w:rPr>
                      <w:color w:val="auto"/>
                      <w:sz w:val="21"/>
                      <w:szCs w:val="21"/>
                      <w:highlight w:val="none"/>
                    </w:rPr>
                  </w:pPr>
                  <w:r>
                    <w:rPr>
                      <w:color w:val="auto"/>
                      <w:sz w:val="21"/>
                      <w:szCs w:val="21"/>
                      <w:highlight w:val="none"/>
                    </w:rPr>
                    <w:t>COD</w:t>
                  </w:r>
                </w:p>
              </w:tc>
              <w:tc>
                <w:tcPr>
                  <w:tcW w:w="1624" w:type="pct"/>
                  <w:vAlign w:val="center"/>
                </w:tcPr>
                <w:p>
                  <w:pPr>
                    <w:widowControl/>
                    <w:jc w:val="center"/>
                    <w:rPr>
                      <w:color w:val="auto"/>
                      <w:sz w:val="21"/>
                      <w:szCs w:val="21"/>
                      <w:highlight w:val="none"/>
                    </w:rPr>
                  </w:pPr>
                  <w:r>
                    <w:rPr>
                      <w:color w:val="auto"/>
                      <w:sz w:val="21"/>
                      <w:szCs w:val="21"/>
                      <w:highlight w:val="none"/>
                    </w:rPr>
                    <w:t>500</w:t>
                  </w:r>
                </w:p>
              </w:tc>
              <w:tc>
                <w:tcPr>
                  <w:tcW w:w="1727" w:type="pct"/>
                  <w:vMerge w:val="continue"/>
                  <w:vAlign w:val="center"/>
                </w:tcPr>
                <w:p>
                  <w:pP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647" w:type="pct"/>
                  <w:vAlign w:val="center"/>
                </w:tcPr>
                <w:p>
                  <w:pPr>
                    <w:jc w:val="center"/>
                    <w:rPr>
                      <w:color w:val="auto"/>
                      <w:sz w:val="21"/>
                      <w:szCs w:val="21"/>
                      <w:highlight w:val="none"/>
                    </w:rPr>
                  </w:pPr>
                  <w:r>
                    <w:rPr>
                      <w:color w:val="auto"/>
                      <w:sz w:val="21"/>
                      <w:szCs w:val="21"/>
                      <w:highlight w:val="none"/>
                    </w:rPr>
                    <w:t>SS</w:t>
                  </w:r>
                </w:p>
              </w:tc>
              <w:tc>
                <w:tcPr>
                  <w:tcW w:w="1624" w:type="pct"/>
                  <w:vAlign w:val="center"/>
                </w:tcPr>
                <w:p>
                  <w:pPr>
                    <w:jc w:val="center"/>
                    <w:rPr>
                      <w:color w:val="auto"/>
                      <w:sz w:val="21"/>
                      <w:szCs w:val="21"/>
                      <w:highlight w:val="none"/>
                    </w:rPr>
                  </w:pPr>
                  <w:r>
                    <w:rPr>
                      <w:color w:val="auto"/>
                      <w:sz w:val="21"/>
                      <w:szCs w:val="21"/>
                      <w:highlight w:val="none"/>
                    </w:rPr>
                    <w:t>250</w:t>
                  </w:r>
                </w:p>
              </w:tc>
              <w:tc>
                <w:tcPr>
                  <w:tcW w:w="1727" w:type="pct"/>
                  <w:vMerge w:val="continue"/>
                  <w:vAlign w:val="center"/>
                </w:tcPr>
                <w:p>
                  <w:pP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647" w:type="pct"/>
                  <w:vAlign w:val="center"/>
                </w:tcPr>
                <w:p>
                  <w:pPr>
                    <w:jc w:val="center"/>
                    <w:rPr>
                      <w:color w:val="auto"/>
                      <w:sz w:val="21"/>
                      <w:szCs w:val="21"/>
                      <w:highlight w:val="none"/>
                    </w:rPr>
                  </w:pPr>
                  <w:r>
                    <w:rPr>
                      <w:color w:val="auto"/>
                      <w:sz w:val="21"/>
                      <w:szCs w:val="21"/>
                      <w:highlight w:val="none"/>
                    </w:rPr>
                    <w:t>氨氮</w:t>
                  </w:r>
                </w:p>
              </w:tc>
              <w:tc>
                <w:tcPr>
                  <w:tcW w:w="1624" w:type="pct"/>
                  <w:vAlign w:val="center"/>
                </w:tcPr>
                <w:p>
                  <w:pPr>
                    <w:jc w:val="center"/>
                    <w:rPr>
                      <w:color w:val="auto"/>
                      <w:sz w:val="21"/>
                      <w:szCs w:val="21"/>
                      <w:highlight w:val="none"/>
                    </w:rPr>
                  </w:pPr>
                  <w:r>
                    <w:rPr>
                      <w:color w:val="auto"/>
                      <w:sz w:val="21"/>
                      <w:szCs w:val="21"/>
                      <w:highlight w:val="none"/>
                    </w:rPr>
                    <w:t>35</w:t>
                  </w:r>
                </w:p>
              </w:tc>
              <w:tc>
                <w:tcPr>
                  <w:tcW w:w="1727" w:type="pct"/>
                  <w:vMerge w:val="continue"/>
                  <w:vAlign w:val="center"/>
                </w:tcPr>
                <w:p>
                  <w:pP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647" w:type="pct"/>
                  <w:vAlign w:val="center"/>
                </w:tcPr>
                <w:p>
                  <w:pPr>
                    <w:jc w:val="center"/>
                    <w:rPr>
                      <w:color w:val="auto"/>
                      <w:sz w:val="21"/>
                      <w:szCs w:val="21"/>
                      <w:highlight w:val="none"/>
                    </w:rPr>
                  </w:pPr>
                  <w:r>
                    <w:rPr>
                      <w:color w:val="auto"/>
                      <w:sz w:val="21"/>
                      <w:szCs w:val="21"/>
                      <w:highlight w:val="none"/>
                    </w:rPr>
                    <w:t>TP</w:t>
                  </w:r>
                </w:p>
              </w:tc>
              <w:tc>
                <w:tcPr>
                  <w:tcW w:w="1624" w:type="pct"/>
                  <w:vAlign w:val="center"/>
                </w:tcPr>
                <w:p>
                  <w:pPr>
                    <w:jc w:val="center"/>
                    <w:rPr>
                      <w:color w:val="auto"/>
                      <w:sz w:val="21"/>
                      <w:szCs w:val="21"/>
                      <w:highlight w:val="none"/>
                    </w:rPr>
                  </w:pPr>
                  <w:r>
                    <w:rPr>
                      <w:color w:val="auto"/>
                      <w:sz w:val="21"/>
                      <w:szCs w:val="21"/>
                      <w:highlight w:val="none"/>
                    </w:rPr>
                    <w:t>3</w:t>
                  </w:r>
                </w:p>
              </w:tc>
              <w:tc>
                <w:tcPr>
                  <w:tcW w:w="1727" w:type="pct"/>
                  <w:vMerge w:val="continue"/>
                  <w:vAlign w:val="center"/>
                </w:tcPr>
                <w:p>
                  <w:pP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647" w:type="pct"/>
                  <w:vAlign w:val="center"/>
                </w:tcPr>
                <w:p>
                  <w:pPr>
                    <w:jc w:val="center"/>
                    <w:rPr>
                      <w:color w:val="auto"/>
                      <w:sz w:val="21"/>
                      <w:szCs w:val="21"/>
                      <w:highlight w:val="none"/>
                    </w:rPr>
                  </w:pPr>
                  <w:r>
                    <w:rPr>
                      <w:color w:val="auto"/>
                      <w:sz w:val="21"/>
                      <w:szCs w:val="21"/>
                      <w:highlight w:val="none"/>
                    </w:rPr>
                    <w:t>TN</w:t>
                  </w:r>
                </w:p>
              </w:tc>
              <w:tc>
                <w:tcPr>
                  <w:tcW w:w="1624" w:type="pct"/>
                  <w:vAlign w:val="center"/>
                </w:tcPr>
                <w:p>
                  <w:pPr>
                    <w:jc w:val="center"/>
                    <w:rPr>
                      <w:color w:val="auto"/>
                      <w:sz w:val="21"/>
                      <w:szCs w:val="21"/>
                      <w:highlight w:val="none"/>
                    </w:rPr>
                  </w:pPr>
                  <w:r>
                    <w:rPr>
                      <w:color w:val="auto"/>
                      <w:sz w:val="21"/>
                      <w:szCs w:val="21"/>
                      <w:highlight w:val="none"/>
                    </w:rPr>
                    <w:t>50</w:t>
                  </w:r>
                </w:p>
              </w:tc>
              <w:tc>
                <w:tcPr>
                  <w:tcW w:w="1727" w:type="pct"/>
                  <w:vMerge w:val="continue"/>
                  <w:vAlign w:val="center"/>
                </w:tcPr>
                <w:p>
                  <w:pPr>
                    <w:rPr>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color w:val="auto"/>
                <w:sz w:val="21"/>
                <w:szCs w:val="21"/>
                <w:highlight w:val="none"/>
              </w:rPr>
            </w:pP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尾水排放执行《太湖地区城镇污水处理厂及重点工业行业主要水污染物排放限值》（DB32/1072-2018）中表2标准及《城镇污水处理厂污染物排放标准》（GB18918-2002）中表1一级A标准；具体见表3-1</w:t>
            </w:r>
            <w:r>
              <w:rPr>
                <w:rFonts w:hint="eastAsia"/>
                <w:color w:val="auto"/>
                <w:sz w:val="21"/>
                <w:szCs w:val="21"/>
                <w:highlight w:val="none"/>
                <w:lang w:val="en-US" w:eastAsia="zh-CN"/>
              </w:rPr>
              <w:t>1</w:t>
            </w:r>
            <w:r>
              <w:rPr>
                <w:color w:val="auto"/>
                <w:sz w:val="21"/>
                <w:szCs w:val="21"/>
                <w:highlight w:val="none"/>
              </w:rPr>
              <w:t>。</w:t>
            </w:r>
          </w:p>
          <w:p>
            <w:pPr>
              <w:tabs>
                <w:tab w:val="left" w:pos="1367"/>
              </w:tabs>
              <w:jc w:val="center"/>
              <w:rPr>
                <w:b/>
                <w:color w:val="auto"/>
                <w:kern w:val="0"/>
                <w:sz w:val="21"/>
                <w:szCs w:val="21"/>
                <w:highlight w:val="none"/>
                <w:lang w:bidi="ar"/>
              </w:rPr>
            </w:pPr>
            <w:r>
              <w:rPr>
                <w:b/>
                <w:color w:val="auto"/>
                <w:kern w:val="0"/>
                <w:sz w:val="21"/>
                <w:szCs w:val="21"/>
                <w:highlight w:val="none"/>
                <w:lang w:bidi="ar"/>
              </w:rPr>
              <w:t>表3-1</w:t>
            </w:r>
            <w:r>
              <w:rPr>
                <w:rFonts w:hint="eastAsia"/>
                <w:b/>
                <w:color w:val="auto"/>
                <w:kern w:val="0"/>
                <w:sz w:val="21"/>
                <w:szCs w:val="21"/>
                <w:highlight w:val="none"/>
                <w:lang w:val="en-US" w:eastAsia="zh-CN" w:bidi="ar"/>
              </w:rPr>
              <w:t xml:space="preserve">1 </w:t>
            </w:r>
            <w:r>
              <w:rPr>
                <w:b/>
                <w:color w:val="auto"/>
                <w:kern w:val="0"/>
                <w:sz w:val="21"/>
                <w:szCs w:val="21"/>
                <w:highlight w:val="none"/>
                <w:lang w:bidi="ar"/>
              </w:rPr>
              <w:t>城镇污水处理厂污染物排放标准    单位：mg/L，pH无量纲</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963"/>
              <w:gridCol w:w="1322"/>
              <w:gridCol w:w="1459"/>
              <w:gridCol w:w="4227"/>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604" w:type="pct"/>
                  <w:vAlign w:val="center"/>
                </w:tcPr>
                <w:p>
                  <w:pPr>
                    <w:jc w:val="center"/>
                    <w:rPr>
                      <w:b/>
                      <w:bCs/>
                      <w:color w:val="auto"/>
                      <w:sz w:val="21"/>
                      <w:szCs w:val="21"/>
                      <w:highlight w:val="none"/>
                    </w:rPr>
                  </w:pPr>
                  <w:r>
                    <w:rPr>
                      <w:b/>
                      <w:bCs/>
                      <w:color w:val="auto"/>
                      <w:sz w:val="21"/>
                      <w:szCs w:val="21"/>
                      <w:highlight w:val="none"/>
                    </w:rPr>
                    <w:t>序号</w:t>
                  </w:r>
                </w:p>
              </w:tc>
              <w:tc>
                <w:tcPr>
                  <w:tcW w:w="829" w:type="pct"/>
                  <w:vAlign w:val="center"/>
                </w:tcPr>
                <w:p>
                  <w:pPr>
                    <w:jc w:val="center"/>
                    <w:rPr>
                      <w:b/>
                      <w:bCs/>
                      <w:color w:val="auto"/>
                      <w:sz w:val="21"/>
                      <w:szCs w:val="21"/>
                      <w:highlight w:val="none"/>
                    </w:rPr>
                  </w:pPr>
                  <w:r>
                    <w:rPr>
                      <w:b/>
                      <w:bCs/>
                      <w:color w:val="auto"/>
                      <w:sz w:val="21"/>
                      <w:szCs w:val="21"/>
                      <w:highlight w:val="none"/>
                    </w:rPr>
                    <w:t>项  目</w:t>
                  </w:r>
                </w:p>
              </w:tc>
              <w:tc>
                <w:tcPr>
                  <w:tcW w:w="915" w:type="pct"/>
                  <w:vAlign w:val="center"/>
                </w:tcPr>
                <w:p>
                  <w:pPr>
                    <w:jc w:val="center"/>
                    <w:rPr>
                      <w:b/>
                      <w:bCs/>
                      <w:color w:val="auto"/>
                      <w:sz w:val="21"/>
                      <w:szCs w:val="21"/>
                      <w:highlight w:val="none"/>
                    </w:rPr>
                  </w:pPr>
                  <w:r>
                    <w:rPr>
                      <w:b/>
                      <w:bCs/>
                      <w:color w:val="auto"/>
                      <w:sz w:val="21"/>
                      <w:szCs w:val="21"/>
                      <w:highlight w:val="none"/>
                    </w:rPr>
                    <w:t>浓度</w:t>
                  </w:r>
                </w:p>
              </w:tc>
              <w:tc>
                <w:tcPr>
                  <w:tcW w:w="2650" w:type="pct"/>
                  <w:vAlign w:val="center"/>
                </w:tcPr>
                <w:p>
                  <w:pPr>
                    <w:jc w:val="center"/>
                    <w:rPr>
                      <w:b/>
                      <w:bCs/>
                      <w:color w:val="auto"/>
                      <w:sz w:val="21"/>
                      <w:szCs w:val="21"/>
                      <w:highlight w:val="none"/>
                    </w:rPr>
                  </w:pPr>
                  <w:r>
                    <w:rPr>
                      <w:b/>
                      <w:bCs/>
                      <w:color w:val="auto"/>
                      <w:sz w:val="21"/>
                      <w:szCs w:val="21"/>
                      <w:highlight w:val="none"/>
                    </w:rPr>
                    <w:t>标准来源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604" w:type="pct"/>
                  <w:vAlign w:val="center"/>
                </w:tcPr>
                <w:p>
                  <w:pPr>
                    <w:jc w:val="center"/>
                    <w:rPr>
                      <w:color w:val="auto"/>
                      <w:sz w:val="21"/>
                      <w:szCs w:val="21"/>
                      <w:highlight w:val="none"/>
                    </w:rPr>
                  </w:pPr>
                  <w:r>
                    <w:rPr>
                      <w:color w:val="auto"/>
                      <w:sz w:val="21"/>
                      <w:szCs w:val="21"/>
                      <w:highlight w:val="none"/>
                    </w:rPr>
                    <w:t>1</w:t>
                  </w:r>
                </w:p>
              </w:tc>
              <w:tc>
                <w:tcPr>
                  <w:tcW w:w="829" w:type="pct"/>
                  <w:vAlign w:val="center"/>
                </w:tcPr>
                <w:p>
                  <w:pPr>
                    <w:jc w:val="center"/>
                    <w:rPr>
                      <w:color w:val="auto"/>
                      <w:sz w:val="21"/>
                      <w:szCs w:val="21"/>
                      <w:highlight w:val="none"/>
                    </w:rPr>
                  </w:pPr>
                  <w:r>
                    <w:rPr>
                      <w:color w:val="auto"/>
                      <w:sz w:val="21"/>
                      <w:szCs w:val="21"/>
                      <w:highlight w:val="none"/>
                    </w:rPr>
                    <w:t>COD</w:t>
                  </w:r>
                </w:p>
              </w:tc>
              <w:tc>
                <w:tcPr>
                  <w:tcW w:w="915" w:type="pct"/>
                  <w:vAlign w:val="center"/>
                </w:tcPr>
                <w:p>
                  <w:pPr>
                    <w:jc w:val="center"/>
                    <w:rPr>
                      <w:color w:val="auto"/>
                      <w:sz w:val="21"/>
                      <w:szCs w:val="21"/>
                      <w:highlight w:val="none"/>
                    </w:rPr>
                  </w:pPr>
                  <w:r>
                    <w:rPr>
                      <w:color w:val="auto"/>
                      <w:sz w:val="21"/>
                      <w:szCs w:val="21"/>
                      <w:highlight w:val="none"/>
                    </w:rPr>
                    <w:t>50</w:t>
                  </w:r>
                </w:p>
              </w:tc>
              <w:tc>
                <w:tcPr>
                  <w:tcW w:w="2650" w:type="pct"/>
                  <w:vMerge w:val="restart"/>
                  <w:vAlign w:val="center"/>
                </w:tcPr>
                <w:p>
                  <w:pPr>
                    <w:jc w:val="center"/>
                    <w:rPr>
                      <w:color w:val="auto"/>
                      <w:sz w:val="21"/>
                      <w:szCs w:val="21"/>
                      <w:highlight w:val="none"/>
                    </w:rPr>
                  </w:pPr>
                  <w:r>
                    <w:rPr>
                      <w:color w:val="auto"/>
                      <w:sz w:val="21"/>
                      <w:szCs w:val="21"/>
                      <w:highlight w:val="none"/>
                    </w:rPr>
                    <w:t>《太湖地区城镇污水处理厂及重点工业行业主要水污染物排放限值》（DB32/1072—2018）中表2中的标准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604" w:type="pct"/>
                  <w:vAlign w:val="center"/>
                </w:tcPr>
                <w:p>
                  <w:pPr>
                    <w:jc w:val="center"/>
                    <w:rPr>
                      <w:color w:val="auto"/>
                      <w:sz w:val="21"/>
                      <w:szCs w:val="21"/>
                      <w:highlight w:val="none"/>
                    </w:rPr>
                  </w:pPr>
                  <w:r>
                    <w:rPr>
                      <w:color w:val="auto"/>
                      <w:sz w:val="21"/>
                      <w:szCs w:val="21"/>
                      <w:highlight w:val="none"/>
                    </w:rPr>
                    <w:t>2</w:t>
                  </w:r>
                </w:p>
              </w:tc>
              <w:tc>
                <w:tcPr>
                  <w:tcW w:w="829" w:type="pct"/>
                  <w:vAlign w:val="center"/>
                </w:tcPr>
                <w:p>
                  <w:pPr>
                    <w:jc w:val="center"/>
                    <w:rPr>
                      <w:color w:val="auto"/>
                      <w:sz w:val="21"/>
                      <w:szCs w:val="21"/>
                      <w:highlight w:val="none"/>
                    </w:rPr>
                  </w:pPr>
                  <w:r>
                    <w:rPr>
                      <w:color w:val="auto"/>
                      <w:sz w:val="21"/>
                      <w:szCs w:val="21"/>
                      <w:highlight w:val="none"/>
                    </w:rPr>
                    <w:t>TP</w:t>
                  </w:r>
                </w:p>
              </w:tc>
              <w:tc>
                <w:tcPr>
                  <w:tcW w:w="915" w:type="pct"/>
                  <w:vAlign w:val="center"/>
                </w:tcPr>
                <w:p>
                  <w:pPr>
                    <w:jc w:val="center"/>
                    <w:rPr>
                      <w:color w:val="auto"/>
                      <w:sz w:val="21"/>
                      <w:szCs w:val="21"/>
                      <w:highlight w:val="none"/>
                    </w:rPr>
                  </w:pPr>
                  <w:r>
                    <w:rPr>
                      <w:color w:val="auto"/>
                      <w:sz w:val="21"/>
                      <w:szCs w:val="21"/>
                      <w:highlight w:val="none"/>
                    </w:rPr>
                    <w:t>0.5</w:t>
                  </w:r>
                </w:p>
              </w:tc>
              <w:tc>
                <w:tcPr>
                  <w:tcW w:w="2650" w:type="pct"/>
                  <w:vMerge w:val="continue"/>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604" w:type="pct"/>
                  <w:vAlign w:val="center"/>
                </w:tcPr>
                <w:p>
                  <w:pPr>
                    <w:jc w:val="center"/>
                    <w:rPr>
                      <w:color w:val="auto"/>
                      <w:sz w:val="21"/>
                      <w:szCs w:val="21"/>
                      <w:highlight w:val="none"/>
                    </w:rPr>
                  </w:pPr>
                  <w:r>
                    <w:rPr>
                      <w:color w:val="auto"/>
                      <w:sz w:val="21"/>
                      <w:szCs w:val="21"/>
                      <w:highlight w:val="none"/>
                    </w:rPr>
                    <w:t>3</w:t>
                  </w:r>
                </w:p>
              </w:tc>
              <w:tc>
                <w:tcPr>
                  <w:tcW w:w="829" w:type="pct"/>
                  <w:vAlign w:val="center"/>
                </w:tcPr>
                <w:p>
                  <w:pPr>
                    <w:jc w:val="center"/>
                    <w:rPr>
                      <w:color w:val="auto"/>
                      <w:sz w:val="21"/>
                      <w:szCs w:val="21"/>
                      <w:highlight w:val="none"/>
                    </w:rPr>
                  </w:pPr>
                  <w:r>
                    <w:rPr>
                      <w:color w:val="auto"/>
                      <w:sz w:val="21"/>
                      <w:szCs w:val="21"/>
                      <w:highlight w:val="none"/>
                    </w:rPr>
                    <w:t>TN</w:t>
                  </w:r>
                </w:p>
              </w:tc>
              <w:tc>
                <w:tcPr>
                  <w:tcW w:w="915" w:type="pct"/>
                  <w:vAlign w:val="center"/>
                </w:tcPr>
                <w:p>
                  <w:pPr>
                    <w:jc w:val="center"/>
                    <w:rPr>
                      <w:color w:val="auto"/>
                      <w:sz w:val="21"/>
                      <w:szCs w:val="21"/>
                      <w:highlight w:val="none"/>
                    </w:rPr>
                  </w:pPr>
                  <w:r>
                    <w:rPr>
                      <w:color w:val="auto"/>
                      <w:sz w:val="21"/>
                      <w:szCs w:val="21"/>
                      <w:highlight w:val="none"/>
                    </w:rPr>
                    <w:t>12（15）*</w:t>
                  </w:r>
                </w:p>
              </w:tc>
              <w:tc>
                <w:tcPr>
                  <w:tcW w:w="2650" w:type="pct"/>
                  <w:vMerge w:val="continue"/>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604" w:type="pct"/>
                  <w:vAlign w:val="center"/>
                </w:tcPr>
                <w:p>
                  <w:pPr>
                    <w:jc w:val="center"/>
                    <w:rPr>
                      <w:color w:val="auto"/>
                      <w:sz w:val="21"/>
                      <w:szCs w:val="21"/>
                      <w:highlight w:val="none"/>
                    </w:rPr>
                  </w:pPr>
                  <w:r>
                    <w:rPr>
                      <w:color w:val="auto"/>
                      <w:sz w:val="21"/>
                      <w:szCs w:val="21"/>
                      <w:highlight w:val="none"/>
                    </w:rPr>
                    <w:t>4</w:t>
                  </w:r>
                </w:p>
              </w:tc>
              <w:tc>
                <w:tcPr>
                  <w:tcW w:w="829" w:type="pct"/>
                  <w:vAlign w:val="center"/>
                </w:tcPr>
                <w:p>
                  <w:pPr>
                    <w:jc w:val="center"/>
                    <w:rPr>
                      <w:color w:val="auto"/>
                      <w:sz w:val="21"/>
                      <w:szCs w:val="21"/>
                      <w:highlight w:val="none"/>
                    </w:rPr>
                  </w:pPr>
                  <w:r>
                    <w:rPr>
                      <w:color w:val="auto"/>
                      <w:sz w:val="21"/>
                      <w:szCs w:val="21"/>
                      <w:highlight w:val="none"/>
                    </w:rPr>
                    <w:t>NH</w:t>
                  </w:r>
                  <w:r>
                    <w:rPr>
                      <w:color w:val="auto"/>
                      <w:sz w:val="21"/>
                      <w:szCs w:val="21"/>
                      <w:highlight w:val="none"/>
                      <w:vertAlign w:val="subscript"/>
                    </w:rPr>
                    <w:t>3</w:t>
                  </w:r>
                  <w:r>
                    <w:rPr>
                      <w:color w:val="auto"/>
                      <w:sz w:val="21"/>
                      <w:szCs w:val="21"/>
                      <w:highlight w:val="none"/>
                    </w:rPr>
                    <w:t>-H</w:t>
                  </w:r>
                </w:p>
              </w:tc>
              <w:tc>
                <w:tcPr>
                  <w:tcW w:w="915" w:type="pct"/>
                  <w:vAlign w:val="center"/>
                </w:tcPr>
                <w:p>
                  <w:pPr>
                    <w:jc w:val="center"/>
                    <w:rPr>
                      <w:color w:val="auto"/>
                      <w:sz w:val="21"/>
                      <w:szCs w:val="21"/>
                      <w:highlight w:val="none"/>
                    </w:rPr>
                  </w:pPr>
                  <w:r>
                    <w:rPr>
                      <w:color w:val="auto"/>
                      <w:sz w:val="21"/>
                      <w:szCs w:val="21"/>
                      <w:highlight w:val="none"/>
                    </w:rPr>
                    <w:t>4（6）*</w:t>
                  </w:r>
                </w:p>
              </w:tc>
              <w:tc>
                <w:tcPr>
                  <w:tcW w:w="2650" w:type="pct"/>
                  <w:vMerge w:val="continue"/>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604" w:type="pct"/>
                  <w:vAlign w:val="center"/>
                </w:tcPr>
                <w:p>
                  <w:pPr>
                    <w:jc w:val="center"/>
                    <w:rPr>
                      <w:color w:val="auto"/>
                      <w:sz w:val="21"/>
                      <w:szCs w:val="21"/>
                      <w:highlight w:val="none"/>
                    </w:rPr>
                  </w:pPr>
                  <w:r>
                    <w:rPr>
                      <w:color w:val="auto"/>
                      <w:sz w:val="21"/>
                      <w:szCs w:val="21"/>
                      <w:highlight w:val="none"/>
                    </w:rPr>
                    <w:t>5</w:t>
                  </w:r>
                </w:p>
              </w:tc>
              <w:tc>
                <w:tcPr>
                  <w:tcW w:w="829" w:type="pct"/>
                  <w:vAlign w:val="center"/>
                </w:tcPr>
                <w:p>
                  <w:pPr>
                    <w:jc w:val="center"/>
                    <w:rPr>
                      <w:color w:val="auto"/>
                      <w:sz w:val="21"/>
                      <w:szCs w:val="21"/>
                      <w:highlight w:val="none"/>
                    </w:rPr>
                  </w:pPr>
                  <w:r>
                    <w:rPr>
                      <w:color w:val="auto"/>
                      <w:sz w:val="21"/>
                      <w:szCs w:val="21"/>
                      <w:highlight w:val="none"/>
                    </w:rPr>
                    <w:t>SS</w:t>
                  </w:r>
                </w:p>
              </w:tc>
              <w:tc>
                <w:tcPr>
                  <w:tcW w:w="915" w:type="pct"/>
                  <w:vAlign w:val="center"/>
                </w:tcPr>
                <w:p>
                  <w:pPr>
                    <w:jc w:val="center"/>
                    <w:rPr>
                      <w:color w:val="auto"/>
                      <w:sz w:val="21"/>
                      <w:szCs w:val="21"/>
                      <w:highlight w:val="none"/>
                    </w:rPr>
                  </w:pPr>
                  <w:r>
                    <w:rPr>
                      <w:color w:val="auto"/>
                      <w:sz w:val="21"/>
                      <w:szCs w:val="21"/>
                      <w:highlight w:val="none"/>
                    </w:rPr>
                    <w:t>10</w:t>
                  </w:r>
                </w:p>
              </w:tc>
              <w:tc>
                <w:tcPr>
                  <w:tcW w:w="2650" w:type="pct"/>
                  <w:vMerge w:val="restart"/>
                  <w:vAlign w:val="center"/>
                </w:tcPr>
                <w:p>
                  <w:pPr>
                    <w:jc w:val="center"/>
                    <w:rPr>
                      <w:color w:val="auto"/>
                      <w:sz w:val="21"/>
                      <w:szCs w:val="21"/>
                      <w:highlight w:val="none"/>
                    </w:rPr>
                  </w:pPr>
                  <w:r>
                    <w:rPr>
                      <w:color w:val="auto"/>
                      <w:sz w:val="21"/>
                      <w:szCs w:val="21"/>
                      <w:highlight w:val="none"/>
                    </w:rPr>
                    <w:t>《城镇污水处理厂污染物排放标准》（GB18918-2002）及其修改单中一级A标准</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604" w:type="pct"/>
                  <w:vAlign w:val="center"/>
                </w:tcPr>
                <w:p>
                  <w:pPr>
                    <w:jc w:val="center"/>
                    <w:rPr>
                      <w:color w:val="auto"/>
                      <w:sz w:val="21"/>
                      <w:szCs w:val="21"/>
                      <w:highlight w:val="none"/>
                    </w:rPr>
                  </w:pPr>
                  <w:r>
                    <w:rPr>
                      <w:color w:val="auto"/>
                      <w:sz w:val="21"/>
                      <w:szCs w:val="21"/>
                      <w:highlight w:val="none"/>
                    </w:rPr>
                    <w:t>6</w:t>
                  </w:r>
                </w:p>
              </w:tc>
              <w:tc>
                <w:tcPr>
                  <w:tcW w:w="829" w:type="pct"/>
                  <w:vAlign w:val="center"/>
                </w:tcPr>
                <w:p>
                  <w:pPr>
                    <w:jc w:val="center"/>
                    <w:rPr>
                      <w:color w:val="auto"/>
                      <w:sz w:val="21"/>
                      <w:szCs w:val="21"/>
                      <w:highlight w:val="none"/>
                    </w:rPr>
                  </w:pPr>
                  <w:r>
                    <w:rPr>
                      <w:color w:val="auto"/>
                      <w:sz w:val="21"/>
                      <w:szCs w:val="21"/>
                      <w:highlight w:val="none"/>
                    </w:rPr>
                    <w:t>pH</w:t>
                  </w:r>
                </w:p>
              </w:tc>
              <w:tc>
                <w:tcPr>
                  <w:tcW w:w="915" w:type="pct"/>
                  <w:vAlign w:val="center"/>
                </w:tcPr>
                <w:p>
                  <w:pPr>
                    <w:jc w:val="center"/>
                    <w:rPr>
                      <w:color w:val="auto"/>
                      <w:sz w:val="21"/>
                      <w:szCs w:val="21"/>
                      <w:highlight w:val="none"/>
                    </w:rPr>
                  </w:pPr>
                  <w:r>
                    <w:rPr>
                      <w:color w:val="auto"/>
                      <w:sz w:val="21"/>
                      <w:szCs w:val="21"/>
                      <w:highlight w:val="none"/>
                    </w:rPr>
                    <w:t>6~9</w:t>
                  </w:r>
                </w:p>
              </w:tc>
              <w:tc>
                <w:tcPr>
                  <w:tcW w:w="2650" w:type="pct"/>
                  <w:vMerge w:val="continue"/>
                  <w:vAlign w:val="center"/>
                </w:tcPr>
                <w:p>
                  <w:pPr>
                    <w:jc w:val="center"/>
                    <w:rPr>
                      <w:color w:val="auto"/>
                      <w:sz w:val="21"/>
                      <w:szCs w:val="21"/>
                      <w:highlight w:val="none"/>
                    </w:rPr>
                  </w:pPr>
                </w:p>
              </w:tc>
            </w:tr>
          </w:tbl>
          <w:p>
            <w:pPr>
              <w:ind w:firstLine="422" w:firstLineChars="200"/>
              <w:rPr>
                <w:b/>
                <w:bCs/>
                <w:color w:val="auto"/>
                <w:sz w:val="21"/>
                <w:szCs w:val="21"/>
                <w:highlight w:val="none"/>
              </w:rPr>
            </w:pPr>
            <w:r>
              <w:rPr>
                <w:b/>
                <w:bCs/>
                <w:color w:val="auto"/>
                <w:sz w:val="21"/>
                <w:szCs w:val="21"/>
                <w:highlight w:val="none"/>
              </w:rPr>
              <w:t>注*：括号外数值为水温＞12℃时的控制指标，括号内数值为水温≤12℃时的控制指标。</w:t>
            </w:r>
          </w:p>
          <w:p>
            <w:pPr>
              <w:spacing w:before="120" w:beforeLines="50" w:line="360" w:lineRule="auto"/>
              <w:ind w:firstLine="422" w:firstLineChars="200"/>
              <w:rPr>
                <w:b/>
                <w:bCs/>
                <w:color w:val="auto"/>
                <w:sz w:val="21"/>
                <w:szCs w:val="21"/>
                <w:highlight w:val="none"/>
              </w:rPr>
            </w:pPr>
            <w:r>
              <w:rPr>
                <w:b/>
                <w:bCs/>
                <w:color w:val="auto"/>
                <w:sz w:val="21"/>
                <w:szCs w:val="21"/>
                <w:highlight w:val="none"/>
              </w:rPr>
              <w:t>三、噪声</w:t>
            </w:r>
          </w:p>
          <w:p>
            <w:pPr>
              <w:spacing w:line="360" w:lineRule="auto"/>
              <w:ind w:firstLine="420" w:firstLineChars="200"/>
              <w:rPr>
                <w:color w:val="auto"/>
                <w:sz w:val="21"/>
                <w:szCs w:val="21"/>
                <w:highlight w:val="none"/>
              </w:rPr>
            </w:pPr>
            <w:r>
              <w:rPr>
                <w:color w:val="auto"/>
                <w:sz w:val="21"/>
                <w:szCs w:val="21"/>
                <w:highlight w:val="none"/>
              </w:rPr>
              <w:t>本项目租赁厂房进行生产活动，营运期项目厂界噪声执行《工业企业厂界环境噪声排放标准》（GB12348-2008）表1中</w:t>
            </w:r>
            <w:r>
              <w:rPr>
                <w:rFonts w:hint="eastAsia"/>
                <w:color w:val="auto"/>
                <w:sz w:val="21"/>
                <w:szCs w:val="21"/>
                <w:highlight w:val="none"/>
              </w:rPr>
              <w:t>2</w:t>
            </w:r>
            <w:r>
              <w:rPr>
                <w:color w:val="auto"/>
                <w:sz w:val="21"/>
                <w:szCs w:val="21"/>
                <w:highlight w:val="none"/>
              </w:rPr>
              <w:t>类区限值。具体限值见表3-1</w:t>
            </w:r>
            <w:r>
              <w:rPr>
                <w:rFonts w:hint="eastAsia"/>
                <w:color w:val="auto"/>
                <w:sz w:val="21"/>
                <w:szCs w:val="21"/>
                <w:highlight w:val="none"/>
                <w:lang w:val="en-US" w:eastAsia="zh-CN"/>
              </w:rPr>
              <w:t>2</w:t>
            </w:r>
            <w:r>
              <w:rPr>
                <w:color w:val="auto"/>
                <w:sz w:val="21"/>
                <w:szCs w:val="21"/>
                <w:highlight w:val="none"/>
              </w:rPr>
              <w:t>。</w:t>
            </w:r>
          </w:p>
          <w:p>
            <w:pPr>
              <w:tabs>
                <w:tab w:val="left" w:pos="1367"/>
              </w:tabs>
              <w:jc w:val="center"/>
              <w:rPr>
                <w:b/>
                <w:color w:val="auto"/>
                <w:kern w:val="0"/>
                <w:sz w:val="21"/>
                <w:szCs w:val="21"/>
                <w:highlight w:val="none"/>
                <w:lang w:bidi="ar"/>
              </w:rPr>
            </w:pPr>
            <w:r>
              <w:rPr>
                <w:b/>
                <w:color w:val="auto"/>
                <w:kern w:val="0"/>
                <w:sz w:val="21"/>
                <w:szCs w:val="21"/>
                <w:highlight w:val="none"/>
                <w:lang w:bidi="ar"/>
              </w:rPr>
              <w:t>表3-1</w:t>
            </w:r>
            <w:r>
              <w:rPr>
                <w:rFonts w:hint="eastAsia"/>
                <w:b/>
                <w:color w:val="auto"/>
                <w:kern w:val="0"/>
                <w:sz w:val="21"/>
                <w:szCs w:val="21"/>
                <w:highlight w:val="none"/>
                <w:lang w:val="en-US" w:eastAsia="zh-CN" w:bidi="ar"/>
              </w:rPr>
              <w:t xml:space="preserve">2 </w:t>
            </w:r>
            <w:r>
              <w:rPr>
                <w:b/>
                <w:color w:val="auto"/>
                <w:kern w:val="0"/>
                <w:sz w:val="21"/>
                <w:szCs w:val="21"/>
                <w:highlight w:val="none"/>
                <w:lang w:bidi="ar"/>
              </w:rPr>
              <w:t>工业企业厂界噪声排放限值       单位：dB(A)</w:t>
            </w:r>
          </w:p>
          <w:tbl>
            <w:tblPr>
              <w:tblStyle w:val="25"/>
              <w:tblW w:w="4999"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063"/>
              <w:gridCol w:w="903"/>
              <w:gridCol w:w="933"/>
              <w:gridCol w:w="5073"/>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667" w:type="pct"/>
                  <w:vAlign w:val="center"/>
                </w:tcPr>
                <w:p>
                  <w:pPr>
                    <w:snapToGrid w:val="0"/>
                    <w:jc w:val="center"/>
                    <w:rPr>
                      <w:b/>
                      <w:color w:val="auto"/>
                      <w:spacing w:val="-6"/>
                      <w:sz w:val="21"/>
                      <w:szCs w:val="21"/>
                      <w:highlight w:val="none"/>
                    </w:rPr>
                  </w:pPr>
                  <w:r>
                    <w:rPr>
                      <w:b/>
                      <w:color w:val="auto"/>
                      <w:spacing w:val="-6"/>
                      <w:sz w:val="21"/>
                      <w:szCs w:val="21"/>
                      <w:highlight w:val="none"/>
                    </w:rPr>
                    <w:t>评价限值</w:t>
                  </w:r>
                </w:p>
              </w:tc>
              <w:tc>
                <w:tcPr>
                  <w:tcW w:w="566" w:type="pct"/>
                  <w:vAlign w:val="center"/>
                </w:tcPr>
                <w:p>
                  <w:pPr>
                    <w:snapToGrid w:val="0"/>
                    <w:jc w:val="center"/>
                    <w:rPr>
                      <w:b/>
                      <w:color w:val="auto"/>
                      <w:spacing w:val="-6"/>
                      <w:sz w:val="21"/>
                      <w:szCs w:val="21"/>
                      <w:highlight w:val="none"/>
                    </w:rPr>
                  </w:pPr>
                  <w:r>
                    <w:rPr>
                      <w:b/>
                      <w:color w:val="auto"/>
                      <w:spacing w:val="-6"/>
                      <w:sz w:val="21"/>
                      <w:szCs w:val="21"/>
                      <w:highlight w:val="none"/>
                    </w:rPr>
                    <w:t>昼间</w:t>
                  </w:r>
                </w:p>
              </w:tc>
              <w:tc>
                <w:tcPr>
                  <w:tcW w:w="585" w:type="pct"/>
                  <w:vAlign w:val="center"/>
                </w:tcPr>
                <w:p>
                  <w:pPr>
                    <w:snapToGrid w:val="0"/>
                    <w:jc w:val="center"/>
                    <w:rPr>
                      <w:b/>
                      <w:color w:val="auto"/>
                      <w:spacing w:val="-6"/>
                      <w:sz w:val="21"/>
                      <w:szCs w:val="21"/>
                      <w:highlight w:val="none"/>
                    </w:rPr>
                  </w:pPr>
                  <w:r>
                    <w:rPr>
                      <w:b/>
                      <w:color w:val="auto"/>
                      <w:spacing w:val="-6"/>
                      <w:sz w:val="21"/>
                      <w:szCs w:val="21"/>
                      <w:highlight w:val="none"/>
                    </w:rPr>
                    <w:t>夜间</w:t>
                  </w:r>
                </w:p>
              </w:tc>
              <w:tc>
                <w:tcPr>
                  <w:tcW w:w="3181" w:type="pct"/>
                  <w:vAlign w:val="center"/>
                </w:tcPr>
                <w:p>
                  <w:pPr>
                    <w:snapToGrid w:val="0"/>
                    <w:jc w:val="center"/>
                    <w:rPr>
                      <w:b/>
                      <w:color w:val="auto"/>
                      <w:spacing w:val="-6"/>
                      <w:sz w:val="21"/>
                      <w:szCs w:val="21"/>
                      <w:highlight w:val="none"/>
                    </w:rPr>
                  </w:pPr>
                  <w:r>
                    <w:rPr>
                      <w:b/>
                      <w:color w:val="auto"/>
                      <w:spacing w:val="-6"/>
                      <w:sz w:val="21"/>
                      <w:szCs w:val="21"/>
                      <w:highlight w:val="none"/>
                    </w:rPr>
                    <w:t>限值来源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667" w:type="pct"/>
                  <w:vAlign w:val="center"/>
                </w:tcPr>
                <w:p>
                  <w:pPr>
                    <w:jc w:val="center"/>
                    <w:rPr>
                      <w:color w:val="auto"/>
                      <w:sz w:val="21"/>
                      <w:szCs w:val="21"/>
                      <w:highlight w:val="none"/>
                    </w:rPr>
                  </w:pPr>
                  <w:r>
                    <w:rPr>
                      <w:rFonts w:hint="eastAsia"/>
                      <w:color w:val="auto"/>
                      <w:sz w:val="21"/>
                      <w:szCs w:val="21"/>
                      <w:highlight w:val="none"/>
                    </w:rPr>
                    <w:t>2</w:t>
                  </w:r>
                  <w:r>
                    <w:rPr>
                      <w:color w:val="auto"/>
                      <w:sz w:val="21"/>
                      <w:szCs w:val="21"/>
                      <w:highlight w:val="none"/>
                    </w:rPr>
                    <w:t>类区</w:t>
                  </w:r>
                </w:p>
              </w:tc>
              <w:tc>
                <w:tcPr>
                  <w:tcW w:w="566" w:type="pct"/>
                  <w:vAlign w:val="center"/>
                </w:tcPr>
                <w:p>
                  <w:pPr>
                    <w:jc w:val="center"/>
                    <w:rPr>
                      <w:color w:val="auto"/>
                      <w:sz w:val="21"/>
                      <w:szCs w:val="21"/>
                      <w:highlight w:val="none"/>
                    </w:rPr>
                  </w:pPr>
                  <w:r>
                    <w:rPr>
                      <w:rFonts w:hint="eastAsia"/>
                      <w:color w:val="auto"/>
                      <w:sz w:val="21"/>
                      <w:szCs w:val="21"/>
                      <w:highlight w:val="none"/>
                    </w:rPr>
                    <w:t>60</w:t>
                  </w:r>
                </w:p>
              </w:tc>
              <w:tc>
                <w:tcPr>
                  <w:tcW w:w="585" w:type="pct"/>
                  <w:vAlign w:val="center"/>
                </w:tcPr>
                <w:p>
                  <w:pPr>
                    <w:jc w:val="center"/>
                    <w:rPr>
                      <w:color w:val="auto"/>
                      <w:sz w:val="21"/>
                      <w:szCs w:val="21"/>
                      <w:highlight w:val="none"/>
                    </w:rPr>
                  </w:pPr>
                  <w:r>
                    <w:rPr>
                      <w:rFonts w:hint="eastAsia"/>
                      <w:color w:val="auto"/>
                      <w:sz w:val="21"/>
                      <w:szCs w:val="21"/>
                      <w:highlight w:val="none"/>
                    </w:rPr>
                    <w:t>50</w:t>
                  </w:r>
                </w:p>
              </w:tc>
              <w:tc>
                <w:tcPr>
                  <w:tcW w:w="3181" w:type="pct"/>
                  <w:vAlign w:val="center"/>
                </w:tcPr>
                <w:p>
                  <w:pPr>
                    <w:rPr>
                      <w:color w:val="auto"/>
                      <w:sz w:val="21"/>
                      <w:szCs w:val="21"/>
                      <w:highlight w:val="none"/>
                    </w:rPr>
                  </w:pPr>
                  <w:r>
                    <w:rPr>
                      <w:color w:val="auto"/>
                      <w:sz w:val="21"/>
                      <w:szCs w:val="21"/>
                      <w:highlight w:val="none"/>
                    </w:rPr>
                    <w:t>《工业企业厂界环境噪声排放标准》（GB12348-2008）</w:t>
                  </w:r>
                </w:p>
              </w:tc>
            </w:tr>
          </w:tbl>
          <w:p>
            <w:pPr>
              <w:tabs>
                <w:tab w:val="left" w:pos="385"/>
              </w:tabs>
              <w:spacing w:before="120" w:beforeLines="50" w:line="360" w:lineRule="auto"/>
              <w:ind w:firstLine="422" w:firstLineChars="200"/>
              <w:rPr>
                <w:b/>
                <w:bCs/>
                <w:color w:val="auto"/>
                <w:sz w:val="21"/>
                <w:szCs w:val="21"/>
                <w:highlight w:val="none"/>
              </w:rPr>
            </w:pPr>
            <w:r>
              <w:rPr>
                <w:b/>
                <w:bCs/>
                <w:color w:val="auto"/>
                <w:sz w:val="21"/>
                <w:szCs w:val="21"/>
                <w:highlight w:val="none"/>
              </w:rPr>
              <w:t>四、固体废物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项目产生的一般工业固体废物贮存执行《一般工业固体废物贮存和填埋污染控制标准》（GB18599-2020）要求。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危险废物贮存按照</w:t>
            </w:r>
            <w:r>
              <w:rPr>
                <w:rFonts w:hint="eastAsia" w:cs="Times New Roman"/>
                <w:color w:val="auto"/>
                <w:sz w:val="21"/>
                <w:szCs w:val="21"/>
                <w:lang w:eastAsia="zh-CN"/>
              </w:rPr>
              <w:t>《危险废物贮存污染控制标准》（GB 18597-2023）</w:t>
            </w:r>
            <w:r>
              <w:rPr>
                <w:rFonts w:hint="default" w:ascii="Times New Roman" w:hAnsi="Times New Roman" w:eastAsia="宋体" w:cs="Times New Roman"/>
                <w:color w:val="auto"/>
                <w:sz w:val="21"/>
                <w:szCs w:val="21"/>
              </w:rPr>
              <w:t>、《危险废物收集储存运输技术规范》（HJ2025-2012）要求及</w:t>
            </w:r>
            <w:r>
              <w:rPr>
                <w:rFonts w:hint="eastAsia" w:ascii="Times New Roman" w:hAnsi="Times New Roman" w:cs="Times New Roman"/>
                <w:color w:val="auto"/>
                <w:sz w:val="21"/>
                <w:szCs w:val="21"/>
                <w:lang w:eastAsia="zh-CN"/>
              </w:rPr>
              <w:t>《</w:t>
            </w:r>
            <w:r>
              <w:rPr>
                <w:rFonts w:hint="default" w:ascii="Times New Roman" w:hAnsi="Times New Roman" w:eastAsia="宋体" w:cs="Times New Roman"/>
                <w:color w:val="auto"/>
                <w:sz w:val="21"/>
                <w:szCs w:val="21"/>
              </w:rPr>
              <w:t>危险废物识别标志设置技术规范</w:t>
            </w:r>
            <w:r>
              <w:rPr>
                <w:rFonts w:hint="eastAsia" w:ascii="Times New Roman" w:hAnsi="Times New Roman" w:cs="Times New Roman"/>
                <w:color w:val="auto"/>
                <w:sz w:val="21"/>
                <w:szCs w:val="21"/>
                <w:lang w:eastAsia="zh-CN"/>
              </w:rPr>
              <w:t>》</w:t>
            </w:r>
            <w:r>
              <w:rPr>
                <w:rFonts w:hint="default" w:ascii="Times New Roman" w:hAnsi="Times New Roman" w:eastAsia="宋体" w:cs="Times New Roman"/>
                <w:color w:val="auto"/>
                <w:sz w:val="21"/>
                <w:szCs w:val="21"/>
              </w:rPr>
              <w:t xml:space="preserve"> </w:t>
            </w:r>
            <w:r>
              <w:rPr>
                <w:rFonts w:hint="eastAsia" w:ascii="Times New Roman" w:hAnsi="Times New Roman" w:cs="Times New Roman"/>
                <w:color w:val="auto"/>
                <w:sz w:val="21"/>
                <w:szCs w:val="21"/>
                <w:lang w:eastAsia="zh-CN"/>
              </w:rPr>
              <w:t>（</w:t>
            </w:r>
            <w:r>
              <w:rPr>
                <w:rFonts w:hint="default" w:ascii="Times New Roman" w:hAnsi="Times New Roman" w:eastAsia="宋体" w:cs="Times New Roman"/>
                <w:color w:val="auto"/>
                <w:sz w:val="21"/>
                <w:szCs w:val="21"/>
              </w:rPr>
              <w:t>HJ1276-2022</w:t>
            </w:r>
            <w:r>
              <w:rPr>
                <w:rFonts w:hint="eastAsia" w:ascii="Times New Roman" w:hAnsi="Times New Roman" w:cs="Times New Roman"/>
                <w:color w:val="auto"/>
                <w:sz w:val="21"/>
                <w:szCs w:val="21"/>
                <w:lang w:eastAsia="zh-CN"/>
              </w:rPr>
              <w:t>）</w:t>
            </w:r>
            <w:r>
              <w:rPr>
                <w:rFonts w:hint="default" w:ascii="Times New Roman" w:hAnsi="Times New Roman" w:eastAsia="宋体" w:cs="Times New Roman"/>
                <w:color w:val="auto"/>
                <w:sz w:val="21"/>
                <w:szCs w:val="21"/>
              </w:rPr>
              <w:t>要求进行危险废物的包装、贮存设施的选址、设计、运行、安全防护、监测和关闭，同时应按照《关于印发江苏省危险废物贮存规范化管理专项整治行动方案的通知》（苏环办【2019】149号）要求进行危废的暂存和处理。</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default" w:ascii="Times New Roman" w:hAnsi="Times New Roman" w:eastAsia="宋体" w:cs="Times New Roman"/>
                <w:color w:val="auto"/>
                <w:sz w:val="21"/>
                <w:szCs w:val="21"/>
              </w:rPr>
              <w:t>生活垃圾处理执行《城市生活垃圾处理及污染防治技术政策》（建城[2000]120号）和《生活垃圾处理技术指南》（建城[2010]61号）以及国家、省市关于固体废物污染环境防治的法律法规</w:t>
            </w:r>
            <w:r>
              <w:rPr>
                <w:rFonts w:hint="eastAsia" w:ascii="Times New Roman" w:hAnsi="Times New Roman" w:eastAsia="宋体" w:cs="Times New Roman"/>
                <w:color w:val="auto"/>
                <w:sz w:val="21"/>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0" w:type="dxa"/>
            <w:vAlign w:val="center"/>
          </w:tcPr>
          <w:p>
            <w:pPr>
              <w:adjustRightInd w:val="0"/>
              <w:snapToGrid w:val="0"/>
              <w:jc w:val="center"/>
              <w:rPr>
                <w:color w:val="auto"/>
                <w:kern w:val="0"/>
                <w:sz w:val="21"/>
                <w:szCs w:val="21"/>
                <w:highlight w:val="none"/>
              </w:rPr>
            </w:pPr>
            <w:r>
              <w:rPr>
                <w:color w:val="auto"/>
                <w:kern w:val="0"/>
                <w:sz w:val="21"/>
                <w:szCs w:val="21"/>
                <w:highlight w:val="none"/>
              </w:rPr>
              <w:t>总量</w:t>
            </w:r>
          </w:p>
          <w:p>
            <w:pPr>
              <w:adjustRightInd w:val="0"/>
              <w:snapToGrid w:val="0"/>
              <w:jc w:val="center"/>
              <w:rPr>
                <w:color w:val="auto"/>
                <w:kern w:val="0"/>
                <w:sz w:val="21"/>
                <w:szCs w:val="21"/>
                <w:highlight w:val="none"/>
              </w:rPr>
            </w:pPr>
            <w:r>
              <w:rPr>
                <w:color w:val="auto"/>
                <w:kern w:val="0"/>
                <w:sz w:val="21"/>
                <w:szCs w:val="21"/>
                <w:highlight w:val="none"/>
              </w:rPr>
              <w:t>控制</w:t>
            </w:r>
          </w:p>
          <w:p>
            <w:pPr>
              <w:adjustRightInd w:val="0"/>
              <w:snapToGrid w:val="0"/>
              <w:jc w:val="center"/>
              <w:rPr>
                <w:color w:val="auto"/>
                <w:kern w:val="0"/>
                <w:sz w:val="21"/>
                <w:szCs w:val="21"/>
                <w:highlight w:val="none"/>
              </w:rPr>
            </w:pPr>
            <w:r>
              <w:rPr>
                <w:color w:val="auto"/>
                <w:kern w:val="0"/>
                <w:sz w:val="21"/>
                <w:szCs w:val="21"/>
                <w:highlight w:val="none"/>
              </w:rPr>
              <w:t>指标</w:t>
            </w:r>
          </w:p>
        </w:tc>
        <w:tc>
          <w:tcPr>
            <w:tcW w:w="8190" w:type="dxa"/>
            <w:vAlign w:val="center"/>
          </w:tcPr>
          <w:p>
            <w:pPr>
              <w:spacing w:line="360" w:lineRule="auto"/>
              <w:ind w:firstLine="422" w:firstLineChars="200"/>
              <w:rPr>
                <w:b/>
                <w:bCs/>
                <w:color w:val="auto"/>
                <w:sz w:val="21"/>
                <w:szCs w:val="21"/>
                <w:highlight w:val="none"/>
              </w:rPr>
            </w:pPr>
            <w:r>
              <w:rPr>
                <w:b/>
                <w:bCs/>
                <w:color w:val="auto"/>
                <w:sz w:val="21"/>
                <w:szCs w:val="21"/>
                <w:highlight w:val="none"/>
              </w:rPr>
              <w:t>1、项目污染物总量排放情况</w:t>
            </w:r>
          </w:p>
          <w:p>
            <w:pPr>
              <w:spacing w:line="360" w:lineRule="auto"/>
              <w:ind w:firstLine="420" w:firstLineChars="200"/>
              <w:rPr>
                <w:color w:val="auto"/>
                <w:sz w:val="21"/>
                <w:szCs w:val="21"/>
                <w:highlight w:val="none"/>
              </w:rPr>
            </w:pPr>
            <w:r>
              <w:rPr>
                <w:color w:val="auto"/>
                <w:sz w:val="21"/>
                <w:szCs w:val="21"/>
                <w:highlight w:val="none"/>
              </w:rPr>
              <w:t>根据《江苏省排放污染物总量控制暂行规定》（省政府38号令）、《江苏省建设项目主要污染物排放总量区域平衡方案审核管理办法》（苏环办[2011]71号）及《关于加强建设项目烟粉尘、挥发性有机物准入审核的通知》（苏环办[2014]148号）等有关规定要求，结合项目排污特征，确定总量控制因子为：</w:t>
            </w:r>
          </w:p>
          <w:p>
            <w:pPr>
              <w:spacing w:line="360" w:lineRule="auto"/>
              <w:ind w:firstLine="420" w:firstLineChars="200"/>
              <w:rPr>
                <w:color w:val="auto"/>
                <w:sz w:val="21"/>
                <w:szCs w:val="21"/>
                <w:highlight w:val="none"/>
              </w:rPr>
            </w:pPr>
            <w:r>
              <w:rPr>
                <w:color w:val="auto"/>
                <w:sz w:val="21"/>
                <w:szCs w:val="21"/>
                <w:highlight w:val="none"/>
              </w:rPr>
              <w:t>废水：总量控制因子：COD、NH</w:t>
            </w:r>
            <w:r>
              <w:rPr>
                <w:color w:val="auto"/>
                <w:sz w:val="21"/>
                <w:szCs w:val="21"/>
                <w:highlight w:val="none"/>
                <w:vertAlign w:val="subscript"/>
              </w:rPr>
              <w:t>3</w:t>
            </w:r>
            <w:r>
              <w:rPr>
                <w:color w:val="auto"/>
                <w:sz w:val="21"/>
                <w:szCs w:val="21"/>
                <w:highlight w:val="none"/>
              </w:rPr>
              <w:t>-N、TP、TN；特征考核因子：SS；</w:t>
            </w:r>
          </w:p>
          <w:p>
            <w:pPr>
              <w:spacing w:line="360" w:lineRule="auto"/>
              <w:ind w:firstLine="420" w:firstLineChars="200"/>
              <w:rPr>
                <w:color w:val="auto"/>
                <w:sz w:val="21"/>
                <w:szCs w:val="21"/>
                <w:highlight w:val="none"/>
              </w:rPr>
            </w:pPr>
            <w:r>
              <w:rPr>
                <w:color w:val="auto"/>
                <w:sz w:val="21"/>
                <w:szCs w:val="21"/>
                <w:highlight w:val="none"/>
              </w:rPr>
              <w:t>废气：总量控制因子：</w:t>
            </w:r>
            <w:r>
              <w:rPr>
                <w:rFonts w:hint="eastAsia"/>
                <w:color w:val="auto"/>
                <w:sz w:val="21"/>
                <w:szCs w:val="21"/>
                <w:highlight w:val="none"/>
              </w:rPr>
              <w:t>非甲烷总烃、颗粒物</w:t>
            </w:r>
            <w:r>
              <w:rPr>
                <w:color w:val="auto"/>
                <w:sz w:val="21"/>
                <w:szCs w:val="21"/>
                <w:highlight w:val="none"/>
              </w:rPr>
              <w:t>；</w:t>
            </w:r>
          </w:p>
          <w:p>
            <w:pPr>
              <w:spacing w:line="360" w:lineRule="auto"/>
              <w:ind w:firstLine="420" w:firstLineChars="200"/>
              <w:rPr>
                <w:color w:val="auto"/>
                <w:sz w:val="21"/>
                <w:szCs w:val="21"/>
                <w:highlight w:val="none"/>
              </w:rPr>
            </w:pPr>
            <w:r>
              <w:rPr>
                <w:color w:val="auto"/>
                <w:sz w:val="21"/>
                <w:szCs w:val="21"/>
                <w:highlight w:val="none"/>
              </w:rPr>
              <w:t>固体废物：工业固体废物排放量。</w:t>
            </w:r>
          </w:p>
          <w:p>
            <w:pPr>
              <w:spacing w:line="360" w:lineRule="auto"/>
              <w:ind w:firstLine="422" w:firstLineChars="200"/>
              <w:rPr>
                <w:b/>
                <w:bCs/>
                <w:color w:val="auto"/>
                <w:sz w:val="21"/>
                <w:szCs w:val="21"/>
                <w:highlight w:val="none"/>
              </w:rPr>
            </w:pPr>
            <w:r>
              <w:rPr>
                <w:b/>
                <w:bCs/>
                <w:color w:val="auto"/>
                <w:sz w:val="21"/>
                <w:szCs w:val="21"/>
                <w:highlight w:val="none"/>
              </w:rPr>
              <w:t>2、污染物总量平衡方案</w:t>
            </w:r>
          </w:p>
          <w:p>
            <w:pPr>
              <w:spacing w:line="360" w:lineRule="auto"/>
              <w:ind w:firstLine="420" w:firstLineChars="200"/>
              <w:rPr>
                <w:color w:val="auto"/>
                <w:sz w:val="21"/>
                <w:szCs w:val="21"/>
                <w:highlight w:val="none"/>
              </w:rPr>
            </w:pPr>
            <w:r>
              <w:rPr>
                <w:color w:val="auto"/>
                <w:sz w:val="21"/>
                <w:szCs w:val="21"/>
                <w:highlight w:val="none"/>
              </w:rPr>
              <w:t>建设单位向常州市金坛生态环境局申请总量，大气污染物排放量应在金坛区内平衡；项目废水排放总量已纳入</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排污总量中，可以在</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的污染物排放总量控制指标内进行平衡。</w:t>
            </w:r>
          </w:p>
          <w:p>
            <w:pPr>
              <w:spacing w:line="360" w:lineRule="auto"/>
              <w:ind w:firstLine="420" w:firstLineChars="200"/>
              <w:rPr>
                <w:b/>
                <w:color w:val="auto"/>
                <w:kern w:val="0"/>
                <w:sz w:val="21"/>
                <w:szCs w:val="21"/>
                <w:highlight w:val="none"/>
                <w:lang w:bidi="ar"/>
              </w:rPr>
            </w:pPr>
            <w:r>
              <w:rPr>
                <w:color w:val="auto"/>
                <w:sz w:val="21"/>
                <w:szCs w:val="21"/>
                <w:highlight w:val="none"/>
              </w:rPr>
              <w:t>本项目新增污染物排放量总量详见下表：</w:t>
            </w:r>
          </w:p>
          <w:p>
            <w:pPr>
              <w:tabs>
                <w:tab w:val="left" w:pos="1367"/>
              </w:tabs>
              <w:ind w:firstLine="422" w:firstLineChars="200"/>
              <w:jc w:val="center"/>
              <w:rPr>
                <w:b/>
                <w:color w:val="auto"/>
                <w:kern w:val="0"/>
                <w:sz w:val="21"/>
                <w:szCs w:val="21"/>
                <w:highlight w:val="none"/>
                <w:lang w:bidi="ar"/>
              </w:rPr>
            </w:pPr>
            <w:r>
              <w:rPr>
                <w:b/>
                <w:color w:val="auto"/>
                <w:kern w:val="0"/>
                <w:sz w:val="21"/>
                <w:szCs w:val="21"/>
                <w:highlight w:val="none"/>
                <w:lang w:bidi="ar"/>
              </w:rPr>
              <w:t>表3-13</w:t>
            </w:r>
            <w:r>
              <w:rPr>
                <w:rFonts w:hint="eastAsia"/>
                <w:b/>
                <w:color w:val="auto"/>
                <w:kern w:val="0"/>
                <w:sz w:val="21"/>
                <w:szCs w:val="21"/>
                <w:highlight w:val="none"/>
                <w:lang w:val="en-US" w:eastAsia="zh-CN" w:bidi="ar"/>
              </w:rPr>
              <w:t xml:space="preserve"> </w:t>
            </w:r>
            <w:r>
              <w:rPr>
                <w:b/>
                <w:color w:val="auto"/>
                <w:kern w:val="0"/>
                <w:sz w:val="21"/>
                <w:szCs w:val="21"/>
                <w:highlight w:val="none"/>
                <w:lang w:bidi="ar"/>
              </w:rPr>
              <w:t>本项目全厂污染物总量排放一览表</w:t>
            </w:r>
            <w:r>
              <w:rPr>
                <w:rFonts w:hint="eastAsia"/>
                <w:b/>
                <w:color w:val="auto"/>
                <w:kern w:val="0"/>
                <w:sz w:val="21"/>
                <w:szCs w:val="21"/>
                <w:highlight w:val="none"/>
                <w:lang w:val="en-US" w:eastAsia="zh-CN" w:bidi="ar"/>
              </w:rPr>
              <w:t xml:space="preserve"> </w:t>
            </w:r>
            <w:r>
              <w:rPr>
                <w:b/>
                <w:color w:val="auto"/>
                <w:kern w:val="0"/>
                <w:sz w:val="21"/>
                <w:szCs w:val="21"/>
                <w:highlight w:val="none"/>
                <w:lang w:bidi="ar"/>
              </w:rPr>
              <w:t>（t/a）</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1420"/>
              <w:gridCol w:w="1444"/>
              <w:gridCol w:w="1256"/>
              <w:gridCol w:w="1133"/>
              <w:gridCol w:w="131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 w:type="pct"/>
                  <w:vAlign w:val="center"/>
                </w:tcPr>
                <w:p>
                  <w:pPr>
                    <w:pStyle w:val="45"/>
                    <w:rPr>
                      <w:rFonts w:eastAsia="宋体"/>
                      <w:color w:val="auto"/>
                      <w:sz w:val="21"/>
                      <w:szCs w:val="21"/>
                      <w:highlight w:val="none"/>
                    </w:rPr>
                  </w:pPr>
                  <w:r>
                    <w:rPr>
                      <w:rFonts w:eastAsia="宋体"/>
                      <w:color w:val="auto"/>
                      <w:sz w:val="21"/>
                      <w:szCs w:val="21"/>
                      <w:highlight w:val="none"/>
                    </w:rPr>
                    <w:t>种类</w:t>
                  </w:r>
                </w:p>
              </w:tc>
              <w:tc>
                <w:tcPr>
                  <w:tcW w:w="890" w:type="pct"/>
                  <w:vAlign w:val="center"/>
                </w:tcPr>
                <w:p>
                  <w:pPr>
                    <w:pStyle w:val="45"/>
                    <w:rPr>
                      <w:rFonts w:eastAsia="宋体"/>
                      <w:color w:val="auto"/>
                      <w:sz w:val="21"/>
                      <w:szCs w:val="21"/>
                      <w:highlight w:val="none"/>
                    </w:rPr>
                  </w:pPr>
                  <w:r>
                    <w:rPr>
                      <w:rFonts w:eastAsia="宋体"/>
                      <w:color w:val="auto"/>
                      <w:sz w:val="21"/>
                      <w:szCs w:val="21"/>
                      <w:highlight w:val="none"/>
                    </w:rPr>
                    <w:t>污染物名称</w:t>
                  </w:r>
                </w:p>
              </w:tc>
              <w:tc>
                <w:tcPr>
                  <w:tcW w:w="905" w:type="pct"/>
                  <w:vAlign w:val="center"/>
                </w:tcPr>
                <w:p>
                  <w:pPr>
                    <w:pStyle w:val="45"/>
                    <w:rPr>
                      <w:rFonts w:eastAsia="宋体"/>
                      <w:color w:val="auto"/>
                      <w:sz w:val="21"/>
                      <w:szCs w:val="21"/>
                      <w:highlight w:val="none"/>
                    </w:rPr>
                  </w:pPr>
                  <w:r>
                    <w:rPr>
                      <w:rFonts w:eastAsia="宋体"/>
                      <w:color w:val="auto"/>
                      <w:sz w:val="21"/>
                      <w:szCs w:val="21"/>
                      <w:highlight w:val="none"/>
                    </w:rPr>
                    <w:t>产生量</w:t>
                  </w:r>
                </w:p>
              </w:tc>
              <w:tc>
                <w:tcPr>
                  <w:tcW w:w="787" w:type="pct"/>
                  <w:vAlign w:val="center"/>
                </w:tcPr>
                <w:p>
                  <w:pPr>
                    <w:pStyle w:val="45"/>
                    <w:rPr>
                      <w:rFonts w:eastAsia="宋体"/>
                      <w:color w:val="auto"/>
                      <w:sz w:val="21"/>
                      <w:szCs w:val="21"/>
                      <w:highlight w:val="none"/>
                    </w:rPr>
                  </w:pPr>
                  <w:r>
                    <w:rPr>
                      <w:rFonts w:eastAsia="宋体"/>
                      <w:color w:val="auto"/>
                      <w:sz w:val="21"/>
                      <w:szCs w:val="21"/>
                      <w:highlight w:val="none"/>
                    </w:rPr>
                    <w:t>削减量</w:t>
                  </w:r>
                </w:p>
              </w:tc>
              <w:tc>
                <w:tcPr>
                  <w:tcW w:w="710" w:type="pct"/>
                  <w:vAlign w:val="center"/>
                </w:tcPr>
                <w:p>
                  <w:pPr>
                    <w:pStyle w:val="45"/>
                    <w:rPr>
                      <w:rFonts w:eastAsia="宋体"/>
                      <w:color w:val="auto"/>
                      <w:sz w:val="21"/>
                      <w:szCs w:val="21"/>
                      <w:highlight w:val="none"/>
                    </w:rPr>
                  </w:pPr>
                  <w:r>
                    <w:rPr>
                      <w:rFonts w:eastAsia="宋体"/>
                      <w:color w:val="auto"/>
                      <w:sz w:val="21"/>
                      <w:szCs w:val="21"/>
                      <w:highlight w:val="none"/>
                    </w:rPr>
                    <w:t>接管量</w:t>
                  </w:r>
                </w:p>
              </w:tc>
              <w:tc>
                <w:tcPr>
                  <w:tcW w:w="826" w:type="pct"/>
                  <w:vAlign w:val="center"/>
                </w:tcPr>
                <w:p>
                  <w:pPr>
                    <w:pStyle w:val="45"/>
                    <w:rPr>
                      <w:rFonts w:eastAsia="宋体"/>
                      <w:color w:val="auto"/>
                      <w:sz w:val="21"/>
                      <w:szCs w:val="21"/>
                      <w:highlight w:val="none"/>
                    </w:rPr>
                  </w:pPr>
                  <w:r>
                    <w:rPr>
                      <w:rFonts w:eastAsia="宋体"/>
                      <w:color w:val="auto"/>
                      <w:sz w:val="21"/>
                      <w:szCs w:val="21"/>
                      <w:highlight w:val="none"/>
                    </w:rPr>
                    <w:t>外排量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 w:type="pct"/>
                  <w:vMerge w:val="restart"/>
                  <w:shd w:val="clear" w:color="auto" w:fill="auto"/>
                  <w:vAlign w:val="center"/>
                </w:tcPr>
                <w:p>
                  <w:pPr>
                    <w:pStyle w:val="46"/>
                    <w:rPr>
                      <w:rFonts w:eastAsia="宋体"/>
                      <w:bCs/>
                      <w:color w:val="auto"/>
                      <w:sz w:val="21"/>
                      <w:szCs w:val="21"/>
                      <w:highlight w:val="none"/>
                    </w:rPr>
                  </w:pPr>
                  <w:r>
                    <w:rPr>
                      <w:rFonts w:hint="eastAsia" w:eastAsia="宋体"/>
                      <w:bCs/>
                      <w:color w:val="auto"/>
                      <w:sz w:val="21"/>
                      <w:szCs w:val="21"/>
                      <w:highlight w:val="none"/>
                    </w:rPr>
                    <w:t>生活污水</w:t>
                  </w:r>
                </w:p>
              </w:tc>
              <w:tc>
                <w:tcPr>
                  <w:tcW w:w="890" w:type="pct"/>
                  <w:vAlign w:val="center"/>
                </w:tcPr>
                <w:p>
                  <w:pPr>
                    <w:pStyle w:val="46"/>
                    <w:rPr>
                      <w:rFonts w:eastAsia="宋体"/>
                      <w:bCs/>
                      <w:color w:val="auto"/>
                      <w:sz w:val="21"/>
                      <w:szCs w:val="21"/>
                      <w:highlight w:val="none"/>
                    </w:rPr>
                  </w:pPr>
                  <w:r>
                    <w:rPr>
                      <w:rFonts w:eastAsia="宋体"/>
                      <w:bCs/>
                      <w:color w:val="auto"/>
                      <w:sz w:val="21"/>
                      <w:szCs w:val="21"/>
                      <w:highlight w:val="none"/>
                    </w:rPr>
                    <w:t>废水量</w:t>
                  </w:r>
                </w:p>
              </w:tc>
              <w:tc>
                <w:tcPr>
                  <w:tcW w:w="905" w:type="pct"/>
                  <w:vAlign w:val="center"/>
                </w:tcPr>
                <w:p>
                  <w:pPr>
                    <w:widowControl/>
                    <w:jc w:val="center"/>
                    <w:textAlignment w:val="center"/>
                    <w:rPr>
                      <w:bCs/>
                      <w:color w:val="auto"/>
                      <w:sz w:val="21"/>
                      <w:szCs w:val="21"/>
                      <w:highlight w:val="none"/>
                    </w:rPr>
                  </w:pPr>
                  <w:r>
                    <w:rPr>
                      <w:rFonts w:hint="eastAsia"/>
                      <w:bCs/>
                      <w:color w:val="auto"/>
                      <w:sz w:val="21"/>
                      <w:szCs w:val="21"/>
                      <w:highlight w:val="none"/>
                    </w:rPr>
                    <w:t>360</w:t>
                  </w:r>
                </w:p>
              </w:tc>
              <w:tc>
                <w:tcPr>
                  <w:tcW w:w="787" w:type="pct"/>
                  <w:vAlign w:val="center"/>
                </w:tcPr>
                <w:p>
                  <w:pPr>
                    <w:pStyle w:val="46"/>
                    <w:rPr>
                      <w:rFonts w:eastAsia="宋体"/>
                      <w:bCs/>
                      <w:color w:val="auto"/>
                      <w:sz w:val="21"/>
                      <w:szCs w:val="21"/>
                      <w:highlight w:val="none"/>
                    </w:rPr>
                  </w:pPr>
                  <w:r>
                    <w:rPr>
                      <w:rFonts w:eastAsia="宋体"/>
                      <w:bCs/>
                      <w:color w:val="auto"/>
                      <w:sz w:val="21"/>
                      <w:szCs w:val="21"/>
                      <w:highlight w:val="none"/>
                    </w:rPr>
                    <w:t>0</w:t>
                  </w:r>
                </w:p>
              </w:tc>
              <w:tc>
                <w:tcPr>
                  <w:tcW w:w="710" w:type="pct"/>
                  <w:vAlign w:val="center"/>
                </w:tcPr>
                <w:p>
                  <w:pPr>
                    <w:widowControl/>
                    <w:jc w:val="center"/>
                    <w:textAlignment w:val="center"/>
                    <w:rPr>
                      <w:bCs/>
                      <w:color w:val="auto"/>
                      <w:sz w:val="21"/>
                      <w:szCs w:val="21"/>
                      <w:highlight w:val="none"/>
                    </w:rPr>
                  </w:pPr>
                  <w:r>
                    <w:rPr>
                      <w:rFonts w:hint="eastAsia"/>
                      <w:bCs/>
                      <w:color w:val="auto"/>
                      <w:sz w:val="21"/>
                      <w:szCs w:val="21"/>
                      <w:highlight w:val="none"/>
                    </w:rPr>
                    <w:t>360</w:t>
                  </w:r>
                </w:p>
              </w:tc>
              <w:tc>
                <w:tcPr>
                  <w:tcW w:w="826" w:type="pct"/>
                  <w:vAlign w:val="center"/>
                </w:tcPr>
                <w:p>
                  <w:pPr>
                    <w:widowControl/>
                    <w:jc w:val="center"/>
                    <w:textAlignment w:val="center"/>
                    <w:rPr>
                      <w:bCs/>
                      <w:color w:val="auto"/>
                      <w:sz w:val="21"/>
                      <w:szCs w:val="21"/>
                      <w:highlight w:val="none"/>
                    </w:rPr>
                  </w:pPr>
                  <w:r>
                    <w:rPr>
                      <w:rFonts w:hint="eastAsia"/>
                      <w:bCs/>
                      <w:color w:val="auto"/>
                      <w:sz w:val="21"/>
                      <w:szCs w:val="21"/>
                      <w:highlight w:val="none"/>
                    </w:rPr>
                    <w:t>360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 w:type="pct"/>
                  <w:vMerge w:val="continue"/>
                  <w:vAlign w:val="center"/>
                </w:tcPr>
                <w:p>
                  <w:pPr>
                    <w:pStyle w:val="46"/>
                    <w:rPr>
                      <w:rFonts w:eastAsia="宋体"/>
                      <w:bCs/>
                      <w:color w:val="auto"/>
                      <w:sz w:val="21"/>
                      <w:szCs w:val="21"/>
                      <w:highlight w:val="none"/>
                    </w:rPr>
                  </w:pPr>
                </w:p>
              </w:tc>
              <w:tc>
                <w:tcPr>
                  <w:tcW w:w="890" w:type="pct"/>
                  <w:vAlign w:val="center"/>
                </w:tcPr>
                <w:p>
                  <w:pPr>
                    <w:pStyle w:val="46"/>
                    <w:rPr>
                      <w:rFonts w:eastAsia="宋体"/>
                      <w:bCs/>
                      <w:color w:val="auto"/>
                      <w:sz w:val="21"/>
                      <w:szCs w:val="21"/>
                      <w:highlight w:val="none"/>
                    </w:rPr>
                  </w:pPr>
                  <w:r>
                    <w:rPr>
                      <w:rFonts w:eastAsia="宋体"/>
                      <w:bCs/>
                      <w:color w:val="auto"/>
                      <w:sz w:val="21"/>
                      <w:szCs w:val="21"/>
                      <w:highlight w:val="none"/>
                    </w:rPr>
                    <w:t>COD</w:t>
                  </w:r>
                </w:p>
              </w:tc>
              <w:tc>
                <w:tcPr>
                  <w:tcW w:w="905" w:type="pct"/>
                  <w:vAlign w:val="center"/>
                </w:tcPr>
                <w:p>
                  <w:pPr>
                    <w:widowControl/>
                    <w:jc w:val="center"/>
                    <w:textAlignment w:val="center"/>
                    <w:rPr>
                      <w:bCs/>
                      <w:color w:val="auto"/>
                      <w:sz w:val="21"/>
                      <w:szCs w:val="21"/>
                      <w:highlight w:val="none"/>
                    </w:rPr>
                  </w:pPr>
                  <w:r>
                    <w:rPr>
                      <w:color w:val="auto"/>
                      <w:kern w:val="0"/>
                      <w:sz w:val="21"/>
                      <w:szCs w:val="21"/>
                      <w:highlight w:val="none"/>
                      <w:lang w:bidi="ar"/>
                    </w:rPr>
                    <w:t>0.144</w:t>
                  </w:r>
                </w:p>
              </w:tc>
              <w:tc>
                <w:tcPr>
                  <w:tcW w:w="787" w:type="pct"/>
                  <w:vAlign w:val="center"/>
                </w:tcPr>
                <w:p>
                  <w:pPr>
                    <w:pStyle w:val="46"/>
                    <w:rPr>
                      <w:rFonts w:eastAsia="宋体"/>
                      <w:bCs/>
                      <w:color w:val="auto"/>
                      <w:sz w:val="21"/>
                      <w:szCs w:val="21"/>
                      <w:highlight w:val="none"/>
                    </w:rPr>
                  </w:pPr>
                  <w:r>
                    <w:rPr>
                      <w:rFonts w:eastAsia="宋体"/>
                      <w:bCs/>
                      <w:color w:val="auto"/>
                      <w:sz w:val="21"/>
                      <w:szCs w:val="21"/>
                      <w:highlight w:val="none"/>
                    </w:rPr>
                    <w:t>0</w:t>
                  </w:r>
                </w:p>
              </w:tc>
              <w:tc>
                <w:tcPr>
                  <w:tcW w:w="710" w:type="pct"/>
                  <w:vAlign w:val="center"/>
                </w:tcPr>
                <w:p>
                  <w:pPr>
                    <w:widowControl/>
                    <w:jc w:val="center"/>
                    <w:textAlignment w:val="center"/>
                    <w:rPr>
                      <w:bCs/>
                      <w:color w:val="auto"/>
                      <w:sz w:val="21"/>
                      <w:szCs w:val="21"/>
                      <w:highlight w:val="none"/>
                    </w:rPr>
                  </w:pPr>
                  <w:r>
                    <w:rPr>
                      <w:color w:val="auto"/>
                      <w:kern w:val="0"/>
                      <w:sz w:val="21"/>
                      <w:szCs w:val="21"/>
                      <w:highlight w:val="none"/>
                      <w:lang w:bidi="ar"/>
                    </w:rPr>
                    <w:t>0.144</w:t>
                  </w:r>
                </w:p>
              </w:tc>
              <w:tc>
                <w:tcPr>
                  <w:tcW w:w="826" w:type="pct"/>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0.018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 w:type="pct"/>
                  <w:vMerge w:val="continue"/>
                  <w:vAlign w:val="center"/>
                </w:tcPr>
                <w:p>
                  <w:pPr>
                    <w:pStyle w:val="46"/>
                    <w:rPr>
                      <w:rFonts w:eastAsia="宋体"/>
                      <w:bCs/>
                      <w:color w:val="auto"/>
                      <w:sz w:val="21"/>
                      <w:szCs w:val="21"/>
                      <w:highlight w:val="none"/>
                    </w:rPr>
                  </w:pPr>
                </w:p>
              </w:tc>
              <w:tc>
                <w:tcPr>
                  <w:tcW w:w="890" w:type="pct"/>
                  <w:vAlign w:val="center"/>
                </w:tcPr>
                <w:p>
                  <w:pPr>
                    <w:pStyle w:val="46"/>
                    <w:rPr>
                      <w:rFonts w:eastAsia="宋体"/>
                      <w:bCs/>
                      <w:color w:val="auto"/>
                      <w:sz w:val="21"/>
                      <w:szCs w:val="21"/>
                      <w:highlight w:val="none"/>
                    </w:rPr>
                  </w:pPr>
                  <w:r>
                    <w:rPr>
                      <w:rFonts w:eastAsia="宋体"/>
                      <w:bCs/>
                      <w:color w:val="auto"/>
                      <w:sz w:val="21"/>
                      <w:szCs w:val="21"/>
                      <w:highlight w:val="none"/>
                    </w:rPr>
                    <w:t>SS</w:t>
                  </w:r>
                </w:p>
              </w:tc>
              <w:tc>
                <w:tcPr>
                  <w:tcW w:w="905" w:type="pct"/>
                  <w:vAlign w:val="center"/>
                </w:tcPr>
                <w:p>
                  <w:pPr>
                    <w:widowControl/>
                    <w:jc w:val="center"/>
                    <w:textAlignment w:val="center"/>
                    <w:rPr>
                      <w:bCs/>
                      <w:color w:val="auto"/>
                      <w:sz w:val="21"/>
                      <w:szCs w:val="21"/>
                      <w:highlight w:val="none"/>
                    </w:rPr>
                  </w:pPr>
                  <w:r>
                    <w:rPr>
                      <w:color w:val="auto"/>
                      <w:kern w:val="0"/>
                      <w:sz w:val="21"/>
                      <w:szCs w:val="21"/>
                      <w:highlight w:val="none"/>
                      <w:lang w:bidi="ar"/>
                    </w:rPr>
                    <w:t xml:space="preserve">0.072 </w:t>
                  </w:r>
                </w:p>
              </w:tc>
              <w:tc>
                <w:tcPr>
                  <w:tcW w:w="787" w:type="pct"/>
                  <w:vAlign w:val="center"/>
                </w:tcPr>
                <w:p>
                  <w:pPr>
                    <w:widowControl/>
                    <w:jc w:val="center"/>
                    <w:textAlignment w:val="center"/>
                    <w:rPr>
                      <w:bCs/>
                      <w:color w:val="auto"/>
                      <w:sz w:val="21"/>
                      <w:szCs w:val="21"/>
                      <w:highlight w:val="none"/>
                    </w:rPr>
                  </w:pPr>
                  <w:r>
                    <w:rPr>
                      <w:rFonts w:hint="eastAsia"/>
                      <w:bCs/>
                      <w:color w:val="auto"/>
                      <w:sz w:val="21"/>
                      <w:szCs w:val="21"/>
                      <w:highlight w:val="none"/>
                    </w:rPr>
                    <w:t>0</w:t>
                  </w:r>
                </w:p>
              </w:tc>
              <w:tc>
                <w:tcPr>
                  <w:tcW w:w="710" w:type="pct"/>
                  <w:vAlign w:val="center"/>
                </w:tcPr>
                <w:p>
                  <w:pPr>
                    <w:widowControl/>
                    <w:jc w:val="center"/>
                    <w:textAlignment w:val="center"/>
                    <w:rPr>
                      <w:bCs/>
                      <w:color w:val="auto"/>
                      <w:sz w:val="21"/>
                      <w:szCs w:val="21"/>
                      <w:highlight w:val="none"/>
                    </w:rPr>
                  </w:pPr>
                  <w:r>
                    <w:rPr>
                      <w:color w:val="auto"/>
                      <w:kern w:val="0"/>
                      <w:sz w:val="21"/>
                      <w:szCs w:val="21"/>
                      <w:highlight w:val="none"/>
                      <w:lang w:bidi="ar"/>
                    </w:rPr>
                    <w:t xml:space="preserve">0.072 </w:t>
                  </w:r>
                </w:p>
              </w:tc>
              <w:tc>
                <w:tcPr>
                  <w:tcW w:w="826" w:type="pct"/>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0.0036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 w:type="pct"/>
                  <w:vMerge w:val="continue"/>
                  <w:vAlign w:val="center"/>
                </w:tcPr>
                <w:p>
                  <w:pPr>
                    <w:pStyle w:val="46"/>
                    <w:rPr>
                      <w:rFonts w:eastAsia="宋体"/>
                      <w:bCs/>
                      <w:color w:val="auto"/>
                      <w:sz w:val="21"/>
                      <w:szCs w:val="21"/>
                      <w:highlight w:val="none"/>
                    </w:rPr>
                  </w:pPr>
                </w:p>
              </w:tc>
              <w:tc>
                <w:tcPr>
                  <w:tcW w:w="890" w:type="pct"/>
                  <w:vAlign w:val="center"/>
                </w:tcPr>
                <w:p>
                  <w:pPr>
                    <w:pStyle w:val="46"/>
                    <w:rPr>
                      <w:rFonts w:eastAsia="宋体"/>
                      <w:bCs/>
                      <w:color w:val="auto"/>
                      <w:sz w:val="21"/>
                      <w:szCs w:val="21"/>
                      <w:highlight w:val="none"/>
                    </w:rPr>
                  </w:pPr>
                  <w:r>
                    <w:rPr>
                      <w:rFonts w:eastAsia="宋体"/>
                      <w:bCs/>
                      <w:color w:val="auto"/>
                      <w:sz w:val="21"/>
                      <w:szCs w:val="21"/>
                      <w:highlight w:val="none"/>
                    </w:rPr>
                    <w:t>氨氮</w:t>
                  </w:r>
                </w:p>
              </w:tc>
              <w:tc>
                <w:tcPr>
                  <w:tcW w:w="905" w:type="pct"/>
                  <w:vAlign w:val="center"/>
                </w:tcPr>
                <w:p>
                  <w:pPr>
                    <w:widowControl/>
                    <w:jc w:val="center"/>
                    <w:textAlignment w:val="center"/>
                    <w:rPr>
                      <w:bCs/>
                      <w:color w:val="auto"/>
                      <w:sz w:val="21"/>
                      <w:szCs w:val="21"/>
                      <w:highlight w:val="none"/>
                    </w:rPr>
                  </w:pPr>
                  <w:r>
                    <w:rPr>
                      <w:color w:val="auto"/>
                      <w:kern w:val="0"/>
                      <w:sz w:val="21"/>
                      <w:szCs w:val="21"/>
                      <w:highlight w:val="none"/>
                      <w:lang w:bidi="ar"/>
                    </w:rPr>
                    <w:t xml:space="preserve">0.0126 </w:t>
                  </w:r>
                </w:p>
              </w:tc>
              <w:tc>
                <w:tcPr>
                  <w:tcW w:w="787" w:type="pct"/>
                  <w:vAlign w:val="center"/>
                </w:tcPr>
                <w:p>
                  <w:pPr>
                    <w:widowControl/>
                    <w:jc w:val="center"/>
                    <w:textAlignment w:val="center"/>
                    <w:rPr>
                      <w:bCs/>
                      <w:color w:val="auto"/>
                      <w:sz w:val="21"/>
                      <w:szCs w:val="21"/>
                      <w:highlight w:val="none"/>
                    </w:rPr>
                  </w:pPr>
                  <w:r>
                    <w:rPr>
                      <w:bCs/>
                      <w:color w:val="auto"/>
                      <w:sz w:val="21"/>
                      <w:szCs w:val="21"/>
                      <w:highlight w:val="none"/>
                    </w:rPr>
                    <w:t>0</w:t>
                  </w:r>
                </w:p>
              </w:tc>
              <w:tc>
                <w:tcPr>
                  <w:tcW w:w="710" w:type="pct"/>
                  <w:vAlign w:val="center"/>
                </w:tcPr>
                <w:p>
                  <w:pPr>
                    <w:widowControl/>
                    <w:jc w:val="center"/>
                    <w:textAlignment w:val="center"/>
                    <w:rPr>
                      <w:bCs/>
                      <w:color w:val="auto"/>
                      <w:sz w:val="21"/>
                      <w:szCs w:val="21"/>
                      <w:highlight w:val="none"/>
                    </w:rPr>
                  </w:pPr>
                  <w:r>
                    <w:rPr>
                      <w:color w:val="auto"/>
                      <w:kern w:val="0"/>
                      <w:sz w:val="21"/>
                      <w:szCs w:val="21"/>
                      <w:highlight w:val="none"/>
                      <w:lang w:bidi="ar"/>
                    </w:rPr>
                    <w:t xml:space="preserve">0.0126 </w:t>
                  </w:r>
                </w:p>
              </w:tc>
              <w:tc>
                <w:tcPr>
                  <w:tcW w:w="826" w:type="pct"/>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0.0014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 w:type="pct"/>
                  <w:vMerge w:val="continue"/>
                  <w:vAlign w:val="center"/>
                </w:tcPr>
                <w:p>
                  <w:pPr>
                    <w:pStyle w:val="46"/>
                    <w:rPr>
                      <w:rFonts w:eastAsia="宋体"/>
                      <w:bCs/>
                      <w:color w:val="auto"/>
                      <w:sz w:val="21"/>
                      <w:szCs w:val="21"/>
                      <w:highlight w:val="none"/>
                    </w:rPr>
                  </w:pPr>
                </w:p>
              </w:tc>
              <w:tc>
                <w:tcPr>
                  <w:tcW w:w="890" w:type="pct"/>
                  <w:vAlign w:val="center"/>
                </w:tcPr>
                <w:p>
                  <w:pPr>
                    <w:pStyle w:val="46"/>
                    <w:rPr>
                      <w:rFonts w:eastAsia="宋体"/>
                      <w:bCs/>
                      <w:color w:val="auto"/>
                      <w:sz w:val="21"/>
                      <w:szCs w:val="21"/>
                      <w:highlight w:val="none"/>
                    </w:rPr>
                  </w:pPr>
                  <w:r>
                    <w:rPr>
                      <w:rFonts w:eastAsia="宋体"/>
                      <w:bCs/>
                      <w:color w:val="auto"/>
                      <w:sz w:val="21"/>
                      <w:szCs w:val="21"/>
                      <w:highlight w:val="none"/>
                    </w:rPr>
                    <w:t>TP</w:t>
                  </w:r>
                </w:p>
              </w:tc>
              <w:tc>
                <w:tcPr>
                  <w:tcW w:w="905" w:type="pct"/>
                  <w:vAlign w:val="center"/>
                </w:tcPr>
                <w:p>
                  <w:pPr>
                    <w:widowControl/>
                    <w:jc w:val="center"/>
                    <w:textAlignment w:val="center"/>
                    <w:rPr>
                      <w:bCs/>
                      <w:color w:val="auto"/>
                      <w:sz w:val="21"/>
                      <w:szCs w:val="21"/>
                      <w:highlight w:val="none"/>
                    </w:rPr>
                  </w:pPr>
                  <w:r>
                    <w:rPr>
                      <w:color w:val="auto"/>
                      <w:kern w:val="0"/>
                      <w:sz w:val="21"/>
                      <w:szCs w:val="21"/>
                      <w:highlight w:val="none"/>
                      <w:lang w:bidi="ar"/>
                    </w:rPr>
                    <w:t>0.001</w:t>
                  </w:r>
                  <w:r>
                    <w:rPr>
                      <w:rFonts w:hint="eastAsia"/>
                      <w:color w:val="auto"/>
                      <w:kern w:val="0"/>
                      <w:sz w:val="21"/>
                      <w:szCs w:val="21"/>
                      <w:highlight w:val="none"/>
                      <w:lang w:bidi="ar"/>
                    </w:rPr>
                    <w:t>1</w:t>
                  </w:r>
                </w:p>
              </w:tc>
              <w:tc>
                <w:tcPr>
                  <w:tcW w:w="787" w:type="pct"/>
                  <w:vAlign w:val="center"/>
                </w:tcPr>
                <w:p>
                  <w:pPr>
                    <w:widowControl/>
                    <w:jc w:val="center"/>
                    <w:textAlignment w:val="center"/>
                    <w:rPr>
                      <w:bCs/>
                      <w:color w:val="auto"/>
                      <w:sz w:val="21"/>
                      <w:szCs w:val="21"/>
                      <w:highlight w:val="none"/>
                    </w:rPr>
                  </w:pPr>
                  <w:r>
                    <w:rPr>
                      <w:bCs/>
                      <w:color w:val="auto"/>
                      <w:sz w:val="21"/>
                      <w:szCs w:val="21"/>
                      <w:highlight w:val="none"/>
                    </w:rPr>
                    <w:t>0</w:t>
                  </w:r>
                </w:p>
              </w:tc>
              <w:tc>
                <w:tcPr>
                  <w:tcW w:w="710" w:type="pct"/>
                  <w:vAlign w:val="center"/>
                </w:tcPr>
                <w:p>
                  <w:pPr>
                    <w:widowControl/>
                    <w:jc w:val="center"/>
                    <w:textAlignment w:val="center"/>
                    <w:rPr>
                      <w:bCs/>
                      <w:color w:val="auto"/>
                      <w:sz w:val="21"/>
                      <w:szCs w:val="21"/>
                      <w:highlight w:val="none"/>
                    </w:rPr>
                  </w:pPr>
                  <w:r>
                    <w:rPr>
                      <w:color w:val="auto"/>
                      <w:kern w:val="0"/>
                      <w:sz w:val="21"/>
                      <w:szCs w:val="21"/>
                      <w:highlight w:val="none"/>
                      <w:lang w:bidi="ar"/>
                    </w:rPr>
                    <w:t>0.001</w:t>
                  </w:r>
                  <w:r>
                    <w:rPr>
                      <w:rFonts w:hint="eastAsia"/>
                      <w:color w:val="auto"/>
                      <w:kern w:val="0"/>
                      <w:sz w:val="21"/>
                      <w:szCs w:val="21"/>
                      <w:highlight w:val="none"/>
                      <w:lang w:bidi="ar"/>
                    </w:rPr>
                    <w:t>1</w:t>
                  </w:r>
                </w:p>
              </w:tc>
              <w:tc>
                <w:tcPr>
                  <w:tcW w:w="826" w:type="pct"/>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0.0002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 w:type="pct"/>
                  <w:vMerge w:val="continue"/>
                  <w:vAlign w:val="center"/>
                </w:tcPr>
                <w:p>
                  <w:pPr>
                    <w:pStyle w:val="46"/>
                    <w:rPr>
                      <w:rFonts w:eastAsia="宋体"/>
                      <w:bCs/>
                      <w:color w:val="auto"/>
                      <w:sz w:val="21"/>
                      <w:szCs w:val="21"/>
                      <w:highlight w:val="none"/>
                    </w:rPr>
                  </w:pPr>
                </w:p>
              </w:tc>
              <w:tc>
                <w:tcPr>
                  <w:tcW w:w="890" w:type="pct"/>
                  <w:vAlign w:val="center"/>
                </w:tcPr>
                <w:p>
                  <w:pPr>
                    <w:pStyle w:val="46"/>
                    <w:rPr>
                      <w:rFonts w:eastAsia="宋体"/>
                      <w:bCs/>
                      <w:color w:val="auto"/>
                      <w:sz w:val="21"/>
                      <w:szCs w:val="21"/>
                      <w:highlight w:val="none"/>
                    </w:rPr>
                  </w:pPr>
                  <w:r>
                    <w:rPr>
                      <w:rFonts w:eastAsia="宋体"/>
                      <w:bCs/>
                      <w:color w:val="auto"/>
                      <w:sz w:val="21"/>
                      <w:szCs w:val="21"/>
                      <w:highlight w:val="none"/>
                    </w:rPr>
                    <w:t>TN</w:t>
                  </w:r>
                </w:p>
              </w:tc>
              <w:tc>
                <w:tcPr>
                  <w:tcW w:w="905" w:type="pct"/>
                  <w:vAlign w:val="center"/>
                </w:tcPr>
                <w:p>
                  <w:pPr>
                    <w:widowControl/>
                    <w:jc w:val="center"/>
                    <w:textAlignment w:val="center"/>
                    <w:rPr>
                      <w:bCs/>
                      <w:color w:val="auto"/>
                      <w:sz w:val="21"/>
                      <w:szCs w:val="21"/>
                      <w:highlight w:val="none"/>
                    </w:rPr>
                  </w:pPr>
                  <w:r>
                    <w:rPr>
                      <w:color w:val="auto"/>
                      <w:kern w:val="0"/>
                      <w:sz w:val="21"/>
                      <w:szCs w:val="21"/>
                      <w:highlight w:val="none"/>
                      <w:lang w:bidi="ar"/>
                    </w:rPr>
                    <w:t xml:space="preserve">0.018 </w:t>
                  </w:r>
                </w:p>
              </w:tc>
              <w:tc>
                <w:tcPr>
                  <w:tcW w:w="787" w:type="pct"/>
                  <w:vAlign w:val="center"/>
                </w:tcPr>
                <w:p>
                  <w:pPr>
                    <w:widowControl/>
                    <w:jc w:val="center"/>
                    <w:textAlignment w:val="center"/>
                    <w:rPr>
                      <w:bCs/>
                      <w:color w:val="auto"/>
                      <w:sz w:val="21"/>
                      <w:szCs w:val="21"/>
                      <w:highlight w:val="none"/>
                    </w:rPr>
                  </w:pPr>
                  <w:r>
                    <w:rPr>
                      <w:bCs/>
                      <w:color w:val="auto"/>
                      <w:sz w:val="21"/>
                      <w:szCs w:val="21"/>
                      <w:highlight w:val="none"/>
                    </w:rPr>
                    <w:t>0</w:t>
                  </w:r>
                </w:p>
              </w:tc>
              <w:tc>
                <w:tcPr>
                  <w:tcW w:w="710" w:type="pct"/>
                  <w:vAlign w:val="center"/>
                </w:tcPr>
                <w:p>
                  <w:pPr>
                    <w:widowControl/>
                    <w:jc w:val="center"/>
                    <w:textAlignment w:val="center"/>
                    <w:rPr>
                      <w:bCs/>
                      <w:color w:val="auto"/>
                      <w:sz w:val="21"/>
                      <w:szCs w:val="21"/>
                      <w:highlight w:val="none"/>
                    </w:rPr>
                  </w:pPr>
                  <w:r>
                    <w:rPr>
                      <w:color w:val="auto"/>
                      <w:kern w:val="0"/>
                      <w:sz w:val="21"/>
                      <w:szCs w:val="21"/>
                      <w:highlight w:val="none"/>
                      <w:lang w:bidi="ar"/>
                    </w:rPr>
                    <w:t xml:space="preserve">0.018 </w:t>
                  </w:r>
                </w:p>
              </w:tc>
              <w:tc>
                <w:tcPr>
                  <w:tcW w:w="826" w:type="pct"/>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0.0043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 w:type="pct"/>
                  <w:vAlign w:val="center"/>
                </w:tcPr>
                <w:p>
                  <w:pPr>
                    <w:pStyle w:val="46"/>
                    <w:rPr>
                      <w:rFonts w:eastAsia="宋体"/>
                      <w:bCs/>
                      <w:color w:val="auto"/>
                      <w:sz w:val="21"/>
                      <w:szCs w:val="21"/>
                      <w:highlight w:val="none"/>
                    </w:rPr>
                  </w:pPr>
                  <w:r>
                    <w:rPr>
                      <w:rFonts w:eastAsia="宋体"/>
                      <w:bCs/>
                      <w:color w:val="auto"/>
                      <w:sz w:val="21"/>
                      <w:szCs w:val="21"/>
                      <w:highlight w:val="none"/>
                    </w:rPr>
                    <w:t>有组织废气</w:t>
                  </w:r>
                </w:p>
              </w:tc>
              <w:tc>
                <w:tcPr>
                  <w:tcW w:w="890" w:type="pct"/>
                  <w:vAlign w:val="center"/>
                </w:tcPr>
                <w:p>
                  <w:pPr>
                    <w:pStyle w:val="46"/>
                    <w:rPr>
                      <w:rFonts w:eastAsia="宋体"/>
                      <w:bCs/>
                      <w:color w:val="auto"/>
                      <w:sz w:val="21"/>
                      <w:szCs w:val="21"/>
                      <w:highlight w:val="none"/>
                    </w:rPr>
                  </w:pPr>
                  <w:r>
                    <w:rPr>
                      <w:rFonts w:hint="eastAsia" w:eastAsia="宋体"/>
                      <w:bCs/>
                      <w:color w:val="auto"/>
                      <w:sz w:val="21"/>
                      <w:szCs w:val="21"/>
                      <w:highlight w:val="none"/>
                    </w:rPr>
                    <w:t>非甲烷总烃</w:t>
                  </w:r>
                </w:p>
              </w:tc>
              <w:tc>
                <w:tcPr>
                  <w:tcW w:w="905" w:type="pct"/>
                  <w:vAlign w:val="center"/>
                </w:tcPr>
                <w:p>
                  <w:pPr>
                    <w:pStyle w:val="46"/>
                    <w:rPr>
                      <w:rFonts w:hint="default" w:eastAsia="宋体"/>
                      <w:bCs/>
                      <w:color w:val="auto"/>
                      <w:sz w:val="21"/>
                      <w:szCs w:val="21"/>
                      <w:highlight w:val="none"/>
                      <w:lang w:val="en-US" w:eastAsia="zh-CN"/>
                    </w:rPr>
                  </w:pPr>
                  <w:r>
                    <w:rPr>
                      <w:rFonts w:hint="eastAsia" w:eastAsia="宋体"/>
                      <w:bCs/>
                      <w:color w:val="auto"/>
                      <w:sz w:val="21"/>
                      <w:szCs w:val="21"/>
                      <w:highlight w:val="none"/>
                      <w:lang w:val="en-US" w:eastAsia="zh-CN"/>
                    </w:rPr>
                    <w:t>0.387</w:t>
                  </w:r>
                </w:p>
              </w:tc>
              <w:tc>
                <w:tcPr>
                  <w:tcW w:w="787" w:type="pct"/>
                  <w:vAlign w:val="center"/>
                </w:tcPr>
                <w:p>
                  <w:pPr>
                    <w:pStyle w:val="46"/>
                    <w:rPr>
                      <w:rFonts w:hint="default" w:eastAsia="宋体"/>
                      <w:bCs/>
                      <w:color w:val="auto"/>
                      <w:sz w:val="21"/>
                      <w:szCs w:val="21"/>
                      <w:highlight w:val="none"/>
                      <w:lang w:val="en-US" w:eastAsia="zh-CN"/>
                    </w:rPr>
                  </w:pPr>
                  <w:r>
                    <w:rPr>
                      <w:rFonts w:hint="eastAsia" w:eastAsia="宋体"/>
                      <w:bCs/>
                      <w:color w:val="auto"/>
                      <w:sz w:val="21"/>
                      <w:szCs w:val="21"/>
                      <w:highlight w:val="none"/>
                      <w:lang w:val="en-US" w:eastAsia="zh-CN"/>
                    </w:rPr>
                    <w:t>0.348</w:t>
                  </w:r>
                </w:p>
              </w:tc>
              <w:tc>
                <w:tcPr>
                  <w:tcW w:w="710" w:type="pct"/>
                  <w:vAlign w:val="center"/>
                </w:tcPr>
                <w:p>
                  <w:pPr>
                    <w:pStyle w:val="46"/>
                    <w:rPr>
                      <w:rFonts w:eastAsia="宋体"/>
                      <w:bCs/>
                      <w:color w:val="auto"/>
                      <w:sz w:val="21"/>
                      <w:szCs w:val="21"/>
                      <w:highlight w:val="none"/>
                    </w:rPr>
                  </w:pPr>
                  <w:r>
                    <w:rPr>
                      <w:rFonts w:eastAsia="宋体"/>
                      <w:bCs/>
                      <w:color w:val="auto"/>
                      <w:sz w:val="21"/>
                      <w:szCs w:val="21"/>
                      <w:highlight w:val="none"/>
                    </w:rPr>
                    <w:t>/</w:t>
                  </w:r>
                </w:p>
              </w:tc>
              <w:tc>
                <w:tcPr>
                  <w:tcW w:w="826" w:type="pct"/>
                  <w:vAlign w:val="center"/>
                </w:tcPr>
                <w:p>
                  <w:pPr>
                    <w:widowControl/>
                    <w:jc w:val="center"/>
                    <w:textAlignment w:val="center"/>
                    <w:rPr>
                      <w:rFonts w:hint="default" w:eastAsia="宋体"/>
                      <w:bCs/>
                      <w:color w:val="auto"/>
                      <w:sz w:val="21"/>
                      <w:szCs w:val="21"/>
                      <w:highlight w:val="none"/>
                      <w:lang w:val="en-US" w:eastAsia="zh-CN"/>
                    </w:rPr>
                  </w:pPr>
                  <w:r>
                    <w:rPr>
                      <w:rFonts w:hint="eastAsia"/>
                      <w:bCs/>
                      <w:color w:val="auto"/>
                      <w:sz w:val="21"/>
                      <w:szCs w:val="21"/>
                      <w:highlight w:val="none"/>
                      <w:lang w:val="en-US" w:eastAsia="zh-CN"/>
                    </w:rPr>
                    <w:t>0.039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 w:type="pct"/>
                  <w:vMerge w:val="restart"/>
                  <w:vAlign w:val="center"/>
                </w:tcPr>
                <w:p>
                  <w:pPr>
                    <w:pStyle w:val="46"/>
                    <w:rPr>
                      <w:rFonts w:eastAsia="宋体"/>
                      <w:bCs/>
                      <w:color w:val="auto"/>
                      <w:sz w:val="21"/>
                      <w:szCs w:val="21"/>
                      <w:highlight w:val="none"/>
                    </w:rPr>
                  </w:pPr>
                  <w:r>
                    <w:rPr>
                      <w:rFonts w:hint="eastAsia" w:eastAsia="宋体"/>
                      <w:bCs/>
                      <w:color w:val="auto"/>
                      <w:sz w:val="21"/>
                      <w:szCs w:val="21"/>
                      <w:highlight w:val="none"/>
                    </w:rPr>
                    <w:t>无组织废气</w:t>
                  </w:r>
                </w:p>
              </w:tc>
              <w:tc>
                <w:tcPr>
                  <w:tcW w:w="890" w:type="pct"/>
                  <w:vAlign w:val="center"/>
                </w:tcPr>
                <w:p>
                  <w:pPr>
                    <w:pStyle w:val="46"/>
                    <w:rPr>
                      <w:rFonts w:eastAsia="宋体"/>
                      <w:bCs/>
                      <w:color w:val="auto"/>
                      <w:sz w:val="21"/>
                      <w:szCs w:val="21"/>
                      <w:highlight w:val="none"/>
                    </w:rPr>
                  </w:pPr>
                  <w:r>
                    <w:rPr>
                      <w:rFonts w:hint="eastAsia" w:eastAsia="宋体"/>
                      <w:bCs/>
                      <w:color w:val="auto"/>
                      <w:sz w:val="21"/>
                      <w:szCs w:val="21"/>
                      <w:highlight w:val="none"/>
                    </w:rPr>
                    <w:t>非甲烷总烃</w:t>
                  </w:r>
                </w:p>
              </w:tc>
              <w:tc>
                <w:tcPr>
                  <w:tcW w:w="905" w:type="pct"/>
                  <w:vAlign w:val="center"/>
                </w:tcPr>
                <w:p>
                  <w:pPr>
                    <w:pStyle w:val="46"/>
                    <w:rPr>
                      <w:rFonts w:hint="default" w:eastAsia="宋体"/>
                      <w:bCs/>
                      <w:color w:val="auto"/>
                      <w:sz w:val="21"/>
                      <w:szCs w:val="21"/>
                      <w:highlight w:val="none"/>
                      <w:lang w:val="en-US" w:eastAsia="zh-CN"/>
                    </w:rPr>
                  </w:pPr>
                  <w:r>
                    <w:rPr>
                      <w:rFonts w:hint="eastAsia" w:eastAsia="宋体"/>
                      <w:bCs/>
                      <w:color w:val="auto"/>
                      <w:sz w:val="21"/>
                      <w:szCs w:val="21"/>
                      <w:highlight w:val="none"/>
                      <w:lang w:val="en-US" w:eastAsia="zh-CN"/>
                    </w:rPr>
                    <w:t>0.043</w:t>
                  </w:r>
                </w:p>
              </w:tc>
              <w:tc>
                <w:tcPr>
                  <w:tcW w:w="787" w:type="pct"/>
                  <w:vAlign w:val="center"/>
                </w:tcPr>
                <w:p>
                  <w:pPr>
                    <w:pStyle w:val="46"/>
                    <w:rPr>
                      <w:rFonts w:hint="default" w:eastAsia="宋体"/>
                      <w:bCs/>
                      <w:color w:val="auto"/>
                      <w:sz w:val="21"/>
                      <w:szCs w:val="21"/>
                      <w:highlight w:val="none"/>
                      <w:lang w:val="en-US" w:eastAsia="zh-CN"/>
                    </w:rPr>
                  </w:pPr>
                  <w:r>
                    <w:rPr>
                      <w:rFonts w:hint="eastAsia" w:eastAsia="宋体"/>
                      <w:bCs/>
                      <w:color w:val="auto"/>
                      <w:sz w:val="21"/>
                      <w:szCs w:val="21"/>
                      <w:highlight w:val="none"/>
                      <w:lang w:val="en-US" w:eastAsia="zh-CN"/>
                    </w:rPr>
                    <w:t>/</w:t>
                  </w:r>
                </w:p>
              </w:tc>
              <w:tc>
                <w:tcPr>
                  <w:tcW w:w="710" w:type="pct"/>
                  <w:vAlign w:val="center"/>
                </w:tcPr>
                <w:p>
                  <w:pPr>
                    <w:pStyle w:val="46"/>
                    <w:rPr>
                      <w:rFonts w:hint="eastAsia" w:eastAsia="宋体"/>
                      <w:bCs/>
                      <w:color w:val="auto"/>
                      <w:sz w:val="21"/>
                      <w:szCs w:val="21"/>
                      <w:highlight w:val="none"/>
                      <w:lang w:val="en-US" w:eastAsia="zh-CN"/>
                    </w:rPr>
                  </w:pPr>
                  <w:r>
                    <w:rPr>
                      <w:rFonts w:hint="eastAsia" w:eastAsia="宋体"/>
                      <w:bCs/>
                      <w:color w:val="auto"/>
                      <w:sz w:val="21"/>
                      <w:szCs w:val="21"/>
                      <w:highlight w:val="none"/>
                      <w:lang w:val="en-US" w:eastAsia="zh-CN"/>
                    </w:rPr>
                    <w:t>/</w:t>
                  </w:r>
                </w:p>
              </w:tc>
              <w:tc>
                <w:tcPr>
                  <w:tcW w:w="826" w:type="pct"/>
                  <w:vAlign w:val="center"/>
                </w:tcPr>
                <w:p>
                  <w:pPr>
                    <w:widowControl/>
                    <w:jc w:val="center"/>
                    <w:textAlignment w:val="center"/>
                    <w:rPr>
                      <w:rFonts w:hint="default" w:eastAsia="宋体"/>
                      <w:bCs/>
                      <w:color w:val="auto"/>
                      <w:sz w:val="21"/>
                      <w:szCs w:val="21"/>
                      <w:highlight w:val="none"/>
                      <w:lang w:val="en-US" w:eastAsia="zh-CN"/>
                    </w:rPr>
                  </w:pPr>
                  <w:r>
                    <w:rPr>
                      <w:rFonts w:hint="eastAsia"/>
                      <w:bCs/>
                      <w:color w:val="auto"/>
                      <w:sz w:val="21"/>
                      <w:szCs w:val="21"/>
                      <w:highlight w:val="none"/>
                      <w:lang w:val="en-US" w:eastAsia="zh-CN"/>
                    </w:rPr>
                    <w:t>0.043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 w:type="pct"/>
                  <w:vMerge w:val="continue"/>
                  <w:vAlign w:val="center"/>
                </w:tcPr>
                <w:p>
                  <w:pPr>
                    <w:pStyle w:val="46"/>
                    <w:rPr>
                      <w:rFonts w:hint="eastAsia" w:eastAsia="宋体"/>
                      <w:bCs/>
                      <w:color w:val="auto"/>
                      <w:sz w:val="21"/>
                      <w:szCs w:val="21"/>
                      <w:highlight w:val="none"/>
                    </w:rPr>
                  </w:pPr>
                </w:p>
              </w:tc>
              <w:tc>
                <w:tcPr>
                  <w:tcW w:w="890" w:type="pct"/>
                  <w:vAlign w:val="center"/>
                </w:tcPr>
                <w:p>
                  <w:pPr>
                    <w:pStyle w:val="46"/>
                    <w:rPr>
                      <w:rFonts w:hint="eastAsia" w:eastAsia="宋体"/>
                      <w:bCs/>
                      <w:color w:val="auto"/>
                      <w:sz w:val="21"/>
                      <w:szCs w:val="21"/>
                      <w:highlight w:val="none"/>
                      <w:lang w:val="en-US" w:eastAsia="zh-CN"/>
                    </w:rPr>
                  </w:pPr>
                  <w:r>
                    <w:rPr>
                      <w:rFonts w:hint="eastAsia" w:eastAsia="宋体"/>
                      <w:bCs/>
                      <w:color w:val="auto"/>
                      <w:sz w:val="21"/>
                      <w:szCs w:val="21"/>
                      <w:highlight w:val="none"/>
                      <w:lang w:val="en-US" w:eastAsia="zh-CN"/>
                    </w:rPr>
                    <w:t>颗粒物</w:t>
                  </w:r>
                </w:p>
              </w:tc>
              <w:tc>
                <w:tcPr>
                  <w:tcW w:w="905" w:type="pct"/>
                  <w:vAlign w:val="center"/>
                </w:tcPr>
                <w:p>
                  <w:pPr>
                    <w:pStyle w:val="46"/>
                    <w:rPr>
                      <w:rFonts w:hint="default" w:ascii="Times New Roman" w:hAnsi="Times New Roman" w:eastAsia="宋体" w:cs="Times New Roman"/>
                      <w:bCs/>
                      <w:color w:val="auto"/>
                      <w:kern w:val="2"/>
                      <w:sz w:val="21"/>
                      <w:szCs w:val="21"/>
                      <w:highlight w:val="none"/>
                      <w:lang w:val="en-US" w:eastAsia="zh-CN" w:bidi="ar-SA"/>
                    </w:rPr>
                  </w:pPr>
                  <w:r>
                    <w:rPr>
                      <w:rFonts w:hint="eastAsia" w:eastAsia="宋体"/>
                      <w:bCs/>
                      <w:color w:val="auto"/>
                      <w:sz w:val="21"/>
                      <w:szCs w:val="21"/>
                      <w:highlight w:val="none"/>
                      <w:lang w:val="en-US" w:eastAsia="zh-CN"/>
                    </w:rPr>
                    <w:t>0.0065</w:t>
                  </w:r>
                </w:p>
              </w:tc>
              <w:tc>
                <w:tcPr>
                  <w:tcW w:w="787" w:type="pct"/>
                  <w:vAlign w:val="center"/>
                </w:tcPr>
                <w:p>
                  <w:pPr>
                    <w:pStyle w:val="46"/>
                    <w:rPr>
                      <w:rFonts w:hint="default" w:ascii="Times New Roman" w:hAnsi="Times New Roman" w:eastAsia="宋体" w:cs="Times New Roman"/>
                      <w:bCs/>
                      <w:color w:val="auto"/>
                      <w:kern w:val="2"/>
                      <w:sz w:val="21"/>
                      <w:szCs w:val="21"/>
                      <w:highlight w:val="none"/>
                      <w:lang w:val="en-US" w:eastAsia="zh-CN" w:bidi="ar-SA"/>
                    </w:rPr>
                  </w:pPr>
                  <w:r>
                    <w:rPr>
                      <w:rFonts w:hint="eastAsia" w:eastAsia="宋体"/>
                      <w:bCs/>
                      <w:color w:val="auto"/>
                      <w:sz w:val="21"/>
                      <w:szCs w:val="21"/>
                      <w:highlight w:val="none"/>
                      <w:lang w:val="en-US" w:eastAsia="zh-CN"/>
                    </w:rPr>
                    <w:t>0.0052</w:t>
                  </w:r>
                </w:p>
              </w:tc>
              <w:tc>
                <w:tcPr>
                  <w:tcW w:w="710" w:type="pct"/>
                  <w:vAlign w:val="center"/>
                </w:tcPr>
                <w:p>
                  <w:pPr>
                    <w:pStyle w:val="46"/>
                    <w:rPr>
                      <w:rFonts w:hint="eastAsia" w:ascii="Times New Roman" w:hAnsi="Times New Roman" w:eastAsia="宋体" w:cs="Times New Roman"/>
                      <w:bCs/>
                      <w:color w:val="auto"/>
                      <w:kern w:val="2"/>
                      <w:sz w:val="21"/>
                      <w:szCs w:val="21"/>
                      <w:highlight w:val="none"/>
                      <w:lang w:val="en-US" w:eastAsia="zh-CN" w:bidi="ar-SA"/>
                    </w:rPr>
                  </w:pPr>
                  <w:r>
                    <w:rPr>
                      <w:rFonts w:hint="eastAsia" w:eastAsia="宋体"/>
                      <w:bCs/>
                      <w:color w:val="auto"/>
                      <w:sz w:val="21"/>
                      <w:szCs w:val="21"/>
                      <w:highlight w:val="none"/>
                    </w:rPr>
                    <w:t>/</w:t>
                  </w:r>
                </w:p>
              </w:tc>
              <w:tc>
                <w:tcPr>
                  <w:tcW w:w="826" w:type="pct"/>
                  <w:vAlign w:val="center"/>
                </w:tcPr>
                <w:p>
                  <w:pPr>
                    <w:widowControl/>
                    <w:jc w:val="center"/>
                    <w:textAlignment w:val="center"/>
                    <w:rPr>
                      <w:rFonts w:hint="default" w:ascii="Times New Roman" w:hAnsi="Times New Roman" w:eastAsia="宋体" w:cs="Times New Roman"/>
                      <w:bCs/>
                      <w:color w:val="auto"/>
                      <w:kern w:val="2"/>
                      <w:sz w:val="21"/>
                      <w:szCs w:val="21"/>
                      <w:highlight w:val="none"/>
                      <w:lang w:val="en-US" w:eastAsia="zh-CN" w:bidi="ar-SA"/>
                    </w:rPr>
                  </w:pPr>
                  <w:r>
                    <w:rPr>
                      <w:rFonts w:hint="eastAsia"/>
                      <w:bCs/>
                      <w:color w:val="auto"/>
                      <w:sz w:val="21"/>
                      <w:szCs w:val="21"/>
                      <w:highlight w:val="none"/>
                      <w:lang w:val="en-US" w:eastAsia="zh-CN"/>
                    </w:rPr>
                    <w:t>0.0013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 w:type="pct"/>
                  <w:vMerge w:val="restart"/>
                  <w:vAlign w:val="center"/>
                </w:tcPr>
                <w:p>
                  <w:pPr>
                    <w:pStyle w:val="46"/>
                    <w:rPr>
                      <w:rFonts w:eastAsia="宋体"/>
                      <w:bCs/>
                      <w:color w:val="auto"/>
                      <w:sz w:val="21"/>
                      <w:szCs w:val="21"/>
                      <w:highlight w:val="none"/>
                    </w:rPr>
                  </w:pPr>
                  <w:r>
                    <w:rPr>
                      <w:rFonts w:eastAsia="宋体"/>
                      <w:bCs/>
                      <w:color w:val="auto"/>
                      <w:sz w:val="21"/>
                      <w:szCs w:val="21"/>
                      <w:highlight w:val="none"/>
                    </w:rPr>
                    <w:t>固废</w:t>
                  </w:r>
                </w:p>
              </w:tc>
              <w:tc>
                <w:tcPr>
                  <w:tcW w:w="890" w:type="pct"/>
                  <w:vAlign w:val="center"/>
                </w:tcPr>
                <w:p>
                  <w:pPr>
                    <w:pStyle w:val="46"/>
                    <w:rPr>
                      <w:rFonts w:eastAsia="宋体"/>
                      <w:bCs/>
                      <w:color w:val="auto"/>
                      <w:sz w:val="21"/>
                      <w:szCs w:val="21"/>
                      <w:highlight w:val="none"/>
                    </w:rPr>
                  </w:pPr>
                  <w:r>
                    <w:rPr>
                      <w:rFonts w:eastAsia="宋体"/>
                      <w:bCs/>
                      <w:color w:val="auto"/>
                      <w:sz w:val="21"/>
                      <w:szCs w:val="21"/>
                      <w:highlight w:val="none"/>
                    </w:rPr>
                    <w:t>一般固废</w:t>
                  </w:r>
                </w:p>
              </w:tc>
              <w:tc>
                <w:tcPr>
                  <w:tcW w:w="905" w:type="pct"/>
                  <w:vAlign w:val="center"/>
                </w:tcPr>
                <w:p>
                  <w:pPr>
                    <w:widowControl/>
                    <w:jc w:val="center"/>
                    <w:textAlignment w:val="center"/>
                    <w:rPr>
                      <w:bCs/>
                      <w:color w:val="auto"/>
                      <w:sz w:val="21"/>
                      <w:szCs w:val="21"/>
                      <w:highlight w:val="none"/>
                    </w:rPr>
                  </w:pPr>
                  <w:r>
                    <w:rPr>
                      <w:rFonts w:hint="eastAsia"/>
                      <w:bCs/>
                      <w:color w:val="auto"/>
                      <w:sz w:val="21"/>
                      <w:szCs w:val="21"/>
                      <w:highlight w:val="none"/>
                    </w:rPr>
                    <w:t>2.5</w:t>
                  </w:r>
                </w:p>
              </w:tc>
              <w:tc>
                <w:tcPr>
                  <w:tcW w:w="787" w:type="pct"/>
                  <w:vAlign w:val="center"/>
                </w:tcPr>
                <w:p>
                  <w:pPr>
                    <w:widowControl/>
                    <w:jc w:val="center"/>
                    <w:textAlignment w:val="center"/>
                    <w:rPr>
                      <w:bCs/>
                      <w:color w:val="auto"/>
                      <w:sz w:val="21"/>
                      <w:szCs w:val="21"/>
                      <w:highlight w:val="none"/>
                    </w:rPr>
                  </w:pPr>
                  <w:r>
                    <w:rPr>
                      <w:rFonts w:hint="eastAsia"/>
                      <w:bCs/>
                      <w:color w:val="auto"/>
                      <w:sz w:val="21"/>
                      <w:szCs w:val="21"/>
                      <w:highlight w:val="none"/>
                    </w:rPr>
                    <w:t>2.5</w:t>
                  </w:r>
                </w:p>
              </w:tc>
              <w:tc>
                <w:tcPr>
                  <w:tcW w:w="710" w:type="pct"/>
                  <w:vAlign w:val="center"/>
                </w:tcPr>
                <w:p>
                  <w:pPr>
                    <w:pStyle w:val="46"/>
                    <w:rPr>
                      <w:rFonts w:eastAsia="宋体"/>
                      <w:bCs/>
                      <w:color w:val="auto"/>
                      <w:sz w:val="21"/>
                      <w:szCs w:val="21"/>
                      <w:highlight w:val="none"/>
                    </w:rPr>
                  </w:pPr>
                  <w:r>
                    <w:rPr>
                      <w:rFonts w:eastAsia="宋体"/>
                      <w:bCs/>
                      <w:color w:val="auto"/>
                      <w:sz w:val="21"/>
                      <w:szCs w:val="21"/>
                      <w:highlight w:val="none"/>
                    </w:rPr>
                    <w:t>/</w:t>
                  </w:r>
                </w:p>
              </w:tc>
              <w:tc>
                <w:tcPr>
                  <w:tcW w:w="826" w:type="pct"/>
                  <w:vAlign w:val="center"/>
                </w:tcPr>
                <w:p>
                  <w:pPr>
                    <w:pStyle w:val="46"/>
                    <w:rPr>
                      <w:rFonts w:eastAsia="宋体"/>
                      <w:bCs/>
                      <w:color w:val="auto"/>
                      <w:sz w:val="21"/>
                      <w:szCs w:val="21"/>
                      <w:highlight w:val="none"/>
                    </w:rPr>
                  </w:pPr>
                  <w:r>
                    <w:rPr>
                      <w:rFonts w:eastAsia="宋体"/>
                      <w:bCs/>
                      <w:color w:val="auto"/>
                      <w:sz w:val="21"/>
                      <w:szCs w:val="21"/>
                      <w:highlight w:val="none"/>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8" w:type="pct"/>
                  <w:vMerge w:val="continue"/>
                  <w:vAlign w:val="center"/>
                </w:tcPr>
                <w:p>
                  <w:pPr>
                    <w:pStyle w:val="46"/>
                    <w:rPr>
                      <w:rFonts w:eastAsia="宋体"/>
                      <w:bCs/>
                      <w:color w:val="auto"/>
                      <w:sz w:val="21"/>
                      <w:szCs w:val="21"/>
                      <w:highlight w:val="none"/>
                    </w:rPr>
                  </w:pPr>
                </w:p>
              </w:tc>
              <w:tc>
                <w:tcPr>
                  <w:tcW w:w="890" w:type="pct"/>
                  <w:vAlign w:val="center"/>
                </w:tcPr>
                <w:p>
                  <w:pPr>
                    <w:pStyle w:val="46"/>
                    <w:rPr>
                      <w:rFonts w:eastAsia="宋体"/>
                      <w:bCs/>
                      <w:color w:val="auto"/>
                      <w:sz w:val="21"/>
                      <w:szCs w:val="21"/>
                      <w:highlight w:val="none"/>
                    </w:rPr>
                  </w:pPr>
                  <w:r>
                    <w:rPr>
                      <w:rFonts w:eastAsia="宋体"/>
                      <w:bCs/>
                      <w:color w:val="auto"/>
                      <w:sz w:val="21"/>
                      <w:szCs w:val="21"/>
                      <w:highlight w:val="none"/>
                    </w:rPr>
                    <w:t>危险固废</w:t>
                  </w:r>
                </w:p>
              </w:tc>
              <w:tc>
                <w:tcPr>
                  <w:tcW w:w="905" w:type="pct"/>
                  <w:vAlign w:val="center"/>
                </w:tcPr>
                <w:p>
                  <w:pPr>
                    <w:widowControl/>
                    <w:jc w:val="center"/>
                    <w:textAlignment w:val="center"/>
                    <w:rPr>
                      <w:rFonts w:hint="default" w:eastAsia="宋体"/>
                      <w:bCs/>
                      <w:color w:val="auto"/>
                      <w:sz w:val="21"/>
                      <w:szCs w:val="21"/>
                      <w:highlight w:val="none"/>
                      <w:lang w:val="en-US" w:eastAsia="zh-CN"/>
                    </w:rPr>
                  </w:pPr>
                  <w:r>
                    <w:rPr>
                      <w:rFonts w:hint="eastAsia"/>
                      <w:bCs/>
                      <w:color w:val="auto"/>
                      <w:sz w:val="21"/>
                      <w:szCs w:val="21"/>
                      <w:highlight w:val="none"/>
                      <w:lang w:val="en-US" w:eastAsia="zh-CN"/>
                    </w:rPr>
                    <w:t>2.748</w:t>
                  </w:r>
                </w:p>
              </w:tc>
              <w:tc>
                <w:tcPr>
                  <w:tcW w:w="787" w:type="pct"/>
                  <w:vAlign w:val="center"/>
                </w:tcPr>
                <w:p>
                  <w:pPr>
                    <w:widowControl/>
                    <w:jc w:val="center"/>
                    <w:textAlignment w:val="center"/>
                    <w:rPr>
                      <w:rFonts w:hint="default" w:eastAsia="宋体"/>
                      <w:bCs/>
                      <w:color w:val="auto"/>
                      <w:sz w:val="21"/>
                      <w:szCs w:val="21"/>
                      <w:highlight w:val="none"/>
                      <w:lang w:val="en-US" w:eastAsia="zh-CN"/>
                    </w:rPr>
                  </w:pPr>
                  <w:r>
                    <w:rPr>
                      <w:rFonts w:hint="eastAsia"/>
                      <w:bCs/>
                      <w:color w:val="auto"/>
                      <w:sz w:val="21"/>
                      <w:szCs w:val="21"/>
                      <w:highlight w:val="none"/>
                      <w:lang w:val="en-US" w:eastAsia="zh-CN"/>
                    </w:rPr>
                    <w:t>2.748</w:t>
                  </w:r>
                </w:p>
              </w:tc>
              <w:tc>
                <w:tcPr>
                  <w:tcW w:w="710" w:type="pct"/>
                  <w:vAlign w:val="center"/>
                </w:tcPr>
                <w:p>
                  <w:pPr>
                    <w:pStyle w:val="46"/>
                    <w:rPr>
                      <w:rFonts w:eastAsia="宋体"/>
                      <w:bCs/>
                      <w:color w:val="auto"/>
                      <w:sz w:val="21"/>
                      <w:szCs w:val="21"/>
                      <w:highlight w:val="none"/>
                    </w:rPr>
                  </w:pPr>
                  <w:r>
                    <w:rPr>
                      <w:rFonts w:eastAsia="宋体"/>
                      <w:bCs/>
                      <w:color w:val="auto"/>
                      <w:sz w:val="21"/>
                      <w:szCs w:val="21"/>
                      <w:highlight w:val="none"/>
                    </w:rPr>
                    <w:t>/</w:t>
                  </w:r>
                </w:p>
              </w:tc>
              <w:tc>
                <w:tcPr>
                  <w:tcW w:w="826" w:type="pct"/>
                  <w:vAlign w:val="center"/>
                </w:tcPr>
                <w:p>
                  <w:pPr>
                    <w:pStyle w:val="46"/>
                    <w:rPr>
                      <w:rFonts w:eastAsia="宋体"/>
                      <w:bCs/>
                      <w:color w:val="auto"/>
                      <w:sz w:val="21"/>
                      <w:szCs w:val="21"/>
                      <w:highlight w:val="none"/>
                    </w:rPr>
                  </w:pPr>
                  <w:r>
                    <w:rPr>
                      <w:rFonts w:eastAsia="宋体"/>
                      <w:bCs/>
                      <w:color w:val="auto"/>
                      <w:sz w:val="21"/>
                      <w:szCs w:val="21"/>
                      <w:highlight w:val="none"/>
                    </w:rPr>
                    <w:t>0</w:t>
                  </w:r>
                </w:p>
              </w:tc>
            </w:tr>
          </w:tbl>
          <w:p>
            <w:pPr>
              <w:spacing w:line="360" w:lineRule="auto"/>
              <w:rPr>
                <w:color w:val="auto"/>
                <w:sz w:val="21"/>
                <w:szCs w:val="21"/>
                <w:highlight w:val="none"/>
              </w:rPr>
            </w:pPr>
          </w:p>
        </w:tc>
      </w:tr>
    </w:tbl>
    <w:p>
      <w:pPr>
        <w:pStyle w:val="22"/>
        <w:jc w:val="center"/>
        <w:outlineLvl w:val="0"/>
        <w:rPr>
          <w:rFonts w:ascii="Times New Roman" w:hAnsi="Times New Roman" w:cs="Times New Roman"/>
          <w:snapToGrid w:val="0"/>
          <w:color w:val="auto"/>
          <w:sz w:val="36"/>
          <w:szCs w:val="36"/>
          <w:highlight w:val="none"/>
        </w:rPr>
        <w:sectPr>
          <w:pgSz w:w="11907" w:h="16840"/>
          <w:pgMar w:top="1701" w:right="1531" w:bottom="2127" w:left="1531" w:header="851" w:footer="851" w:gutter="0"/>
          <w:pgNumType w:fmt="decimal"/>
          <w:cols w:space="720" w:num="1"/>
          <w:docGrid w:linePitch="312" w:charSpace="0"/>
        </w:sectPr>
      </w:pPr>
    </w:p>
    <w:p>
      <w:pPr>
        <w:pStyle w:val="22"/>
        <w:ind w:firstLine="301" w:firstLineChars="100"/>
        <w:jc w:val="center"/>
        <w:outlineLvl w:val="0"/>
        <w:rPr>
          <w:rFonts w:ascii="Times New Roman" w:hAnsi="Times New Roman" w:cs="Times New Roman"/>
          <w:b/>
          <w:bCs/>
          <w:snapToGrid w:val="0"/>
          <w:color w:val="auto"/>
          <w:sz w:val="30"/>
          <w:szCs w:val="30"/>
          <w:highlight w:val="none"/>
        </w:rPr>
      </w:pPr>
      <w:bookmarkStart w:id="7" w:name="_Toc4938"/>
      <w:r>
        <w:rPr>
          <w:rFonts w:ascii="Times New Roman" w:hAnsi="Times New Roman" w:cs="Times New Roman"/>
          <w:b/>
          <w:bCs/>
          <w:snapToGrid w:val="0"/>
          <w:color w:val="auto"/>
          <w:sz w:val="30"/>
          <w:szCs w:val="30"/>
          <w:highlight w:val="none"/>
        </w:rPr>
        <w:t>四、主要环境影响和保护措施</w:t>
      </w:r>
      <w:bookmarkEnd w:id="7"/>
    </w:p>
    <w:tbl>
      <w:tblPr>
        <w:tblStyle w:val="25"/>
        <w:tblW w:w="535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16"/>
        <w:gridCol w:w="901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jc w:val="center"/>
        </w:trPr>
        <w:tc>
          <w:tcPr>
            <w:tcW w:w="320" w:type="pct"/>
            <w:tcMar>
              <w:left w:w="28" w:type="dxa"/>
              <w:right w:w="28" w:type="dxa"/>
            </w:tcMar>
            <w:vAlign w:val="center"/>
          </w:tcPr>
          <w:p>
            <w:pPr>
              <w:pStyle w:val="22"/>
              <w:adjustRightInd w:val="0"/>
              <w:snapToGrid w:val="0"/>
              <w:spacing w:before="0" w:beforeAutospacing="0" w:after="0" w:afterAutospacing="0" w:line="36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施工</w:t>
            </w:r>
          </w:p>
          <w:p>
            <w:pPr>
              <w:pStyle w:val="22"/>
              <w:adjustRightInd w:val="0"/>
              <w:snapToGrid w:val="0"/>
              <w:spacing w:before="0" w:beforeAutospacing="0" w:after="0" w:afterAutospacing="0" w:line="36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期环</w:t>
            </w:r>
          </w:p>
          <w:p>
            <w:pPr>
              <w:pStyle w:val="22"/>
              <w:adjustRightInd w:val="0"/>
              <w:snapToGrid w:val="0"/>
              <w:spacing w:before="0" w:beforeAutospacing="0" w:after="0" w:afterAutospacing="0" w:line="36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境保</w:t>
            </w:r>
          </w:p>
          <w:p>
            <w:pPr>
              <w:pStyle w:val="22"/>
              <w:adjustRightInd w:val="0"/>
              <w:snapToGrid w:val="0"/>
              <w:spacing w:before="0" w:beforeAutospacing="0" w:after="0" w:afterAutospacing="0" w:line="36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护措</w:t>
            </w:r>
          </w:p>
          <w:p>
            <w:pPr>
              <w:pStyle w:val="22"/>
              <w:adjustRightInd w:val="0"/>
              <w:snapToGrid w:val="0"/>
              <w:spacing w:before="0" w:beforeAutospacing="0" w:after="0" w:afterAutospacing="0" w:line="36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施</w:t>
            </w:r>
          </w:p>
        </w:tc>
        <w:tc>
          <w:tcPr>
            <w:tcW w:w="4679" w:type="pct"/>
            <w:vAlign w:val="center"/>
          </w:tcPr>
          <w:p>
            <w:pPr>
              <w:spacing w:line="360" w:lineRule="auto"/>
              <w:ind w:firstLine="412" w:firstLineChars="200"/>
              <w:jc w:val="left"/>
              <w:textAlignment w:val="baseline"/>
              <w:rPr>
                <w:bCs/>
                <w:color w:val="auto"/>
                <w:spacing w:val="-10"/>
                <w:sz w:val="21"/>
                <w:szCs w:val="21"/>
                <w:highlight w:val="none"/>
              </w:rPr>
            </w:pPr>
            <w:r>
              <w:rPr>
                <w:color w:val="auto"/>
                <w:spacing w:val="-2"/>
                <w:kern w:val="28"/>
                <w:sz w:val="21"/>
                <w:szCs w:val="21"/>
                <w:highlight w:val="none"/>
              </w:rPr>
              <w:t>本项目利用</w:t>
            </w:r>
            <w:r>
              <w:rPr>
                <w:rFonts w:hint="eastAsia"/>
                <w:color w:val="auto"/>
                <w:spacing w:val="-2"/>
                <w:kern w:val="28"/>
                <w:sz w:val="21"/>
                <w:szCs w:val="21"/>
                <w:highlight w:val="none"/>
                <w:lang w:val="en-US" w:eastAsia="zh-CN"/>
              </w:rPr>
              <w:t>租赁</w:t>
            </w:r>
            <w:r>
              <w:rPr>
                <w:color w:val="auto"/>
                <w:spacing w:val="-2"/>
                <w:kern w:val="28"/>
                <w:sz w:val="21"/>
                <w:szCs w:val="21"/>
                <w:highlight w:val="none"/>
              </w:rPr>
              <w:t>厂区现有</w:t>
            </w:r>
            <w:r>
              <w:rPr>
                <w:rFonts w:hint="eastAsia"/>
                <w:color w:val="auto"/>
                <w:spacing w:val="-2"/>
                <w:kern w:val="28"/>
                <w:sz w:val="21"/>
                <w:szCs w:val="21"/>
                <w:highlight w:val="none"/>
              </w:rPr>
              <w:t>空置</w:t>
            </w:r>
            <w:r>
              <w:rPr>
                <w:color w:val="auto"/>
                <w:spacing w:val="-2"/>
                <w:kern w:val="28"/>
                <w:sz w:val="21"/>
                <w:szCs w:val="21"/>
                <w:highlight w:val="none"/>
              </w:rPr>
              <w:t>厂房进行生产，施工期仅涉及车间内部装修及设备安装，其影响范围小、程度轻、时间短。施工期产污环节主要是设备安装产生的噪声、施工人员生活污水、生活垃圾以及装修过程产生的装修垃圾。考虑施工期环境影响微弱，本评价主要针对营运期影响进行分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0" w:type="pct"/>
            <w:tcMar>
              <w:left w:w="28" w:type="dxa"/>
              <w:right w:w="28" w:type="dxa"/>
            </w:tcMar>
            <w:vAlign w:val="center"/>
          </w:tcPr>
          <w:p>
            <w:pPr>
              <w:adjustRightInd w:val="0"/>
              <w:snapToGrid w:val="0"/>
              <w:spacing w:line="360" w:lineRule="auto"/>
              <w:jc w:val="center"/>
              <w:rPr>
                <w:color w:val="auto"/>
                <w:sz w:val="21"/>
                <w:szCs w:val="21"/>
                <w:highlight w:val="none"/>
              </w:rPr>
            </w:pPr>
            <w:r>
              <w:rPr>
                <w:color w:val="auto"/>
                <w:sz w:val="21"/>
                <w:szCs w:val="21"/>
                <w:highlight w:val="none"/>
              </w:rPr>
              <w:t>运营</w:t>
            </w:r>
          </w:p>
          <w:p>
            <w:pPr>
              <w:adjustRightInd w:val="0"/>
              <w:snapToGrid w:val="0"/>
              <w:spacing w:line="360" w:lineRule="auto"/>
              <w:jc w:val="center"/>
              <w:rPr>
                <w:color w:val="auto"/>
                <w:sz w:val="21"/>
                <w:szCs w:val="21"/>
                <w:highlight w:val="none"/>
              </w:rPr>
            </w:pPr>
            <w:r>
              <w:rPr>
                <w:color w:val="auto"/>
                <w:sz w:val="21"/>
                <w:szCs w:val="21"/>
                <w:highlight w:val="none"/>
              </w:rPr>
              <w:t>期环</w:t>
            </w:r>
          </w:p>
          <w:p>
            <w:pPr>
              <w:adjustRightInd w:val="0"/>
              <w:snapToGrid w:val="0"/>
              <w:spacing w:line="360" w:lineRule="auto"/>
              <w:jc w:val="center"/>
              <w:rPr>
                <w:color w:val="auto"/>
                <w:sz w:val="21"/>
                <w:szCs w:val="21"/>
                <w:highlight w:val="none"/>
              </w:rPr>
            </w:pPr>
            <w:r>
              <w:rPr>
                <w:color w:val="auto"/>
                <w:sz w:val="21"/>
                <w:szCs w:val="21"/>
                <w:highlight w:val="none"/>
              </w:rPr>
              <w:t>境影</w:t>
            </w:r>
          </w:p>
          <w:p>
            <w:pPr>
              <w:adjustRightInd w:val="0"/>
              <w:snapToGrid w:val="0"/>
              <w:spacing w:line="360" w:lineRule="auto"/>
              <w:jc w:val="center"/>
              <w:rPr>
                <w:color w:val="auto"/>
                <w:sz w:val="21"/>
                <w:szCs w:val="21"/>
                <w:highlight w:val="none"/>
              </w:rPr>
            </w:pPr>
            <w:r>
              <w:rPr>
                <w:color w:val="auto"/>
                <w:sz w:val="21"/>
                <w:szCs w:val="21"/>
                <w:highlight w:val="none"/>
              </w:rPr>
              <w:t>响和</w:t>
            </w:r>
          </w:p>
          <w:p>
            <w:pPr>
              <w:adjustRightInd w:val="0"/>
              <w:snapToGrid w:val="0"/>
              <w:spacing w:line="360" w:lineRule="auto"/>
              <w:jc w:val="center"/>
              <w:rPr>
                <w:color w:val="auto"/>
                <w:sz w:val="21"/>
                <w:szCs w:val="21"/>
                <w:highlight w:val="none"/>
              </w:rPr>
            </w:pPr>
            <w:r>
              <w:rPr>
                <w:color w:val="auto"/>
                <w:sz w:val="21"/>
                <w:szCs w:val="21"/>
                <w:highlight w:val="none"/>
              </w:rPr>
              <w:t>保护</w:t>
            </w:r>
          </w:p>
          <w:p>
            <w:pPr>
              <w:adjustRightInd w:val="0"/>
              <w:snapToGrid w:val="0"/>
              <w:spacing w:line="360" w:lineRule="auto"/>
              <w:jc w:val="center"/>
              <w:rPr>
                <w:color w:val="auto"/>
                <w:sz w:val="21"/>
                <w:szCs w:val="21"/>
                <w:highlight w:val="none"/>
              </w:rPr>
            </w:pPr>
            <w:r>
              <w:rPr>
                <w:color w:val="auto"/>
                <w:sz w:val="21"/>
                <w:szCs w:val="21"/>
                <w:highlight w:val="none"/>
              </w:rPr>
              <w:t>措施</w:t>
            </w:r>
          </w:p>
        </w:tc>
        <w:tc>
          <w:tcPr>
            <w:tcW w:w="4679" w:type="pct"/>
          </w:tcPr>
          <w:p>
            <w:pPr>
              <w:adjustRightInd w:val="0"/>
              <w:snapToGrid w:val="0"/>
              <w:spacing w:line="360" w:lineRule="auto"/>
              <w:ind w:firstLine="422" w:firstLineChars="200"/>
              <w:rPr>
                <w:b/>
                <w:bCs/>
                <w:color w:val="auto"/>
                <w:sz w:val="21"/>
                <w:szCs w:val="21"/>
                <w:highlight w:val="none"/>
              </w:rPr>
            </w:pPr>
            <w:r>
              <w:rPr>
                <w:b/>
                <w:bCs/>
                <w:color w:val="auto"/>
                <w:sz w:val="21"/>
                <w:szCs w:val="21"/>
                <w:highlight w:val="none"/>
              </w:rPr>
              <w:t>一、废气</w:t>
            </w:r>
          </w:p>
          <w:p>
            <w:pPr>
              <w:pStyle w:val="6"/>
              <w:spacing w:line="360" w:lineRule="auto"/>
              <w:ind w:firstLine="474"/>
              <w:rPr>
                <w:b/>
                <w:bCs/>
                <w:color w:val="auto"/>
                <w:spacing w:val="-2"/>
                <w:kern w:val="28"/>
                <w:sz w:val="21"/>
                <w:szCs w:val="21"/>
                <w:highlight w:val="none"/>
              </w:rPr>
            </w:pPr>
            <w:r>
              <w:rPr>
                <w:b/>
                <w:bCs/>
                <w:color w:val="auto"/>
                <w:spacing w:val="-2"/>
                <w:kern w:val="28"/>
                <w:sz w:val="21"/>
                <w:szCs w:val="21"/>
                <w:highlight w:val="none"/>
              </w:rPr>
              <w:t>1、废气源强分析</w:t>
            </w:r>
          </w:p>
          <w:p>
            <w:pPr>
              <w:pStyle w:val="6"/>
              <w:spacing w:line="360" w:lineRule="auto"/>
              <w:ind w:firstLine="474"/>
              <w:rPr>
                <w:b/>
                <w:color w:val="auto"/>
                <w:spacing w:val="-2"/>
                <w:kern w:val="28"/>
                <w:sz w:val="21"/>
                <w:szCs w:val="21"/>
                <w:highlight w:val="none"/>
              </w:rPr>
            </w:pPr>
            <w:r>
              <w:rPr>
                <w:b/>
                <w:color w:val="auto"/>
                <w:spacing w:val="-2"/>
                <w:kern w:val="28"/>
                <w:sz w:val="21"/>
                <w:szCs w:val="21"/>
                <w:highlight w:val="none"/>
              </w:rPr>
              <w:t>（1）正常工况</w:t>
            </w:r>
          </w:p>
          <w:p>
            <w:pPr>
              <w:pStyle w:val="6"/>
              <w:spacing w:line="360" w:lineRule="auto"/>
              <w:ind w:left="0" w:leftChars="0" w:firstLine="412" w:firstLineChars="200"/>
              <w:rPr>
                <w:color w:val="auto"/>
                <w:spacing w:val="-2"/>
                <w:kern w:val="28"/>
                <w:sz w:val="21"/>
                <w:szCs w:val="21"/>
                <w:highlight w:val="none"/>
              </w:rPr>
            </w:pPr>
            <w:r>
              <w:rPr>
                <w:color w:val="auto"/>
                <w:spacing w:val="-2"/>
                <w:kern w:val="28"/>
                <w:sz w:val="21"/>
                <w:szCs w:val="21"/>
                <w:highlight w:val="none"/>
              </w:rPr>
              <w:t>本项目废气为</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pacing w:val="-2"/>
                <w:kern w:val="28"/>
                <w:sz w:val="21"/>
                <w:szCs w:val="21"/>
                <w:highlight w:val="none"/>
              </w:rPr>
              <w:t>过程产生的有机废气以及破碎</w:t>
            </w:r>
            <w:r>
              <w:rPr>
                <w:rFonts w:hint="eastAsia"/>
                <w:color w:val="auto"/>
                <w:spacing w:val="-2"/>
                <w:kern w:val="28"/>
                <w:sz w:val="21"/>
                <w:szCs w:val="21"/>
                <w:highlight w:val="none"/>
                <w:lang w:val="en-US" w:eastAsia="zh-CN"/>
              </w:rPr>
              <w:t>和投料</w:t>
            </w:r>
            <w:r>
              <w:rPr>
                <w:rFonts w:hint="eastAsia"/>
                <w:color w:val="auto"/>
                <w:spacing w:val="-2"/>
                <w:kern w:val="28"/>
                <w:sz w:val="21"/>
                <w:szCs w:val="21"/>
                <w:highlight w:val="none"/>
              </w:rPr>
              <w:t>工序产生的粉尘。</w:t>
            </w:r>
            <w:r>
              <w:rPr>
                <w:color w:val="auto"/>
                <w:spacing w:val="-2"/>
                <w:kern w:val="28"/>
                <w:sz w:val="21"/>
                <w:szCs w:val="21"/>
                <w:highlight w:val="none"/>
              </w:rPr>
              <w:t>建设项目废气产生、处理及排放信息一览表见下表</w:t>
            </w:r>
            <w:r>
              <w:rPr>
                <w:rFonts w:hint="eastAsia"/>
                <w:color w:val="auto"/>
                <w:spacing w:val="-2"/>
                <w:kern w:val="28"/>
                <w:sz w:val="21"/>
                <w:szCs w:val="21"/>
                <w:highlight w:val="none"/>
              </w:rPr>
              <w:t>。</w:t>
            </w:r>
          </w:p>
          <w:p>
            <w:pPr>
              <w:pStyle w:val="6"/>
              <w:spacing w:line="240" w:lineRule="auto"/>
              <w:ind w:firstLine="0" w:firstLineChars="0"/>
              <w:jc w:val="center"/>
              <w:rPr>
                <w:b/>
                <w:bCs/>
                <w:color w:val="auto"/>
                <w:sz w:val="21"/>
                <w:szCs w:val="21"/>
                <w:highlight w:val="none"/>
              </w:rPr>
            </w:pPr>
            <w:r>
              <w:rPr>
                <w:b/>
                <w:bCs/>
                <w:color w:val="auto"/>
                <w:sz w:val="21"/>
                <w:szCs w:val="21"/>
                <w:highlight w:val="none"/>
              </w:rPr>
              <w:t>表4-1</w:t>
            </w:r>
            <w:r>
              <w:rPr>
                <w:rFonts w:hint="eastAsia"/>
                <w:b/>
                <w:bCs/>
                <w:color w:val="auto"/>
                <w:sz w:val="21"/>
                <w:szCs w:val="21"/>
                <w:highlight w:val="none"/>
                <w:lang w:val="en-US" w:eastAsia="zh-CN"/>
              </w:rPr>
              <w:t xml:space="preserve"> </w:t>
            </w:r>
            <w:r>
              <w:rPr>
                <w:b/>
                <w:bCs/>
                <w:color w:val="auto"/>
                <w:sz w:val="21"/>
                <w:szCs w:val="21"/>
                <w:highlight w:val="none"/>
              </w:rPr>
              <w:t>建设项目废气产排污节点、污染物及污染治理设施信息表</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643"/>
              <w:gridCol w:w="640"/>
              <w:gridCol w:w="606"/>
              <w:gridCol w:w="684"/>
              <w:gridCol w:w="585"/>
              <w:gridCol w:w="695"/>
              <w:gridCol w:w="628"/>
              <w:gridCol w:w="640"/>
              <w:gridCol w:w="762"/>
              <w:gridCol w:w="447"/>
              <w:gridCol w:w="715"/>
              <w:gridCol w:w="611"/>
              <w:gridCol w:w="569"/>
              <w:gridCol w:w="56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65" w:type="pct"/>
                  <w:vMerge w:val="restart"/>
                  <w:vAlign w:val="center"/>
                </w:tcPr>
                <w:p>
                  <w:pPr>
                    <w:pStyle w:val="45"/>
                    <w:rPr>
                      <w:rFonts w:eastAsia="宋体"/>
                      <w:color w:val="auto"/>
                      <w:sz w:val="21"/>
                      <w:szCs w:val="21"/>
                      <w:highlight w:val="none"/>
                    </w:rPr>
                  </w:pPr>
                  <w:r>
                    <w:rPr>
                      <w:rFonts w:eastAsia="宋体"/>
                      <w:color w:val="auto"/>
                      <w:sz w:val="21"/>
                      <w:szCs w:val="21"/>
                      <w:highlight w:val="none"/>
                    </w:rPr>
                    <w:t>工序/生产线</w:t>
                  </w:r>
                </w:p>
              </w:tc>
              <w:tc>
                <w:tcPr>
                  <w:tcW w:w="363" w:type="pct"/>
                  <w:vMerge w:val="restart"/>
                  <w:vAlign w:val="center"/>
                </w:tcPr>
                <w:p>
                  <w:pPr>
                    <w:pStyle w:val="45"/>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排气筒</w:t>
                  </w:r>
                </w:p>
              </w:tc>
              <w:tc>
                <w:tcPr>
                  <w:tcW w:w="344" w:type="pct"/>
                  <w:vMerge w:val="restart"/>
                  <w:vAlign w:val="center"/>
                </w:tcPr>
                <w:p>
                  <w:pPr>
                    <w:pStyle w:val="45"/>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风</w:t>
                  </w:r>
                  <w:r>
                    <w:rPr>
                      <w:rFonts w:eastAsia="宋体"/>
                      <w:color w:val="auto"/>
                      <w:sz w:val="21"/>
                      <w:szCs w:val="21"/>
                      <w:highlight w:val="none"/>
                    </w:rPr>
                    <w:t>量m</w:t>
                  </w:r>
                  <w:r>
                    <w:rPr>
                      <w:rFonts w:eastAsia="宋体"/>
                      <w:color w:val="auto"/>
                      <w:sz w:val="21"/>
                      <w:szCs w:val="21"/>
                      <w:highlight w:val="none"/>
                      <w:vertAlign w:val="superscript"/>
                    </w:rPr>
                    <w:t>3</w:t>
                  </w:r>
                  <w:r>
                    <w:rPr>
                      <w:rFonts w:eastAsia="宋体"/>
                      <w:color w:val="auto"/>
                      <w:sz w:val="21"/>
                      <w:szCs w:val="21"/>
                      <w:highlight w:val="none"/>
                    </w:rPr>
                    <w:t>/h</w:t>
                  </w:r>
                </w:p>
              </w:tc>
              <w:tc>
                <w:tcPr>
                  <w:tcW w:w="388" w:type="pct"/>
                  <w:vMerge w:val="restart"/>
                  <w:vAlign w:val="center"/>
                </w:tcPr>
                <w:p>
                  <w:pPr>
                    <w:pStyle w:val="45"/>
                    <w:rPr>
                      <w:rFonts w:hint="eastAsia" w:eastAsia="宋体"/>
                      <w:color w:val="auto"/>
                      <w:sz w:val="21"/>
                      <w:szCs w:val="21"/>
                      <w:highlight w:val="none"/>
                      <w:lang w:val="en-US" w:eastAsia="zh-CN"/>
                    </w:rPr>
                  </w:pPr>
                  <w:r>
                    <w:rPr>
                      <w:rFonts w:eastAsia="宋体"/>
                      <w:color w:val="auto"/>
                      <w:sz w:val="21"/>
                      <w:szCs w:val="21"/>
                      <w:highlight w:val="none"/>
                    </w:rPr>
                    <w:t>污染物</w:t>
                  </w:r>
                  <w:r>
                    <w:rPr>
                      <w:rFonts w:hint="eastAsia" w:eastAsia="宋体"/>
                      <w:color w:val="auto"/>
                      <w:sz w:val="21"/>
                      <w:szCs w:val="21"/>
                      <w:highlight w:val="none"/>
                      <w:lang w:val="en-US" w:eastAsia="zh-CN"/>
                    </w:rPr>
                    <w:t>名称</w:t>
                  </w:r>
                </w:p>
              </w:tc>
              <w:tc>
                <w:tcPr>
                  <w:tcW w:w="332" w:type="pct"/>
                  <w:vMerge w:val="restart"/>
                  <w:vAlign w:val="center"/>
                </w:tcPr>
                <w:p>
                  <w:pPr>
                    <w:pStyle w:val="45"/>
                    <w:rPr>
                      <w:rFonts w:eastAsia="宋体"/>
                      <w:color w:val="auto"/>
                      <w:sz w:val="21"/>
                      <w:szCs w:val="21"/>
                      <w:highlight w:val="none"/>
                    </w:rPr>
                  </w:pPr>
                  <w:r>
                    <w:rPr>
                      <w:rFonts w:eastAsia="宋体"/>
                      <w:color w:val="auto"/>
                      <w:sz w:val="21"/>
                      <w:szCs w:val="21"/>
                      <w:highlight w:val="none"/>
                    </w:rPr>
                    <w:t>核算方法</w:t>
                  </w:r>
                </w:p>
              </w:tc>
              <w:tc>
                <w:tcPr>
                  <w:tcW w:w="1116" w:type="pct"/>
                  <w:gridSpan w:val="3"/>
                  <w:vAlign w:val="center"/>
                </w:tcPr>
                <w:p>
                  <w:pPr>
                    <w:pStyle w:val="45"/>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产生情况</w:t>
                  </w:r>
                </w:p>
              </w:tc>
              <w:tc>
                <w:tcPr>
                  <w:tcW w:w="433" w:type="pct"/>
                  <w:vMerge w:val="restart"/>
                  <w:vAlign w:val="center"/>
                </w:tcPr>
                <w:p>
                  <w:pPr>
                    <w:pStyle w:val="45"/>
                    <w:rPr>
                      <w:rFonts w:eastAsia="宋体"/>
                      <w:color w:val="auto"/>
                      <w:sz w:val="21"/>
                      <w:szCs w:val="21"/>
                      <w:highlight w:val="none"/>
                    </w:rPr>
                  </w:pPr>
                  <w:r>
                    <w:rPr>
                      <w:rFonts w:eastAsia="宋体"/>
                      <w:color w:val="auto"/>
                      <w:sz w:val="21"/>
                      <w:szCs w:val="21"/>
                      <w:highlight w:val="none"/>
                    </w:rPr>
                    <w:t>治理措施</w:t>
                  </w:r>
                </w:p>
              </w:tc>
              <w:tc>
                <w:tcPr>
                  <w:tcW w:w="254" w:type="pct"/>
                  <w:vMerge w:val="restart"/>
                  <w:vAlign w:val="center"/>
                </w:tcPr>
                <w:p>
                  <w:pPr>
                    <w:pStyle w:val="45"/>
                    <w:rPr>
                      <w:rFonts w:eastAsia="宋体"/>
                      <w:color w:val="auto"/>
                      <w:sz w:val="21"/>
                      <w:szCs w:val="21"/>
                      <w:highlight w:val="none"/>
                    </w:rPr>
                  </w:pPr>
                  <w:r>
                    <w:rPr>
                      <w:rFonts w:hint="eastAsia" w:eastAsia="宋体"/>
                      <w:color w:val="auto"/>
                      <w:sz w:val="21"/>
                      <w:szCs w:val="21"/>
                      <w:highlight w:val="none"/>
                      <w:lang w:val="en-US" w:eastAsia="zh-CN"/>
                    </w:rPr>
                    <w:t>去除率</w:t>
                  </w:r>
                  <w:r>
                    <w:rPr>
                      <w:rFonts w:eastAsia="宋体"/>
                      <w:color w:val="auto"/>
                      <w:sz w:val="21"/>
                      <w:szCs w:val="21"/>
                      <w:highlight w:val="none"/>
                    </w:rPr>
                    <w:t>/%</w:t>
                  </w:r>
                </w:p>
              </w:tc>
              <w:tc>
                <w:tcPr>
                  <w:tcW w:w="1077" w:type="pct"/>
                  <w:gridSpan w:val="3"/>
                  <w:vAlign w:val="center"/>
                </w:tcPr>
                <w:p>
                  <w:pPr>
                    <w:pStyle w:val="45"/>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排放情况</w:t>
                  </w:r>
                </w:p>
              </w:tc>
              <w:tc>
                <w:tcPr>
                  <w:tcW w:w="323" w:type="pct"/>
                  <w:vMerge w:val="restart"/>
                  <w:vAlign w:val="center"/>
                </w:tcPr>
                <w:p>
                  <w:pPr>
                    <w:pStyle w:val="45"/>
                    <w:rPr>
                      <w:rFonts w:eastAsia="宋体"/>
                      <w:color w:val="auto"/>
                      <w:sz w:val="21"/>
                      <w:szCs w:val="21"/>
                      <w:highlight w:val="none"/>
                    </w:rPr>
                  </w:pPr>
                  <w:r>
                    <w:rPr>
                      <w:rFonts w:eastAsia="宋体"/>
                      <w:color w:val="auto"/>
                      <w:sz w:val="21"/>
                      <w:szCs w:val="21"/>
                      <w:highlight w:val="none"/>
                    </w:rPr>
                    <w:t>排放时间/h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65" w:type="pct"/>
                  <w:vMerge w:val="continue"/>
                  <w:vAlign w:val="center"/>
                </w:tcPr>
                <w:p>
                  <w:pPr>
                    <w:pStyle w:val="45"/>
                    <w:rPr>
                      <w:rFonts w:eastAsia="宋体"/>
                      <w:color w:val="auto"/>
                      <w:sz w:val="21"/>
                      <w:szCs w:val="21"/>
                      <w:highlight w:val="none"/>
                    </w:rPr>
                  </w:pPr>
                </w:p>
              </w:tc>
              <w:tc>
                <w:tcPr>
                  <w:tcW w:w="363" w:type="pct"/>
                  <w:vMerge w:val="continue"/>
                  <w:vAlign w:val="center"/>
                </w:tcPr>
                <w:p>
                  <w:pPr>
                    <w:pStyle w:val="45"/>
                    <w:rPr>
                      <w:rFonts w:eastAsia="宋体"/>
                      <w:color w:val="auto"/>
                      <w:sz w:val="21"/>
                      <w:szCs w:val="21"/>
                      <w:highlight w:val="none"/>
                    </w:rPr>
                  </w:pPr>
                </w:p>
              </w:tc>
              <w:tc>
                <w:tcPr>
                  <w:tcW w:w="344" w:type="pct"/>
                  <w:vMerge w:val="continue"/>
                  <w:vAlign w:val="center"/>
                </w:tcPr>
                <w:p>
                  <w:pPr>
                    <w:pStyle w:val="45"/>
                    <w:rPr>
                      <w:rFonts w:eastAsia="宋体"/>
                      <w:color w:val="auto"/>
                      <w:sz w:val="21"/>
                      <w:szCs w:val="21"/>
                      <w:highlight w:val="none"/>
                    </w:rPr>
                  </w:pPr>
                </w:p>
              </w:tc>
              <w:tc>
                <w:tcPr>
                  <w:tcW w:w="388" w:type="pct"/>
                  <w:vMerge w:val="continue"/>
                  <w:vAlign w:val="center"/>
                </w:tcPr>
                <w:p>
                  <w:pPr>
                    <w:pStyle w:val="45"/>
                    <w:rPr>
                      <w:rFonts w:eastAsia="宋体"/>
                      <w:color w:val="auto"/>
                      <w:sz w:val="21"/>
                      <w:szCs w:val="21"/>
                      <w:highlight w:val="none"/>
                    </w:rPr>
                  </w:pPr>
                </w:p>
              </w:tc>
              <w:tc>
                <w:tcPr>
                  <w:tcW w:w="332" w:type="pct"/>
                  <w:vMerge w:val="continue"/>
                  <w:vAlign w:val="center"/>
                </w:tcPr>
                <w:p>
                  <w:pPr>
                    <w:pStyle w:val="45"/>
                    <w:rPr>
                      <w:rFonts w:eastAsia="宋体"/>
                      <w:color w:val="auto"/>
                      <w:sz w:val="21"/>
                      <w:szCs w:val="21"/>
                      <w:highlight w:val="none"/>
                    </w:rPr>
                  </w:pPr>
                </w:p>
              </w:tc>
              <w:tc>
                <w:tcPr>
                  <w:tcW w:w="395" w:type="pct"/>
                  <w:tcBorders>
                    <w:left w:val="single" w:color="auto" w:sz="4" w:space="0"/>
                  </w:tcBorders>
                  <w:vAlign w:val="center"/>
                </w:tcPr>
                <w:p>
                  <w:pPr>
                    <w:pStyle w:val="45"/>
                    <w:rPr>
                      <w:rFonts w:ascii="Times New Roman" w:hAnsi="Times New Roman" w:eastAsia="宋体" w:cs="Times New Roman"/>
                      <w:b/>
                      <w:color w:val="auto"/>
                      <w:kern w:val="2"/>
                      <w:sz w:val="21"/>
                      <w:szCs w:val="21"/>
                      <w:highlight w:val="none"/>
                      <w:lang w:val="en-US" w:eastAsia="zh-CN" w:bidi="ar-SA"/>
                    </w:rPr>
                  </w:pPr>
                  <w:r>
                    <w:rPr>
                      <w:rFonts w:eastAsia="宋体"/>
                      <w:color w:val="auto"/>
                      <w:sz w:val="21"/>
                      <w:szCs w:val="21"/>
                      <w:highlight w:val="none"/>
                    </w:rPr>
                    <w:t>浓度mg/m</w:t>
                  </w:r>
                  <w:r>
                    <w:rPr>
                      <w:rFonts w:eastAsia="宋体"/>
                      <w:color w:val="auto"/>
                      <w:sz w:val="21"/>
                      <w:szCs w:val="21"/>
                      <w:highlight w:val="none"/>
                      <w:vertAlign w:val="superscript"/>
                    </w:rPr>
                    <w:t>3</w:t>
                  </w:r>
                </w:p>
              </w:tc>
              <w:tc>
                <w:tcPr>
                  <w:tcW w:w="357" w:type="pct"/>
                  <w:vAlign w:val="center"/>
                </w:tcPr>
                <w:p>
                  <w:pPr>
                    <w:pStyle w:val="45"/>
                    <w:rPr>
                      <w:rFonts w:ascii="Times New Roman" w:hAnsi="Times New Roman" w:eastAsia="宋体" w:cs="Times New Roman"/>
                      <w:b/>
                      <w:color w:val="auto"/>
                      <w:kern w:val="2"/>
                      <w:sz w:val="21"/>
                      <w:szCs w:val="21"/>
                      <w:highlight w:val="none"/>
                      <w:lang w:val="en-US" w:eastAsia="zh-CN" w:bidi="ar-SA"/>
                    </w:rPr>
                  </w:pPr>
                  <w:r>
                    <w:rPr>
                      <w:rFonts w:hint="eastAsia" w:eastAsia="宋体"/>
                      <w:color w:val="auto"/>
                      <w:sz w:val="21"/>
                      <w:szCs w:val="21"/>
                      <w:highlight w:val="none"/>
                      <w:lang w:val="en-US" w:eastAsia="zh-CN"/>
                    </w:rPr>
                    <w:t>速率</w:t>
                  </w:r>
                  <w:r>
                    <w:rPr>
                      <w:rFonts w:eastAsia="宋体"/>
                      <w:color w:val="auto"/>
                      <w:sz w:val="21"/>
                      <w:szCs w:val="21"/>
                      <w:highlight w:val="none"/>
                    </w:rPr>
                    <w:t>kg/h</w:t>
                  </w:r>
                </w:p>
              </w:tc>
              <w:tc>
                <w:tcPr>
                  <w:tcW w:w="363" w:type="pct"/>
                  <w:vAlign w:val="center"/>
                </w:tcPr>
                <w:p>
                  <w:pPr>
                    <w:pStyle w:val="45"/>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产生量t/a</w:t>
                  </w:r>
                </w:p>
              </w:tc>
              <w:tc>
                <w:tcPr>
                  <w:tcW w:w="433" w:type="pct"/>
                  <w:vMerge w:val="continue"/>
                  <w:vAlign w:val="center"/>
                </w:tcPr>
                <w:p>
                  <w:pPr>
                    <w:pStyle w:val="45"/>
                    <w:rPr>
                      <w:rFonts w:eastAsia="宋体"/>
                      <w:color w:val="auto"/>
                      <w:sz w:val="21"/>
                      <w:szCs w:val="21"/>
                      <w:highlight w:val="none"/>
                    </w:rPr>
                  </w:pPr>
                </w:p>
              </w:tc>
              <w:tc>
                <w:tcPr>
                  <w:tcW w:w="254" w:type="pct"/>
                  <w:vMerge w:val="continue"/>
                  <w:vAlign w:val="center"/>
                </w:tcPr>
                <w:p>
                  <w:pPr>
                    <w:pStyle w:val="45"/>
                    <w:rPr>
                      <w:rFonts w:eastAsia="宋体"/>
                      <w:color w:val="auto"/>
                      <w:sz w:val="21"/>
                      <w:szCs w:val="21"/>
                      <w:highlight w:val="none"/>
                    </w:rPr>
                  </w:pPr>
                </w:p>
              </w:tc>
              <w:tc>
                <w:tcPr>
                  <w:tcW w:w="406" w:type="pct"/>
                  <w:vAlign w:val="center"/>
                </w:tcPr>
                <w:p>
                  <w:pPr>
                    <w:pStyle w:val="45"/>
                    <w:rPr>
                      <w:rFonts w:eastAsia="宋体"/>
                      <w:color w:val="auto"/>
                      <w:sz w:val="21"/>
                      <w:szCs w:val="21"/>
                      <w:highlight w:val="none"/>
                    </w:rPr>
                  </w:pPr>
                  <w:r>
                    <w:rPr>
                      <w:rFonts w:eastAsia="宋体"/>
                      <w:color w:val="auto"/>
                      <w:sz w:val="21"/>
                      <w:szCs w:val="21"/>
                      <w:highlight w:val="none"/>
                    </w:rPr>
                    <w:t>浓度mg/m</w:t>
                  </w:r>
                  <w:r>
                    <w:rPr>
                      <w:rFonts w:eastAsia="宋体"/>
                      <w:color w:val="auto"/>
                      <w:sz w:val="21"/>
                      <w:szCs w:val="21"/>
                      <w:highlight w:val="none"/>
                      <w:vertAlign w:val="superscript"/>
                    </w:rPr>
                    <w:t>3</w:t>
                  </w:r>
                </w:p>
              </w:tc>
              <w:tc>
                <w:tcPr>
                  <w:tcW w:w="347" w:type="pct"/>
                  <w:vAlign w:val="center"/>
                </w:tcPr>
                <w:p>
                  <w:pPr>
                    <w:pStyle w:val="45"/>
                    <w:rPr>
                      <w:rFonts w:eastAsia="宋体"/>
                      <w:color w:val="auto"/>
                      <w:sz w:val="21"/>
                      <w:szCs w:val="21"/>
                      <w:highlight w:val="none"/>
                    </w:rPr>
                  </w:pPr>
                  <w:r>
                    <w:rPr>
                      <w:rFonts w:hint="eastAsia" w:eastAsia="宋体"/>
                      <w:color w:val="auto"/>
                      <w:sz w:val="21"/>
                      <w:szCs w:val="21"/>
                      <w:highlight w:val="none"/>
                      <w:lang w:val="en-US" w:eastAsia="zh-CN"/>
                    </w:rPr>
                    <w:t>速率</w:t>
                  </w:r>
                  <w:r>
                    <w:rPr>
                      <w:rFonts w:eastAsia="宋体"/>
                      <w:color w:val="auto"/>
                      <w:sz w:val="21"/>
                      <w:szCs w:val="21"/>
                      <w:highlight w:val="none"/>
                    </w:rPr>
                    <w:t>kg/h</w:t>
                  </w:r>
                </w:p>
              </w:tc>
              <w:tc>
                <w:tcPr>
                  <w:tcW w:w="323" w:type="pct"/>
                  <w:vAlign w:val="center"/>
                </w:tcPr>
                <w:p>
                  <w:pPr>
                    <w:pStyle w:val="45"/>
                    <w:rPr>
                      <w:rFonts w:eastAsia="宋体"/>
                      <w:color w:val="auto"/>
                      <w:sz w:val="21"/>
                      <w:szCs w:val="21"/>
                      <w:highlight w:val="none"/>
                    </w:rPr>
                  </w:pPr>
                  <w:r>
                    <w:rPr>
                      <w:rFonts w:hint="eastAsia" w:eastAsia="宋体"/>
                      <w:color w:val="auto"/>
                      <w:sz w:val="21"/>
                      <w:szCs w:val="21"/>
                      <w:highlight w:val="none"/>
                      <w:lang w:val="en-US" w:eastAsia="zh-CN"/>
                    </w:rPr>
                    <w:t>排放量t/a</w:t>
                  </w:r>
                </w:p>
              </w:tc>
              <w:tc>
                <w:tcPr>
                  <w:tcW w:w="323" w:type="pct"/>
                  <w:vMerge w:val="continue"/>
                  <w:vAlign w:val="center"/>
                </w:tcPr>
                <w:p>
                  <w:pPr>
                    <w:pStyle w:val="45"/>
                    <w:rPr>
                      <w:rFonts w:eastAsia="宋体"/>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65" w:type="pct"/>
                  <w:vAlign w:val="center"/>
                </w:tcPr>
                <w:p>
                  <w:pPr>
                    <w:spacing w:line="240" w:lineRule="auto"/>
                    <w:jc w:val="center"/>
                    <w:rPr>
                      <w:color w:val="auto"/>
                      <w:spacing w:val="-2"/>
                      <w:kern w:val="28"/>
                      <w:sz w:val="21"/>
                      <w:szCs w:val="21"/>
                      <w:highlight w:val="none"/>
                    </w:rPr>
                  </w:pPr>
                  <w:r>
                    <w:rPr>
                      <w:rFonts w:hint="eastAsia" w:eastAsia="宋体"/>
                      <w:color w:val="auto"/>
                      <w:sz w:val="21"/>
                      <w:szCs w:val="21"/>
                      <w:highlight w:val="none"/>
                      <w:lang w:val="en-US" w:eastAsia="zh-CN"/>
                    </w:rPr>
                    <w:t>挤出</w:t>
                  </w:r>
                  <w:r>
                    <w:rPr>
                      <w:rFonts w:eastAsia="宋体"/>
                      <w:color w:val="auto"/>
                      <w:sz w:val="21"/>
                      <w:szCs w:val="21"/>
                      <w:highlight w:val="none"/>
                    </w:rPr>
                    <w:t>成型</w:t>
                  </w:r>
                </w:p>
              </w:tc>
              <w:tc>
                <w:tcPr>
                  <w:tcW w:w="363" w:type="pct"/>
                  <w:vAlign w:val="center"/>
                </w:tcPr>
                <w:p>
                  <w:pPr>
                    <w:spacing w:line="240" w:lineRule="auto"/>
                    <w:jc w:val="center"/>
                    <w:rPr>
                      <w:color w:val="auto"/>
                      <w:spacing w:val="-2"/>
                      <w:kern w:val="28"/>
                      <w:sz w:val="21"/>
                      <w:szCs w:val="21"/>
                      <w:highlight w:val="none"/>
                    </w:rPr>
                  </w:pPr>
                  <w:r>
                    <w:rPr>
                      <w:rFonts w:hint="eastAsia"/>
                      <w:color w:val="auto"/>
                      <w:spacing w:val="-2"/>
                      <w:kern w:val="28"/>
                      <w:sz w:val="21"/>
                      <w:szCs w:val="21"/>
                      <w:highlight w:val="none"/>
                    </w:rPr>
                    <w:t>DA001</w:t>
                  </w:r>
                </w:p>
              </w:tc>
              <w:tc>
                <w:tcPr>
                  <w:tcW w:w="344" w:type="pct"/>
                  <w:vAlign w:val="center"/>
                </w:tcPr>
                <w:p>
                  <w:pPr>
                    <w:spacing w:line="240" w:lineRule="auto"/>
                    <w:jc w:val="center"/>
                    <w:rPr>
                      <w:rFonts w:hint="eastAsia"/>
                      <w:color w:val="auto"/>
                      <w:spacing w:val="-2"/>
                      <w:kern w:val="28"/>
                      <w:sz w:val="21"/>
                      <w:szCs w:val="21"/>
                      <w:highlight w:val="none"/>
                    </w:rPr>
                  </w:pPr>
                  <w:r>
                    <w:rPr>
                      <w:rFonts w:hint="eastAsia"/>
                      <w:color w:val="auto"/>
                      <w:spacing w:val="-2"/>
                      <w:kern w:val="28"/>
                      <w:sz w:val="21"/>
                      <w:szCs w:val="21"/>
                      <w:highlight w:val="none"/>
                    </w:rPr>
                    <w:t>8000</w:t>
                  </w:r>
                </w:p>
              </w:tc>
              <w:tc>
                <w:tcPr>
                  <w:tcW w:w="388" w:type="pct"/>
                  <w:vAlign w:val="center"/>
                </w:tcPr>
                <w:p>
                  <w:pPr>
                    <w:spacing w:line="240" w:lineRule="auto"/>
                    <w:jc w:val="center"/>
                    <w:rPr>
                      <w:color w:val="auto"/>
                      <w:spacing w:val="-2"/>
                      <w:kern w:val="28"/>
                      <w:sz w:val="21"/>
                      <w:szCs w:val="21"/>
                      <w:highlight w:val="none"/>
                    </w:rPr>
                  </w:pPr>
                  <w:r>
                    <w:rPr>
                      <w:rFonts w:hint="eastAsia"/>
                      <w:color w:val="auto"/>
                      <w:spacing w:val="-2"/>
                      <w:kern w:val="28"/>
                      <w:sz w:val="21"/>
                      <w:szCs w:val="21"/>
                      <w:highlight w:val="none"/>
                    </w:rPr>
                    <w:t>非甲烷总烃</w:t>
                  </w:r>
                </w:p>
              </w:tc>
              <w:tc>
                <w:tcPr>
                  <w:tcW w:w="332" w:type="pct"/>
                  <w:tcBorders>
                    <w:right w:val="single" w:color="000000" w:sz="4" w:space="0"/>
                  </w:tcBorders>
                  <w:vAlign w:val="center"/>
                </w:tcPr>
                <w:p>
                  <w:pPr>
                    <w:spacing w:line="240" w:lineRule="auto"/>
                    <w:jc w:val="center"/>
                    <w:rPr>
                      <w:color w:val="auto"/>
                      <w:spacing w:val="-2"/>
                      <w:kern w:val="28"/>
                      <w:sz w:val="21"/>
                      <w:szCs w:val="21"/>
                      <w:highlight w:val="none"/>
                    </w:rPr>
                  </w:pPr>
                  <w:r>
                    <w:rPr>
                      <w:rFonts w:hint="eastAsia"/>
                      <w:color w:val="auto"/>
                      <w:spacing w:val="-2"/>
                      <w:kern w:val="28"/>
                      <w:sz w:val="21"/>
                      <w:szCs w:val="21"/>
                      <w:highlight w:val="none"/>
                    </w:rPr>
                    <w:t>产污系数法</w:t>
                  </w:r>
                </w:p>
              </w:tc>
              <w:tc>
                <w:tcPr>
                  <w:tcW w:w="395" w:type="pct"/>
                  <w:tcBorders>
                    <w:left w:val="single" w:color="000000" w:sz="4" w:space="0"/>
                  </w:tcBorders>
                  <w:vAlign w:val="center"/>
                </w:tcPr>
                <w:p>
                  <w:pPr>
                    <w:spacing w:line="240" w:lineRule="auto"/>
                    <w:jc w:val="center"/>
                    <w:rPr>
                      <w:rFonts w:hint="default" w:ascii="Times New Roman" w:hAnsi="Times New Roman" w:eastAsia="宋体" w:cs="Times New Roman"/>
                      <w:color w:val="auto"/>
                      <w:spacing w:val="-2"/>
                      <w:kern w:val="28"/>
                      <w:sz w:val="21"/>
                      <w:szCs w:val="21"/>
                      <w:highlight w:val="none"/>
                      <w:lang w:val="en-US" w:eastAsia="zh-CN" w:bidi="ar-SA"/>
                    </w:rPr>
                  </w:pPr>
                  <w:r>
                    <w:rPr>
                      <w:rFonts w:hint="eastAsia" w:cs="Times New Roman"/>
                      <w:color w:val="auto"/>
                      <w:spacing w:val="-2"/>
                      <w:kern w:val="28"/>
                      <w:sz w:val="21"/>
                      <w:szCs w:val="21"/>
                      <w:highlight w:val="none"/>
                      <w:lang w:val="en-US" w:eastAsia="zh-CN" w:bidi="ar-SA"/>
                    </w:rPr>
                    <w:t>6.719</w:t>
                  </w:r>
                </w:p>
              </w:tc>
              <w:tc>
                <w:tcPr>
                  <w:tcW w:w="357" w:type="pct"/>
                  <w:vAlign w:val="center"/>
                </w:tcPr>
                <w:p>
                  <w:pPr>
                    <w:spacing w:line="240" w:lineRule="auto"/>
                    <w:jc w:val="center"/>
                    <w:rPr>
                      <w:rFonts w:hint="default" w:ascii="Times New Roman" w:hAnsi="Times New Roman" w:eastAsia="宋体" w:cs="Times New Roman"/>
                      <w:color w:val="auto"/>
                      <w:spacing w:val="-2"/>
                      <w:kern w:val="28"/>
                      <w:sz w:val="21"/>
                      <w:szCs w:val="21"/>
                      <w:highlight w:val="none"/>
                      <w:lang w:val="en-US" w:eastAsia="zh-CN" w:bidi="ar-SA"/>
                    </w:rPr>
                  </w:pPr>
                  <w:r>
                    <w:rPr>
                      <w:rFonts w:hint="eastAsia" w:cs="Times New Roman"/>
                      <w:color w:val="auto"/>
                      <w:spacing w:val="-2"/>
                      <w:kern w:val="28"/>
                      <w:sz w:val="21"/>
                      <w:szCs w:val="21"/>
                      <w:highlight w:val="none"/>
                      <w:lang w:val="en-US" w:eastAsia="zh-CN" w:bidi="ar-SA"/>
                    </w:rPr>
                    <w:t>0.054</w:t>
                  </w:r>
                </w:p>
              </w:tc>
              <w:tc>
                <w:tcPr>
                  <w:tcW w:w="363" w:type="pct"/>
                  <w:vAlign w:val="center"/>
                </w:tcPr>
                <w:p>
                  <w:pPr>
                    <w:spacing w:line="240" w:lineRule="auto"/>
                    <w:jc w:val="center"/>
                    <w:rPr>
                      <w:rFonts w:hint="default" w:eastAsia="宋体"/>
                      <w:color w:val="auto"/>
                      <w:spacing w:val="-2"/>
                      <w:kern w:val="28"/>
                      <w:sz w:val="21"/>
                      <w:szCs w:val="21"/>
                      <w:highlight w:val="none"/>
                      <w:lang w:val="en-US" w:eastAsia="zh-CN"/>
                    </w:rPr>
                  </w:pPr>
                  <w:r>
                    <w:rPr>
                      <w:rFonts w:hint="eastAsia"/>
                      <w:color w:val="auto"/>
                      <w:spacing w:val="-2"/>
                      <w:kern w:val="28"/>
                      <w:sz w:val="21"/>
                      <w:szCs w:val="21"/>
                      <w:highlight w:val="none"/>
                      <w:lang w:val="en-US" w:eastAsia="zh-CN"/>
                    </w:rPr>
                    <w:t>0.387</w:t>
                  </w:r>
                </w:p>
              </w:tc>
              <w:tc>
                <w:tcPr>
                  <w:tcW w:w="433" w:type="pct"/>
                  <w:vAlign w:val="center"/>
                </w:tcPr>
                <w:p>
                  <w:pPr>
                    <w:spacing w:line="240" w:lineRule="auto"/>
                    <w:jc w:val="center"/>
                    <w:rPr>
                      <w:color w:val="auto"/>
                      <w:spacing w:val="-2"/>
                      <w:kern w:val="28"/>
                      <w:sz w:val="21"/>
                      <w:szCs w:val="21"/>
                      <w:highlight w:val="none"/>
                    </w:rPr>
                  </w:pPr>
                  <w:r>
                    <w:rPr>
                      <w:rFonts w:hint="eastAsia"/>
                      <w:color w:val="auto"/>
                      <w:spacing w:val="-2"/>
                      <w:kern w:val="28"/>
                      <w:sz w:val="21"/>
                      <w:szCs w:val="21"/>
                      <w:highlight w:val="none"/>
                    </w:rPr>
                    <w:t>二级活性炭吸附装置</w:t>
                  </w:r>
                </w:p>
              </w:tc>
              <w:tc>
                <w:tcPr>
                  <w:tcW w:w="254" w:type="pct"/>
                  <w:vAlign w:val="center"/>
                </w:tcPr>
                <w:p>
                  <w:pPr>
                    <w:spacing w:line="240" w:lineRule="auto"/>
                    <w:jc w:val="center"/>
                    <w:rPr>
                      <w:rFonts w:hint="eastAsia" w:eastAsia="宋体"/>
                      <w:color w:val="auto"/>
                      <w:spacing w:val="-2"/>
                      <w:kern w:val="28"/>
                      <w:sz w:val="21"/>
                      <w:szCs w:val="21"/>
                      <w:highlight w:val="none"/>
                      <w:lang w:val="en-US" w:eastAsia="zh-CN"/>
                    </w:rPr>
                  </w:pPr>
                  <w:r>
                    <w:rPr>
                      <w:rFonts w:hint="eastAsia"/>
                      <w:color w:val="auto"/>
                      <w:spacing w:val="-2"/>
                      <w:kern w:val="28"/>
                      <w:sz w:val="21"/>
                      <w:szCs w:val="21"/>
                      <w:highlight w:val="none"/>
                    </w:rPr>
                    <w:t>9</w:t>
                  </w:r>
                  <w:r>
                    <w:rPr>
                      <w:rFonts w:hint="eastAsia"/>
                      <w:color w:val="auto"/>
                      <w:spacing w:val="-2"/>
                      <w:kern w:val="28"/>
                      <w:sz w:val="21"/>
                      <w:szCs w:val="21"/>
                      <w:highlight w:val="none"/>
                      <w:lang w:val="en-US" w:eastAsia="zh-CN"/>
                    </w:rPr>
                    <w:t>0</w:t>
                  </w:r>
                </w:p>
              </w:tc>
              <w:tc>
                <w:tcPr>
                  <w:tcW w:w="406" w:type="pct"/>
                  <w:vAlign w:val="center"/>
                </w:tcPr>
                <w:p>
                  <w:pPr>
                    <w:spacing w:line="240" w:lineRule="auto"/>
                    <w:jc w:val="center"/>
                    <w:rPr>
                      <w:rFonts w:hint="default" w:eastAsia="宋体"/>
                      <w:color w:val="auto"/>
                      <w:spacing w:val="-2"/>
                      <w:kern w:val="28"/>
                      <w:sz w:val="21"/>
                      <w:szCs w:val="21"/>
                      <w:highlight w:val="none"/>
                      <w:lang w:val="en-US" w:eastAsia="zh-CN"/>
                    </w:rPr>
                  </w:pPr>
                  <w:r>
                    <w:rPr>
                      <w:rFonts w:hint="eastAsia"/>
                      <w:color w:val="auto"/>
                      <w:spacing w:val="-2"/>
                      <w:kern w:val="28"/>
                      <w:sz w:val="21"/>
                      <w:szCs w:val="21"/>
                      <w:highlight w:val="none"/>
                      <w:lang w:val="en-US" w:eastAsia="zh-CN"/>
                    </w:rPr>
                    <w:t>0.677</w:t>
                  </w:r>
                </w:p>
              </w:tc>
              <w:tc>
                <w:tcPr>
                  <w:tcW w:w="347" w:type="pct"/>
                  <w:vAlign w:val="center"/>
                </w:tcPr>
                <w:p>
                  <w:pPr>
                    <w:spacing w:line="240" w:lineRule="auto"/>
                    <w:jc w:val="center"/>
                    <w:rPr>
                      <w:rFonts w:hint="default" w:eastAsia="宋体"/>
                      <w:color w:val="auto"/>
                      <w:spacing w:val="-2"/>
                      <w:kern w:val="28"/>
                      <w:sz w:val="21"/>
                      <w:szCs w:val="21"/>
                      <w:highlight w:val="none"/>
                      <w:lang w:val="en-US" w:eastAsia="zh-CN"/>
                    </w:rPr>
                  </w:pPr>
                  <w:r>
                    <w:rPr>
                      <w:rFonts w:hint="eastAsia"/>
                      <w:color w:val="auto"/>
                      <w:spacing w:val="-2"/>
                      <w:kern w:val="28"/>
                      <w:sz w:val="21"/>
                      <w:szCs w:val="21"/>
                      <w:highlight w:val="none"/>
                      <w:lang w:val="en-US" w:eastAsia="zh-CN"/>
                    </w:rPr>
                    <w:t>0.0054</w:t>
                  </w:r>
                </w:p>
              </w:tc>
              <w:tc>
                <w:tcPr>
                  <w:tcW w:w="323" w:type="pct"/>
                  <w:vAlign w:val="center"/>
                </w:tcPr>
                <w:p>
                  <w:pPr>
                    <w:spacing w:line="240" w:lineRule="auto"/>
                    <w:jc w:val="center"/>
                    <w:rPr>
                      <w:rFonts w:hint="default" w:eastAsia="宋体"/>
                      <w:color w:val="auto"/>
                      <w:spacing w:val="-2"/>
                      <w:kern w:val="28"/>
                      <w:sz w:val="21"/>
                      <w:szCs w:val="21"/>
                      <w:highlight w:val="none"/>
                      <w:lang w:val="en-US" w:eastAsia="zh-CN"/>
                    </w:rPr>
                  </w:pPr>
                  <w:r>
                    <w:rPr>
                      <w:rFonts w:hint="eastAsia"/>
                      <w:color w:val="auto"/>
                      <w:spacing w:val="-2"/>
                      <w:kern w:val="28"/>
                      <w:sz w:val="21"/>
                      <w:szCs w:val="21"/>
                      <w:highlight w:val="none"/>
                      <w:lang w:val="en-US" w:eastAsia="zh-CN"/>
                    </w:rPr>
                    <w:t>0.039</w:t>
                  </w:r>
                </w:p>
              </w:tc>
              <w:tc>
                <w:tcPr>
                  <w:tcW w:w="323" w:type="pct"/>
                  <w:vAlign w:val="center"/>
                </w:tcPr>
                <w:p>
                  <w:pPr>
                    <w:spacing w:line="240" w:lineRule="auto"/>
                    <w:jc w:val="center"/>
                    <w:rPr>
                      <w:color w:val="auto"/>
                      <w:spacing w:val="-2"/>
                      <w:kern w:val="28"/>
                      <w:sz w:val="21"/>
                      <w:szCs w:val="21"/>
                      <w:highlight w:val="none"/>
                    </w:rPr>
                  </w:pPr>
                  <w:r>
                    <w:rPr>
                      <w:rFonts w:hint="eastAsia"/>
                      <w:color w:val="auto"/>
                      <w:spacing w:val="-2"/>
                      <w:kern w:val="28"/>
                      <w:sz w:val="21"/>
                      <w:szCs w:val="21"/>
                      <w:highlight w:val="none"/>
                    </w:rPr>
                    <w:t>7200</w:t>
                  </w:r>
                </w:p>
              </w:tc>
            </w:tr>
          </w:tbl>
          <w:p>
            <w:pPr>
              <w:ind w:firstLine="422" w:firstLineChars="200"/>
              <w:jc w:val="center"/>
              <w:rPr>
                <w:b/>
                <w:bCs/>
                <w:color w:val="auto"/>
                <w:sz w:val="21"/>
                <w:szCs w:val="21"/>
                <w:highlight w:val="none"/>
              </w:rPr>
            </w:pPr>
            <w:r>
              <w:rPr>
                <w:b/>
                <w:bCs/>
                <w:color w:val="auto"/>
                <w:sz w:val="21"/>
                <w:szCs w:val="21"/>
                <w:highlight w:val="none"/>
              </w:rPr>
              <w:t>表4-2 建设项目无组织废气排放情况一览表</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730"/>
              <w:gridCol w:w="653"/>
              <w:gridCol w:w="736"/>
              <w:gridCol w:w="855"/>
              <w:gridCol w:w="649"/>
              <w:gridCol w:w="894"/>
              <w:gridCol w:w="884"/>
              <w:gridCol w:w="669"/>
              <w:gridCol w:w="526"/>
              <w:gridCol w:w="722"/>
              <w:gridCol w:w="732"/>
              <w:gridCol w:w="74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5" w:type="pct"/>
                  <w:vMerge w:val="restart"/>
                  <w:vAlign w:val="center"/>
                </w:tcPr>
                <w:p>
                  <w:pPr>
                    <w:pStyle w:val="55"/>
                    <w:spacing w:line="240" w:lineRule="auto"/>
                    <w:rPr>
                      <w:b/>
                      <w:bCs/>
                      <w:color w:val="auto"/>
                      <w:sz w:val="21"/>
                      <w:szCs w:val="21"/>
                      <w:highlight w:val="none"/>
                    </w:rPr>
                  </w:pPr>
                  <w:r>
                    <w:rPr>
                      <w:b/>
                      <w:bCs/>
                      <w:color w:val="auto"/>
                      <w:sz w:val="21"/>
                      <w:szCs w:val="21"/>
                      <w:highlight w:val="none"/>
                    </w:rPr>
                    <w:t>工序/生产线</w:t>
                  </w:r>
                </w:p>
              </w:tc>
              <w:tc>
                <w:tcPr>
                  <w:tcW w:w="371" w:type="pct"/>
                  <w:vMerge w:val="restart"/>
                  <w:vAlign w:val="center"/>
                </w:tcPr>
                <w:p>
                  <w:pPr>
                    <w:pStyle w:val="45"/>
                    <w:spacing w:line="240" w:lineRule="auto"/>
                    <w:rPr>
                      <w:rFonts w:eastAsia="宋体"/>
                      <w:bCs/>
                      <w:color w:val="auto"/>
                      <w:spacing w:val="-2"/>
                      <w:kern w:val="28"/>
                      <w:sz w:val="21"/>
                      <w:szCs w:val="21"/>
                      <w:highlight w:val="none"/>
                    </w:rPr>
                  </w:pPr>
                  <w:r>
                    <w:rPr>
                      <w:rFonts w:eastAsia="宋体"/>
                      <w:bCs/>
                      <w:color w:val="auto"/>
                      <w:spacing w:val="-2"/>
                      <w:kern w:val="28"/>
                      <w:sz w:val="21"/>
                      <w:szCs w:val="21"/>
                      <w:highlight w:val="none"/>
                    </w:rPr>
                    <w:t>污染源</w:t>
                  </w:r>
                </w:p>
              </w:tc>
              <w:tc>
                <w:tcPr>
                  <w:tcW w:w="418" w:type="pct"/>
                  <w:vMerge w:val="restart"/>
                  <w:vAlign w:val="center"/>
                </w:tcPr>
                <w:p>
                  <w:pPr>
                    <w:pStyle w:val="45"/>
                    <w:spacing w:line="240" w:lineRule="auto"/>
                    <w:rPr>
                      <w:rFonts w:eastAsia="宋体"/>
                      <w:bCs/>
                      <w:color w:val="auto"/>
                      <w:spacing w:val="-2"/>
                      <w:kern w:val="28"/>
                      <w:sz w:val="21"/>
                      <w:szCs w:val="21"/>
                      <w:highlight w:val="none"/>
                    </w:rPr>
                  </w:pPr>
                  <w:r>
                    <w:rPr>
                      <w:rFonts w:eastAsia="宋体"/>
                      <w:bCs/>
                      <w:color w:val="auto"/>
                      <w:spacing w:val="-2"/>
                      <w:kern w:val="28"/>
                      <w:sz w:val="21"/>
                      <w:szCs w:val="21"/>
                      <w:highlight w:val="none"/>
                    </w:rPr>
                    <w:t>装置</w:t>
                  </w:r>
                </w:p>
              </w:tc>
              <w:tc>
                <w:tcPr>
                  <w:tcW w:w="486" w:type="pct"/>
                  <w:vMerge w:val="restart"/>
                  <w:vAlign w:val="center"/>
                </w:tcPr>
                <w:p>
                  <w:pPr>
                    <w:pStyle w:val="45"/>
                    <w:spacing w:line="240" w:lineRule="auto"/>
                    <w:rPr>
                      <w:rFonts w:eastAsia="宋体"/>
                      <w:bCs/>
                      <w:color w:val="auto"/>
                      <w:spacing w:val="-2"/>
                      <w:kern w:val="28"/>
                      <w:sz w:val="21"/>
                      <w:szCs w:val="21"/>
                      <w:highlight w:val="none"/>
                    </w:rPr>
                  </w:pPr>
                  <w:r>
                    <w:rPr>
                      <w:rFonts w:eastAsia="宋体"/>
                      <w:bCs/>
                      <w:color w:val="auto"/>
                      <w:spacing w:val="-2"/>
                      <w:kern w:val="28"/>
                      <w:sz w:val="21"/>
                      <w:szCs w:val="21"/>
                      <w:highlight w:val="none"/>
                    </w:rPr>
                    <w:t>污染物</w:t>
                  </w:r>
                </w:p>
              </w:tc>
              <w:tc>
                <w:tcPr>
                  <w:tcW w:w="369" w:type="pct"/>
                  <w:vMerge w:val="restart"/>
                  <w:vAlign w:val="center"/>
                </w:tcPr>
                <w:p>
                  <w:pPr>
                    <w:pStyle w:val="55"/>
                    <w:spacing w:line="240" w:lineRule="auto"/>
                    <w:rPr>
                      <w:b/>
                      <w:bCs/>
                      <w:color w:val="auto"/>
                      <w:sz w:val="21"/>
                      <w:szCs w:val="21"/>
                      <w:highlight w:val="none"/>
                    </w:rPr>
                  </w:pPr>
                  <w:r>
                    <w:rPr>
                      <w:b/>
                      <w:bCs/>
                      <w:color w:val="auto"/>
                      <w:sz w:val="21"/>
                      <w:szCs w:val="21"/>
                      <w:highlight w:val="none"/>
                    </w:rPr>
                    <w:t>核算方法</w:t>
                  </w:r>
                </w:p>
              </w:tc>
              <w:tc>
                <w:tcPr>
                  <w:tcW w:w="1010" w:type="pct"/>
                  <w:gridSpan w:val="2"/>
                  <w:vAlign w:val="center"/>
                </w:tcPr>
                <w:p>
                  <w:pPr>
                    <w:pStyle w:val="55"/>
                    <w:spacing w:line="240" w:lineRule="auto"/>
                    <w:rPr>
                      <w:b/>
                      <w:bCs/>
                      <w:color w:val="auto"/>
                      <w:sz w:val="21"/>
                      <w:szCs w:val="21"/>
                      <w:highlight w:val="none"/>
                    </w:rPr>
                  </w:pPr>
                  <w:r>
                    <w:rPr>
                      <w:b/>
                      <w:bCs/>
                      <w:color w:val="auto"/>
                      <w:sz w:val="21"/>
                      <w:szCs w:val="21"/>
                      <w:highlight w:val="none"/>
                    </w:rPr>
                    <w:t>污染物产生</w:t>
                  </w:r>
                </w:p>
              </w:tc>
              <w:tc>
                <w:tcPr>
                  <w:tcW w:w="679" w:type="pct"/>
                  <w:gridSpan w:val="2"/>
                  <w:vAlign w:val="center"/>
                </w:tcPr>
                <w:p>
                  <w:pPr>
                    <w:pStyle w:val="55"/>
                    <w:spacing w:line="240" w:lineRule="auto"/>
                    <w:rPr>
                      <w:b/>
                      <w:bCs/>
                      <w:color w:val="auto"/>
                      <w:sz w:val="21"/>
                      <w:szCs w:val="21"/>
                      <w:highlight w:val="none"/>
                    </w:rPr>
                  </w:pPr>
                  <w:r>
                    <w:rPr>
                      <w:b/>
                      <w:bCs/>
                      <w:color w:val="auto"/>
                      <w:sz w:val="21"/>
                      <w:szCs w:val="21"/>
                      <w:highlight w:val="none"/>
                    </w:rPr>
                    <w:t>治理措施</w:t>
                  </w:r>
                </w:p>
              </w:tc>
              <w:tc>
                <w:tcPr>
                  <w:tcW w:w="826" w:type="pct"/>
                  <w:gridSpan w:val="2"/>
                  <w:vAlign w:val="center"/>
                </w:tcPr>
                <w:p>
                  <w:pPr>
                    <w:pStyle w:val="55"/>
                    <w:spacing w:line="240" w:lineRule="auto"/>
                    <w:rPr>
                      <w:b/>
                      <w:bCs/>
                      <w:color w:val="auto"/>
                      <w:sz w:val="21"/>
                      <w:szCs w:val="21"/>
                      <w:highlight w:val="none"/>
                    </w:rPr>
                  </w:pPr>
                  <w:r>
                    <w:rPr>
                      <w:b/>
                      <w:bCs/>
                      <w:color w:val="auto"/>
                      <w:sz w:val="21"/>
                      <w:szCs w:val="21"/>
                      <w:highlight w:val="none"/>
                    </w:rPr>
                    <w:t>污染物排放</w:t>
                  </w:r>
                </w:p>
              </w:tc>
              <w:tc>
                <w:tcPr>
                  <w:tcW w:w="423" w:type="pct"/>
                  <w:vMerge w:val="restart"/>
                  <w:vAlign w:val="center"/>
                </w:tcPr>
                <w:p>
                  <w:pPr>
                    <w:pStyle w:val="55"/>
                    <w:spacing w:line="240" w:lineRule="auto"/>
                    <w:rPr>
                      <w:color w:val="auto"/>
                      <w:sz w:val="21"/>
                      <w:szCs w:val="21"/>
                      <w:highlight w:val="none"/>
                    </w:rPr>
                  </w:pPr>
                  <w:r>
                    <w:rPr>
                      <w:b/>
                      <w:bCs/>
                      <w:color w:val="auto"/>
                      <w:sz w:val="21"/>
                      <w:szCs w:val="21"/>
                      <w:highlight w:val="none"/>
                    </w:rPr>
                    <w:t>排放时间</w:t>
                  </w:r>
                  <w:r>
                    <w:rPr>
                      <w:rFonts w:hint="eastAsia"/>
                      <w:b/>
                      <w:bCs/>
                      <w:color w:val="auto"/>
                      <w:sz w:val="21"/>
                      <w:szCs w:val="21"/>
                      <w:highlight w:val="none"/>
                    </w:rPr>
                    <w:t>h</w:t>
                  </w:r>
                  <w:r>
                    <w:rPr>
                      <w:b/>
                      <w:bCs/>
                      <w:color w:val="auto"/>
                      <w:sz w:val="21"/>
                      <w:szCs w:val="21"/>
                      <w:highlight w:val="none"/>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5" w:type="pct"/>
                  <w:vMerge w:val="continue"/>
                  <w:vAlign w:val="center"/>
                </w:tcPr>
                <w:p>
                  <w:pPr>
                    <w:pStyle w:val="55"/>
                    <w:spacing w:line="240" w:lineRule="auto"/>
                    <w:rPr>
                      <w:b/>
                      <w:bCs/>
                      <w:color w:val="auto"/>
                      <w:sz w:val="21"/>
                      <w:szCs w:val="21"/>
                      <w:highlight w:val="none"/>
                    </w:rPr>
                  </w:pPr>
                </w:p>
              </w:tc>
              <w:tc>
                <w:tcPr>
                  <w:tcW w:w="371" w:type="pct"/>
                  <w:vMerge w:val="continue"/>
                  <w:vAlign w:val="center"/>
                </w:tcPr>
                <w:p>
                  <w:pPr>
                    <w:pStyle w:val="45"/>
                    <w:spacing w:line="240" w:lineRule="auto"/>
                    <w:rPr>
                      <w:rFonts w:eastAsia="宋体"/>
                      <w:bCs/>
                      <w:color w:val="auto"/>
                      <w:spacing w:val="-2"/>
                      <w:kern w:val="28"/>
                      <w:sz w:val="21"/>
                      <w:szCs w:val="21"/>
                      <w:highlight w:val="none"/>
                    </w:rPr>
                  </w:pPr>
                </w:p>
              </w:tc>
              <w:tc>
                <w:tcPr>
                  <w:tcW w:w="418" w:type="pct"/>
                  <w:vMerge w:val="continue"/>
                  <w:vAlign w:val="center"/>
                </w:tcPr>
                <w:p>
                  <w:pPr>
                    <w:pStyle w:val="45"/>
                    <w:spacing w:line="240" w:lineRule="auto"/>
                    <w:rPr>
                      <w:rFonts w:eastAsia="宋体"/>
                      <w:bCs/>
                      <w:color w:val="auto"/>
                      <w:spacing w:val="-2"/>
                      <w:kern w:val="28"/>
                      <w:sz w:val="21"/>
                      <w:szCs w:val="21"/>
                      <w:highlight w:val="none"/>
                    </w:rPr>
                  </w:pPr>
                </w:p>
              </w:tc>
              <w:tc>
                <w:tcPr>
                  <w:tcW w:w="486" w:type="pct"/>
                  <w:vMerge w:val="continue"/>
                  <w:vAlign w:val="center"/>
                </w:tcPr>
                <w:p>
                  <w:pPr>
                    <w:pStyle w:val="45"/>
                    <w:spacing w:line="240" w:lineRule="auto"/>
                    <w:rPr>
                      <w:rFonts w:eastAsia="宋体"/>
                      <w:bCs/>
                      <w:color w:val="auto"/>
                      <w:spacing w:val="-2"/>
                      <w:kern w:val="28"/>
                      <w:sz w:val="21"/>
                      <w:szCs w:val="21"/>
                      <w:highlight w:val="none"/>
                    </w:rPr>
                  </w:pPr>
                </w:p>
              </w:tc>
              <w:tc>
                <w:tcPr>
                  <w:tcW w:w="369" w:type="pct"/>
                  <w:vMerge w:val="continue"/>
                  <w:vAlign w:val="center"/>
                </w:tcPr>
                <w:p>
                  <w:pPr>
                    <w:pStyle w:val="55"/>
                    <w:spacing w:line="240" w:lineRule="auto"/>
                    <w:rPr>
                      <w:b/>
                      <w:bCs/>
                      <w:color w:val="auto"/>
                      <w:sz w:val="21"/>
                      <w:szCs w:val="21"/>
                      <w:highlight w:val="none"/>
                    </w:rPr>
                  </w:pPr>
                </w:p>
              </w:tc>
              <w:tc>
                <w:tcPr>
                  <w:tcW w:w="508" w:type="pct"/>
                  <w:vAlign w:val="center"/>
                </w:tcPr>
                <w:p>
                  <w:pPr>
                    <w:pStyle w:val="55"/>
                    <w:spacing w:line="240" w:lineRule="auto"/>
                    <w:rPr>
                      <w:b/>
                      <w:bCs/>
                      <w:color w:val="auto"/>
                      <w:sz w:val="21"/>
                      <w:szCs w:val="21"/>
                      <w:highlight w:val="none"/>
                    </w:rPr>
                  </w:pPr>
                  <w:r>
                    <w:rPr>
                      <w:rFonts w:hint="eastAsia"/>
                      <w:b/>
                      <w:bCs/>
                      <w:color w:val="auto"/>
                      <w:sz w:val="21"/>
                      <w:szCs w:val="21"/>
                      <w:highlight w:val="none"/>
                      <w:lang w:val="en-US" w:eastAsia="zh-CN"/>
                    </w:rPr>
                    <w:t>速率</w:t>
                  </w:r>
                  <w:r>
                    <w:rPr>
                      <w:b/>
                      <w:bCs/>
                      <w:color w:val="auto"/>
                      <w:sz w:val="21"/>
                      <w:szCs w:val="21"/>
                      <w:highlight w:val="none"/>
                    </w:rPr>
                    <w:t>kg/h</w:t>
                  </w:r>
                </w:p>
              </w:tc>
              <w:tc>
                <w:tcPr>
                  <w:tcW w:w="502" w:type="pct"/>
                  <w:vAlign w:val="center"/>
                </w:tcPr>
                <w:p>
                  <w:pPr>
                    <w:pStyle w:val="55"/>
                    <w:spacing w:line="240" w:lineRule="auto"/>
                    <w:rPr>
                      <w:rFonts w:hint="eastAsia" w:eastAsia="宋体"/>
                      <w:b/>
                      <w:bCs/>
                      <w:color w:val="auto"/>
                      <w:sz w:val="21"/>
                      <w:szCs w:val="21"/>
                      <w:highlight w:val="none"/>
                      <w:lang w:val="en-US" w:eastAsia="zh-CN"/>
                    </w:rPr>
                  </w:pPr>
                  <w:r>
                    <w:rPr>
                      <w:b/>
                      <w:bCs/>
                      <w:color w:val="auto"/>
                      <w:sz w:val="21"/>
                      <w:szCs w:val="21"/>
                      <w:highlight w:val="none"/>
                    </w:rPr>
                    <w:t>产生量</w:t>
                  </w:r>
                  <w:r>
                    <w:rPr>
                      <w:rFonts w:hint="eastAsia"/>
                      <w:b/>
                      <w:bCs/>
                      <w:color w:val="auto"/>
                      <w:sz w:val="21"/>
                      <w:szCs w:val="21"/>
                      <w:highlight w:val="none"/>
                      <w:lang w:val="en-US" w:eastAsia="zh-CN"/>
                    </w:rPr>
                    <w:t>t/a</w:t>
                  </w:r>
                </w:p>
              </w:tc>
              <w:tc>
                <w:tcPr>
                  <w:tcW w:w="380" w:type="pct"/>
                  <w:vAlign w:val="center"/>
                </w:tcPr>
                <w:p>
                  <w:pPr>
                    <w:pStyle w:val="55"/>
                    <w:spacing w:line="240" w:lineRule="auto"/>
                    <w:rPr>
                      <w:b/>
                      <w:bCs/>
                      <w:color w:val="auto"/>
                      <w:sz w:val="21"/>
                      <w:szCs w:val="21"/>
                      <w:highlight w:val="none"/>
                    </w:rPr>
                  </w:pPr>
                  <w:r>
                    <w:rPr>
                      <w:b/>
                      <w:bCs/>
                      <w:color w:val="auto"/>
                      <w:sz w:val="21"/>
                      <w:szCs w:val="21"/>
                      <w:highlight w:val="none"/>
                    </w:rPr>
                    <w:t>工艺</w:t>
                  </w:r>
                </w:p>
              </w:tc>
              <w:tc>
                <w:tcPr>
                  <w:tcW w:w="299" w:type="pct"/>
                  <w:vAlign w:val="center"/>
                </w:tcPr>
                <w:p>
                  <w:pPr>
                    <w:pStyle w:val="55"/>
                    <w:spacing w:line="240" w:lineRule="auto"/>
                    <w:rPr>
                      <w:rFonts w:hint="eastAsia" w:eastAsia="宋体"/>
                      <w:b/>
                      <w:bCs/>
                      <w:color w:val="auto"/>
                      <w:sz w:val="21"/>
                      <w:szCs w:val="21"/>
                      <w:highlight w:val="none"/>
                      <w:lang w:val="en-US" w:eastAsia="zh-CN"/>
                    </w:rPr>
                  </w:pPr>
                  <w:r>
                    <w:rPr>
                      <w:b/>
                      <w:bCs/>
                      <w:color w:val="auto"/>
                      <w:sz w:val="21"/>
                      <w:szCs w:val="21"/>
                      <w:highlight w:val="none"/>
                    </w:rPr>
                    <w:t>效率</w:t>
                  </w:r>
                  <w:r>
                    <w:rPr>
                      <w:rFonts w:hint="eastAsia"/>
                      <w:b/>
                      <w:bCs/>
                      <w:color w:val="auto"/>
                      <w:sz w:val="21"/>
                      <w:szCs w:val="21"/>
                      <w:highlight w:val="none"/>
                      <w:lang w:val="en-US" w:eastAsia="zh-CN"/>
                    </w:rPr>
                    <w:t>%</w:t>
                  </w:r>
                </w:p>
              </w:tc>
              <w:tc>
                <w:tcPr>
                  <w:tcW w:w="410" w:type="pct"/>
                  <w:vAlign w:val="center"/>
                </w:tcPr>
                <w:p>
                  <w:pPr>
                    <w:pStyle w:val="55"/>
                    <w:spacing w:line="240" w:lineRule="auto"/>
                    <w:rPr>
                      <w:b/>
                      <w:bCs/>
                      <w:color w:val="auto"/>
                      <w:sz w:val="21"/>
                      <w:szCs w:val="21"/>
                      <w:highlight w:val="none"/>
                    </w:rPr>
                  </w:pPr>
                  <w:r>
                    <w:rPr>
                      <w:rFonts w:hint="eastAsia"/>
                      <w:b/>
                      <w:bCs/>
                      <w:color w:val="auto"/>
                      <w:sz w:val="21"/>
                      <w:szCs w:val="21"/>
                      <w:highlight w:val="none"/>
                      <w:lang w:val="en-US" w:eastAsia="zh-CN"/>
                    </w:rPr>
                    <w:t>速率</w:t>
                  </w:r>
                  <w:r>
                    <w:rPr>
                      <w:b/>
                      <w:bCs/>
                      <w:color w:val="auto"/>
                      <w:sz w:val="21"/>
                      <w:szCs w:val="21"/>
                      <w:highlight w:val="none"/>
                    </w:rPr>
                    <w:t>kg/h</w:t>
                  </w:r>
                </w:p>
              </w:tc>
              <w:tc>
                <w:tcPr>
                  <w:tcW w:w="416" w:type="pct"/>
                  <w:vAlign w:val="center"/>
                </w:tcPr>
                <w:p>
                  <w:pPr>
                    <w:pStyle w:val="55"/>
                    <w:spacing w:line="240" w:lineRule="auto"/>
                    <w:rPr>
                      <w:b/>
                      <w:bCs/>
                      <w:color w:val="auto"/>
                      <w:sz w:val="21"/>
                      <w:szCs w:val="21"/>
                      <w:highlight w:val="none"/>
                    </w:rPr>
                  </w:pPr>
                  <w:r>
                    <w:rPr>
                      <w:rFonts w:hint="eastAsia"/>
                      <w:b/>
                      <w:bCs/>
                      <w:color w:val="auto"/>
                      <w:sz w:val="21"/>
                      <w:szCs w:val="21"/>
                      <w:highlight w:val="none"/>
                      <w:lang w:val="en-US" w:eastAsia="zh-CN"/>
                    </w:rPr>
                    <w:t>排放</w:t>
                  </w:r>
                  <w:r>
                    <w:rPr>
                      <w:b/>
                      <w:bCs/>
                      <w:color w:val="auto"/>
                      <w:sz w:val="21"/>
                      <w:szCs w:val="21"/>
                      <w:highlight w:val="none"/>
                    </w:rPr>
                    <w:t>量</w:t>
                  </w:r>
                  <w:r>
                    <w:rPr>
                      <w:rFonts w:hint="eastAsia"/>
                      <w:b/>
                      <w:bCs/>
                      <w:color w:val="auto"/>
                      <w:sz w:val="21"/>
                      <w:szCs w:val="21"/>
                      <w:highlight w:val="none"/>
                      <w:lang w:val="en-US" w:eastAsia="zh-CN"/>
                    </w:rPr>
                    <w:t>t/a</w:t>
                  </w:r>
                </w:p>
              </w:tc>
              <w:tc>
                <w:tcPr>
                  <w:tcW w:w="423" w:type="pct"/>
                  <w:vMerge w:val="continue"/>
                  <w:vAlign w:val="center"/>
                </w:tcPr>
                <w:p>
                  <w:pPr>
                    <w:pStyle w:val="55"/>
                    <w:spacing w:line="240" w:lineRule="auto"/>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5" w:type="pct"/>
                  <w:vAlign w:val="center"/>
                </w:tcPr>
                <w:p>
                  <w:pPr>
                    <w:spacing w:line="240" w:lineRule="auto"/>
                    <w:jc w:val="center"/>
                    <w:rPr>
                      <w:color w:val="auto"/>
                      <w:sz w:val="21"/>
                      <w:szCs w:val="21"/>
                      <w:highlight w:val="none"/>
                    </w:rPr>
                  </w:pPr>
                  <w:r>
                    <w:rPr>
                      <w:rFonts w:hint="eastAsia" w:eastAsia="宋体"/>
                      <w:color w:val="auto"/>
                      <w:sz w:val="21"/>
                      <w:szCs w:val="21"/>
                      <w:highlight w:val="none"/>
                      <w:lang w:val="en-US" w:eastAsia="zh-CN"/>
                    </w:rPr>
                    <w:t>挤出</w:t>
                  </w:r>
                  <w:r>
                    <w:rPr>
                      <w:rFonts w:eastAsia="宋体"/>
                      <w:color w:val="auto"/>
                      <w:sz w:val="21"/>
                      <w:szCs w:val="21"/>
                      <w:highlight w:val="none"/>
                    </w:rPr>
                    <w:t>成型</w:t>
                  </w:r>
                </w:p>
              </w:tc>
              <w:tc>
                <w:tcPr>
                  <w:tcW w:w="371" w:type="pct"/>
                  <w:vMerge w:val="restart"/>
                  <w:vAlign w:val="center"/>
                </w:tcPr>
                <w:p>
                  <w:pPr>
                    <w:pStyle w:val="55"/>
                    <w:spacing w:line="240" w:lineRule="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lang w:val="en-US" w:eastAsia="zh-CN"/>
                    </w:rPr>
                    <w:t>车间</w:t>
                  </w:r>
                </w:p>
              </w:tc>
              <w:tc>
                <w:tcPr>
                  <w:tcW w:w="418" w:type="pct"/>
                  <w:vMerge w:val="restart"/>
                  <w:vAlign w:val="center"/>
                </w:tcPr>
                <w:p>
                  <w:pPr>
                    <w:spacing w:line="240" w:lineRule="auto"/>
                    <w:jc w:val="center"/>
                    <w:rPr>
                      <w:color w:val="auto"/>
                      <w:sz w:val="21"/>
                      <w:szCs w:val="21"/>
                      <w:highlight w:val="none"/>
                    </w:rPr>
                  </w:pPr>
                  <w:r>
                    <w:rPr>
                      <w:rFonts w:hint="eastAsia"/>
                      <w:color w:val="auto"/>
                      <w:sz w:val="21"/>
                      <w:szCs w:val="21"/>
                      <w:highlight w:val="none"/>
                      <w:lang w:val="en-US" w:eastAsia="zh-CN"/>
                    </w:rPr>
                    <w:t>挤出</w:t>
                  </w:r>
                  <w:r>
                    <w:rPr>
                      <w:rFonts w:hint="eastAsia"/>
                      <w:color w:val="auto"/>
                      <w:sz w:val="21"/>
                      <w:szCs w:val="21"/>
                      <w:highlight w:val="none"/>
                    </w:rPr>
                    <w:t>成型机</w:t>
                  </w:r>
                </w:p>
              </w:tc>
              <w:tc>
                <w:tcPr>
                  <w:tcW w:w="486" w:type="pct"/>
                  <w:vAlign w:val="center"/>
                </w:tcPr>
                <w:p>
                  <w:pPr>
                    <w:pStyle w:val="55"/>
                    <w:spacing w:line="240" w:lineRule="auto"/>
                    <w:rPr>
                      <w:color w:val="auto"/>
                      <w:kern w:val="0"/>
                      <w:sz w:val="21"/>
                      <w:szCs w:val="21"/>
                      <w:highlight w:val="none"/>
                    </w:rPr>
                  </w:pPr>
                  <w:r>
                    <w:rPr>
                      <w:rFonts w:hint="eastAsia"/>
                      <w:color w:val="auto"/>
                      <w:spacing w:val="-2"/>
                      <w:kern w:val="28"/>
                      <w:sz w:val="21"/>
                      <w:szCs w:val="21"/>
                      <w:highlight w:val="none"/>
                    </w:rPr>
                    <w:t>非甲烷总烃</w:t>
                  </w:r>
                </w:p>
              </w:tc>
              <w:tc>
                <w:tcPr>
                  <w:tcW w:w="369" w:type="pct"/>
                  <w:vMerge w:val="restart"/>
                  <w:vAlign w:val="center"/>
                </w:tcPr>
                <w:p>
                  <w:pPr>
                    <w:pStyle w:val="55"/>
                    <w:spacing w:line="240" w:lineRule="auto"/>
                    <w:rPr>
                      <w:color w:val="auto"/>
                      <w:sz w:val="21"/>
                      <w:szCs w:val="21"/>
                      <w:highlight w:val="none"/>
                    </w:rPr>
                  </w:pPr>
                  <w:r>
                    <w:rPr>
                      <w:rFonts w:hint="eastAsia"/>
                      <w:color w:val="auto"/>
                      <w:spacing w:val="-2"/>
                      <w:kern w:val="28"/>
                      <w:sz w:val="21"/>
                      <w:szCs w:val="21"/>
                      <w:highlight w:val="none"/>
                    </w:rPr>
                    <w:t>产污系数法</w:t>
                  </w:r>
                </w:p>
              </w:tc>
              <w:tc>
                <w:tcPr>
                  <w:tcW w:w="508" w:type="pct"/>
                  <w:vAlign w:val="center"/>
                </w:tcPr>
                <w:p>
                  <w:pPr>
                    <w:pStyle w:val="55"/>
                    <w:spacing w:line="240" w:lineRule="auto"/>
                    <w:rPr>
                      <w:rFonts w:hint="default" w:eastAsia="宋体"/>
                      <w:color w:val="auto"/>
                      <w:sz w:val="21"/>
                      <w:szCs w:val="21"/>
                      <w:highlight w:val="none"/>
                      <w:lang w:val="en-US" w:eastAsia="zh-CN"/>
                    </w:rPr>
                  </w:pPr>
                  <w:r>
                    <w:rPr>
                      <w:rFonts w:hint="eastAsia"/>
                      <w:color w:val="auto"/>
                      <w:sz w:val="21"/>
                      <w:szCs w:val="21"/>
                      <w:highlight w:val="none"/>
                      <w:lang w:val="en-US" w:eastAsia="zh-CN"/>
                    </w:rPr>
                    <w:t>0.006</w:t>
                  </w:r>
                </w:p>
              </w:tc>
              <w:tc>
                <w:tcPr>
                  <w:tcW w:w="502" w:type="pct"/>
                  <w:vAlign w:val="center"/>
                </w:tcPr>
                <w:p>
                  <w:pPr>
                    <w:pStyle w:val="55"/>
                    <w:spacing w:line="240" w:lineRule="auto"/>
                    <w:rPr>
                      <w:rFonts w:hint="default" w:eastAsia="宋体"/>
                      <w:color w:val="auto"/>
                      <w:sz w:val="21"/>
                      <w:szCs w:val="21"/>
                      <w:highlight w:val="none"/>
                      <w:lang w:val="en-US" w:eastAsia="zh-CN"/>
                    </w:rPr>
                  </w:pPr>
                  <w:r>
                    <w:rPr>
                      <w:rFonts w:hint="eastAsia"/>
                      <w:color w:val="auto"/>
                      <w:sz w:val="21"/>
                      <w:szCs w:val="21"/>
                      <w:highlight w:val="none"/>
                      <w:lang w:val="en-US" w:eastAsia="zh-CN"/>
                    </w:rPr>
                    <w:t>0.043</w:t>
                  </w:r>
                </w:p>
              </w:tc>
              <w:tc>
                <w:tcPr>
                  <w:tcW w:w="380" w:type="pct"/>
                  <w:vAlign w:val="center"/>
                </w:tcPr>
                <w:p>
                  <w:pPr>
                    <w:spacing w:line="240" w:lineRule="auto"/>
                    <w:jc w:val="center"/>
                    <w:rPr>
                      <w:color w:val="auto"/>
                      <w:sz w:val="21"/>
                      <w:szCs w:val="21"/>
                      <w:highlight w:val="none"/>
                    </w:rPr>
                  </w:pPr>
                  <w:r>
                    <w:rPr>
                      <w:rFonts w:hint="eastAsia"/>
                      <w:color w:val="auto"/>
                      <w:sz w:val="21"/>
                      <w:szCs w:val="21"/>
                      <w:highlight w:val="none"/>
                    </w:rPr>
                    <w:t>/</w:t>
                  </w:r>
                </w:p>
              </w:tc>
              <w:tc>
                <w:tcPr>
                  <w:tcW w:w="299" w:type="pct"/>
                  <w:vAlign w:val="center"/>
                </w:tcPr>
                <w:p>
                  <w:pPr>
                    <w:spacing w:line="240" w:lineRule="auto"/>
                    <w:jc w:val="center"/>
                    <w:rPr>
                      <w:color w:val="auto"/>
                      <w:sz w:val="21"/>
                      <w:szCs w:val="21"/>
                      <w:highlight w:val="none"/>
                    </w:rPr>
                  </w:pPr>
                  <w:r>
                    <w:rPr>
                      <w:rFonts w:hint="eastAsia"/>
                      <w:color w:val="auto"/>
                      <w:sz w:val="21"/>
                      <w:szCs w:val="21"/>
                      <w:highlight w:val="none"/>
                    </w:rPr>
                    <w:t>/</w:t>
                  </w:r>
                </w:p>
              </w:tc>
              <w:tc>
                <w:tcPr>
                  <w:tcW w:w="410" w:type="pct"/>
                  <w:vAlign w:val="center"/>
                </w:tcPr>
                <w:p>
                  <w:pPr>
                    <w:pStyle w:val="55"/>
                    <w:spacing w:line="240" w:lineRule="auto"/>
                    <w:rPr>
                      <w:rFonts w:hint="default" w:ascii="Times New Roman" w:hAnsi="Times New Roman" w:eastAsia="宋体" w:cs="Times New Roman"/>
                      <w:color w:val="auto"/>
                      <w:kern w:val="18"/>
                      <w:sz w:val="21"/>
                      <w:szCs w:val="21"/>
                      <w:highlight w:val="none"/>
                      <w:lang w:val="en-US" w:eastAsia="zh-CN" w:bidi="ar-SA"/>
                    </w:rPr>
                  </w:pPr>
                  <w:r>
                    <w:rPr>
                      <w:rFonts w:hint="eastAsia"/>
                      <w:color w:val="auto"/>
                      <w:sz w:val="21"/>
                      <w:szCs w:val="21"/>
                      <w:highlight w:val="none"/>
                      <w:lang w:val="en-US" w:eastAsia="zh-CN"/>
                    </w:rPr>
                    <w:t>0.006</w:t>
                  </w:r>
                </w:p>
              </w:tc>
              <w:tc>
                <w:tcPr>
                  <w:tcW w:w="416" w:type="pct"/>
                  <w:vAlign w:val="center"/>
                </w:tcPr>
                <w:p>
                  <w:pPr>
                    <w:pStyle w:val="55"/>
                    <w:spacing w:line="240" w:lineRule="auto"/>
                    <w:rPr>
                      <w:rFonts w:hint="default" w:ascii="Times New Roman" w:hAnsi="Times New Roman" w:eastAsia="宋体" w:cs="Times New Roman"/>
                      <w:color w:val="auto"/>
                      <w:kern w:val="18"/>
                      <w:sz w:val="21"/>
                      <w:szCs w:val="21"/>
                      <w:highlight w:val="none"/>
                      <w:lang w:val="en-US" w:eastAsia="zh-CN" w:bidi="ar-SA"/>
                    </w:rPr>
                  </w:pPr>
                  <w:r>
                    <w:rPr>
                      <w:rFonts w:hint="eastAsia"/>
                      <w:color w:val="auto"/>
                      <w:sz w:val="21"/>
                      <w:szCs w:val="21"/>
                      <w:highlight w:val="none"/>
                      <w:lang w:val="en-US" w:eastAsia="zh-CN"/>
                    </w:rPr>
                    <w:t>0.043</w:t>
                  </w:r>
                </w:p>
              </w:tc>
              <w:tc>
                <w:tcPr>
                  <w:tcW w:w="423" w:type="pct"/>
                  <w:vMerge w:val="restart"/>
                  <w:vAlign w:val="center"/>
                </w:tcPr>
                <w:p>
                  <w:pPr>
                    <w:pStyle w:val="55"/>
                    <w:spacing w:line="240" w:lineRule="auto"/>
                    <w:rPr>
                      <w:color w:val="auto"/>
                      <w:sz w:val="21"/>
                      <w:szCs w:val="21"/>
                      <w:highlight w:val="none"/>
                    </w:rPr>
                  </w:pPr>
                  <w:r>
                    <w:rPr>
                      <w:rFonts w:hint="eastAsia"/>
                      <w:color w:val="auto"/>
                      <w:sz w:val="21"/>
                      <w:szCs w:val="21"/>
                      <w:highlight w:val="none"/>
                    </w:rPr>
                    <w:t>7200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5" w:type="pct"/>
                  <w:vAlign w:val="center"/>
                </w:tcPr>
                <w:p>
                  <w:pPr>
                    <w:spacing w:line="240" w:lineRule="auto"/>
                    <w:jc w:val="center"/>
                    <w:rPr>
                      <w:rFonts w:hint="default"/>
                      <w:color w:val="auto"/>
                      <w:sz w:val="21"/>
                      <w:szCs w:val="21"/>
                      <w:highlight w:val="none"/>
                      <w:lang w:val="en-US" w:eastAsia="zh-CN"/>
                    </w:rPr>
                  </w:pPr>
                  <w:r>
                    <w:rPr>
                      <w:rFonts w:hint="eastAsia"/>
                      <w:color w:val="auto"/>
                      <w:sz w:val="21"/>
                      <w:szCs w:val="21"/>
                      <w:highlight w:val="none"/>
                      <w:lang w:val="en-US" w:eastAsia="zh-CN"/>
                    </w:rPr>
                    <w:t>投料</w:t>
                  </w:r>
                </w:p>
              </w:tc>
              <w:tc>
                <w:tcPr>
                  <w:tcW w:w="371" w:type="pct"/>
                  <w:vMerge w:val="continue"/>
                  <w:vAlign w:val="center"/>
                </w:tcPr>
                <w:p>
                  <w:pPr>
                    <w:pStyle w:val="55"/>
                    <w:spacing w:line="240" w:lineRule="auto"/>
                    <w:rPr>
                      <w:rFonts w:hint="eastAsia"/>
                      <w:color w:val="auto"/>
                      <w:sz w:val="21"/>
                      <w:szCs w:val="21"/>
                      <w:highlight w:val="none"/>
                    </w:rPr>
                  </w:pPr>
                </w:p>
              </w:tc>
              <w:tc>
                <w:tcPr>
                  <w:tcW w:w="418" w:type="pct"/>
                  <w:vMerge w:val="continue"/>
                  <w:vAlign w:val="center"/>
                </w:tcPr>
                <w:p>
                  <w:pPr>
                    <w:spacing w:line="240" w:lineRule="auto"/>
                    <w:jc w:val="center"/>
                    <w:rPr>
                      <w:rFonts w:hint="default"/>
                      <w:color w:val="auto"/>
                      <w:sz w:val="21"/>
                      <w:szCs w:val="21"/>
                      <w:highlight w:val="none"/>
                      <w:lang w:val="en-US" w:eastAsia="zh-CN"/>
                    </w:rPr>
                  </w:pPr>
                </w:p>
              </w:tc>
              <w:tc>
                <w:tcPr>
                  <w:tcW w:w="486" w:type="pct"/>
                  <w:vAlign w:val="center"/>
                </w:tcPr>
                <w:p>
                  <w:pPr>
                    <w:pStyle w:val="55"/>
                    <w:spacing w:line="240" w:lineRule="auto"/>
                    <w:rPr>
                      <w:rFonts w:hint="eastAsia" w:eastAsia="宋体"/>
                      <w:color w:val="auto"/>
                      <w:spacing w:val="-2"/>
                      <w:kern w:val="28"/>
                      <w:sz w:val="21"/>
                      <w:szCs w:val="21"/>
                      <w:highlight w:val="none"/>
                      <w:lang w:val="en-US" w:eastAsia="zh-CN"/>
                    </w:rPr>
                  </w:pPr>
                  <w:r>
                    <w:rPr>
                      <w:rFonts w:hint="eastAsia"/>
                      <w:color w:val="auto"/>
                      <w:spacing w:val="-2"/>
                      <w:kern w:val="28"/>
                      <w:sz w:val="21"/>
                      <w:szCs w:val="21"/>
                      <w:highlight w:val="none"/>
                      <w:lang w:val="en-US" w:eastAsia="zh-CN"/>
                    </w:rPr>
                    <w:t>颗粒物</w:t>
                  </w:r>
                </w:p>
              </w:tc>
              <w:tc>
                <w:tcPr>
                  <w:tcW w:w="369" w:type="pct"/>
                  <w:vMerge w:val="continue"/>
                  <w:vAlign w:val="center"/>
                </w:tcPr>
                <w:p>
                  <w:pPr>
                    <w:pStyle w:val="55"/>
                    <w:spacing w:line="240" w:lineRule="auto"/>
                    <w:rPr>
                      <w:rFonts w:hint="eastAsia"/>
                      <w:color w:val="auto"/>
                      <w:spacing w:val="-2"/>
                      <w:kern w:val="28"/>
                      <w:sz w:val="21"/>
                      <w:szCs w:val="21"/>
                      <w:highlight w:val="none"/>
                    </w:rPr>
                  </w:pPr>
                </w:p>
              </w:tc>
              <w:tc>
                <w:tcPr>
                  <w:tcW w:w="508" w:type="pct"/>
                  <w:vAlign w:val="center"/>
                </w:tcPr>
                <w:p>
                  <w:pPr>
                    <w:pStyle w:val="55"/>
                    <w:spacing w:line="240" w:lineRule="auto"/>
                    <w:rPr>
                      <w:rFonts w:hint="default"/>
                      <w:color w:val="auto"/>
                      <w:sz w:val="21"/>
                      <w:szCs w:val="21"/>
                      <w:highlight w:val="none"/>
                      <w:lang w:val="en-US" w:eastAsia="zh-CN"/>
                    </w:rPr>
                  </w:pPr>
                  <w:r>
                    <w:rPr>
                      <w:rFonts w:hint="eastAsia"/>
                      <w:color w:val="auto"/>
                      <w:sz w:val="21"/>
                      <w:szCs w:val="21"/>
                      <w:highlight w:val="none"/>
                      <w:lang w:val="en-US" w:eastAsia="zh-CN"/>
                    </w:rPr>
                    <w:t>0.00026</w:t>
                  </w:r>
                </w:p>
              </w:tc>
              <w:tc>
                <w:tcPr>
                  <w:tcW w:w="502" w:type="pct"/>
                  <w:vAlign w:val="center"/>
                </w:tcPr>
                <w:p>
                  <w:pPr>
                    <w:pStyle w:val="55"/>
                    <w:spacing w:line="240" w:lineRule="auto"/>
                    <w:rPr>
                      <w:rFonts w:hint="default"/>
                      <w:color w:val="auto"/>
                      <w:sz w:val="21"/>
                      <w:szCs w:val="21"/>
                      <w:highlight w:val="none"/>
                      <w:lang w:val="en-US" w:eastAsia="zh-CN"/>
                    </w:rPr>
                  </w:pPr>
                  <w:r>
                    <w:rPr>
                      <w:rFonts w:hint="eastAsia"/>
                      <w:color w:val="auto"/>
                      <w:sz w:val="21"/>
                      <w:szCs w:val="21"/>
                      <w:highlight w:val="none"/>
                      <w:lang w:val="en-US" w:eastAsia="zh-CN"/>
                    </w:rPr>
                    <w:t>0.0019</w:t>
                  </w:r>
                </w:p>
              </w:tc>
              <w:tc>
                <w:tcPr>
                  <w:tcW w:w="380" w:type="pct"/>
                  <w:vMerge w:val="restart"/>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移动式布袋除尘器</w:t>
                  </w:r>
                </w:p>
              </w:tc>
              <w:tc>
                <w:tcPr>
                  <w:tcW w:w="299" w:type="pct"/>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lang w:val="en-US" w:eastAsia="zh-CN"/>
                    </w:rPr>
                    <w:t>80</w:t>
                  </w:r>
                </w:p>
              </w:tc>
              <w:tc>
                <w:tcPr>
                  <w:tcW w:w="410" w:type="pct"/>
                  <w:vAlign w:val="center"/>
                </w:tcPr>
                <w:p>
                  <w:pPr>
                    <w:pStyle w:val="55"/>
                    <w:spacing w:line="240" w:lineRule="auto"/>
                    <w:rPr>
                      <w:rFonts w:hint="eastAsia" w:ascii="Times New Roman" w:hAnsi="Times New Roman" w:eastAsia="宋体" w:cs="Times New Roman"/>
                      <w:color w:val="auto"/>
                      <w:kern w:val="18"/>
                      <w:sz w:val="21"/>
                      <w:szCs w:val="21"/>
                      <w:highlight w:val="none"/>
                      <w:lang w:val="en-US" w:eastAsia="zh-CN" w:bidi="ar-SA"/>
                    </w:rPr>
                  </w:pPr>
                  <w:r>
                    <w:rPr>
                      <w:rFonts w:hint="eastAsia"/>
                      <w:color w:val="auto"/>
                      <w:sz w:val="21"/>
                      <w:szCs w:val="21"/>
                      <w:highlight w:val="none"/>
                      <w:lang w:val="en-US" w:eastAsia="zh-CN"/>
                    </w:rPr>
                    <w:t>0.00006</w:t>
                  </w:r>
                </w:p>
              </w:tc>
              <w:tc>
                <w:tcPr>
                  <w:tcW w:w="416" w:type="pct"/>
                  <w:vAlign w:val="center"/>
                </w:tcPr>
                <w:p>
                  <w:pPr>
                    <w:pStyle w:val="55"/>
                    <w:spacing w:line="240" w:lineRule="auto"/>
                    <w:rPr>
                      <w:rFonts w:hint="eastAsia" w:ascii="Times New Roman" w:hAnsi="Times New Roman" w:eastAsia="宋体" w:cs="Times New Roman"/>
                      <w:color w:val="auto"/>
                      <w:kern w:val="18"/>
                      <w:sz w:val="21"/>
                      <w:szCs w:val="21"/>
                      <w:highlight w:val="none"/>
                      <w:lang w:val="en-US" w:eastAsia="zh-CN" w:bidi="ar-SA"/>
                    </w:rPr>
                  </w:pPr>
                  <w:r>
                    <w:rPr>
                      <w:rFonts w:hint="eastAsia"/>
                      <w:color w:val="auto"/>
                      <w:sz w:val="21"/>
                      <w:szCs w:val="21"/>
                      <w:highlight w:val="none"/>
                      <w:lang w:val="en-US" w:eastAsia="zh-CN"/>
                    </w:rPr>
                    <w:t>0.0004</w:t>
                  </w:r>
                </w:p>
              </w:tc>
              <w:tc>
                <w:tcPr>
                  <w:tcW w:w="423" w:type="pct"/>
                  <w:vMerge w:val="continue"/>
                  <w:vAlign w:val="center"/>
                </w:tcPr>
                <w:p>
                  <w:pPr>
                    <w:pStyle w:val="55"/>
                    <w:spacing w:line="240" w:lineRule="auto"/>
                    <w:rPr>
                      <w:rFonts w:hint="eastAsia"/>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15" w:type="pct"/>
                  <w:vAlign w:val="center"/>
                </w:tcPr>
                <w:p>
                  <w:pPr>
                    <w:spacing w:line="240" w:lineRule="auto"/>
                    <w:jc w:val="center"/>
                    <w:rPr>
                      <w:rFonts w:hint="default"/>
                      <w:color w:val="auto"/>
                      <w:sz w:val="21"/>
                      <w:szCs w:val="21"/>
                      <w:highlight w:val="none"/>
                      <w:lang w:val="en-US" w:eastAsia="zh-CN"/>
                    </w:rPr>
                  </w:pPr>
                  <w:r>
                    <w:rPr>
                      <w:rFonts w:hint="eastAsia"/>
                      <w:color w:val="auto"/>
                      <w:sz w:val="21"/>
                      <w:szCs w:val="21"/>
                      <w:highlight w:val="none"/>
                      <w:lang w:val="en-US" w:eastAsia="zh-CN"/>
                    </w:rPr>
                    <w:t>破碎</w:t>
                  </w:r>
                </w:p>
              </w:tc>
              <w:tc>
                <w:tcPr>
                  <w:tcW w:w="371" w:type="pct"/>
                  <w:vMerge w:val="continue"/>
                  <w:vAlign w:val="center"/>
                </w:tcPr>
                <w:p>
                  <w:pPr>
                    <w:pStyle w:val="55"/>
                    <w:spacing w:line="240" w:lineRule="auto"/>
                    <w:rPr>
                      <w:rFonts w:hint="eastAsia"/>
                      <w:color w:val="auto"/>
                      <w:sz w:val="21"/>
                      <w:szCs w:val="21"/>
                      <w:highlight w:val="none"/>
                    </w:rPr>
                  </w:pPr>
                </w:p>
              </w:tc>
              <w:tc>
                <w:tcPr>
                  <w:tcW w:w="418" w:type="pct"/>
                  <w:vAlign w:val="center"/>
                </w:tcPr>
                <w:p>
                  <w:pPr>
                    <w:spacing w:line="240" w:lineRule="auto"/>
                    <w:jc w:val="center"/>
                    <w:rPr>
                      <w:rFonts w:hint="default"/>
                      <w:color w:val="auto"/>
                      <w:sz w:val="21"/>
                      <w:szCs w:val="21"/>
                      <w:highlight w:val="none"/>
                      <w:lang w:val="en-US" w:eastAsia="zh-CN"/>
                    </w:rPr>
                  </w:pPr>
                  <w:r>
                    <w:rPr>
                      <w:rFonts w:hint="eastAsia"/>
                      <w:color w:val="auto"/>
                      <w:sz w:val="21"/>
                      <w:szCs w:val="21"/>
                      <w:highlight w:val="none"/>
                      <w:lang w:val="en-US" w:eastAsia="zh-CN"/>
                    </w:rPr>
                    <w:t>破碎机</w:t>
                  </w:r>
                </w:p>
              </w:tc>
              <w:tc>
                <w:tcPr>
                  <w:tcW w:w="486" w:type="pct"/>
                  <w:vAlign w:val="center"/>
                </w:tcPr>
                <w:p>
                  <w:pPr>
                    <w:pStyle w:val="55"/>
                    <w:spacing w:line="240" w:lineRule="auto"/>
                    <w:rPr>
                      <w:rFonts w:hint="eastAsia"/>
                      <w:color w:val="auto"/>
                      <w:spacing w:val="-2"/>
                      <w:kern w:val="28"/>
                      <w:sz w:val="21"/>
                      <w:szCs w:val="21"/>
                      <w:highlight w:val="none"/>
                      <w:lang w:val="en-US" w:eastAsia="zh-CN"/>
                    </w:rPr>
                  </w:pPr>
                  <w:r>
                    <w:rPr>
                      <w:rFonts w:hint="eastAsia"/>
                      <w:color w:val="auto"/>
                      <w:spacing w:val="-2"/>
                      <w:kern w:val="28"/>
                      <w:sz w:val="21"/>
                      <w:szCs w:val="21"/>
                      <w:highlight w:val="none"/>
                      <w:lang w:val="en-US" w:eastAsia="zh-CN"/>
                    </w:rPr>
                    <w:t>颗粒物</w:t>
                  </w:r>
                </w:p>
              </w:tc>
              <w:tc>
                <w:tcPr>
                  <w:tcW w:w="369" w:type="pct"/>
                  <w:vMerge w:val="continue"/>
                  <w:vAlign w:val="center"/>
                </w:tcPr>
                <w:p>
                  <w:pPr>
                    <w:pStyle w:val="55"/>
                    <w:spacing w:line="240" w:lineRule="auto"/>
                    <w:rPr>
                      <w:rFonts w:hint="eastAsia"/>
                      <w:color w:val="auto"/>
                      <w:spacing w:val="-2"/>
                      <w:kern w:val="28"/>
                      <w:sz w:val="21"/>
                      <w:szCs w:val="21"/>
                      <w:highlight w:val="none"/>
                    </w:rPr>
                  </w:pPr>
                </w:p>
              </w:tc>
              <w:tc>
                <w:tcPr>
                  <w:tcW w:w="508" w:type="pct"/>
                  <w:vAlign w:val="center"/>
                </w:tcPr>
                <w:p>
                  <w:pPr>
                    <w:pStyle w:val="55"/>
                    <w:spacing w:line="240" w:lineRule="auto"/>
                    <w:rPr>
                      <w:rFonts w:hint="default"/>
                      <w:color w:val="auto"/>
                      <w:sz w:val="21"/>
                      <w:szCs w:val="21"/>
                      <w:highlight w:val="none"/>
                      <w:lang w:val="en-US" w:eastAsia="zh-CN"/>
                    </w:rPr>
                  </w:pPr>
                  <w:r>
                    <w:rPr>
                      <w:rFonts w:hint="eastAsia"/>
                      <w:color w:val="auto"/>
                      <w:sz w:val="21"/>
                      <w:szCs w:val="21"/>
                      <w:highlight w:val="none"/>
                      <w:lang w:val="en-US" w:eastAsia="zh-CN"/>
                    </w:rPr>
                    <w:t>0.0153</w:t>
                  </w:r>
                </w:p>
              </w:tc>
              <w:tc>
                <w:tcPr>
                  <w:tcW w:w="502" w:type="pct"/>
                  <w:vAlign w:val="center"/>
                </w:tcPr>
                <w:p>
                  <w:pPr>
                    <w:pStyle w:val="55"/>
                    <w:spacing w:line="240" w:lineRule="auto"/>
                    <w:rPr>
                      <w:rFonts w:hint="default"/>
                      <w:color w:val="auto"/>
                      <w:sz w:val="21"/>
                      <w:szCs w:val="21"/>
                      <w:highlight w:val="none"/>
                      <w:lang w:val="en-US" w:eastAsia="zh-CN"/>
                    </w:rPr>
                  </w:pPr>
                  <w:r>
                    <w:rPr>
                      <w:rFonts w:hint="eastAsia"/>
                      <w:color w:val="auto"/>
                      <w:sz w:val="21"/>
                      <w:szCs w:val="21"/>
                      <w:highlight w:val="none"/>
                      <w:lang w:val="en-US" w:eastAsia="zh-CN"/>
                    </w:rPr>
                    <w:t>0.0046</w:t>
                  </w:r>
                </w:p>
              </w:tc>
              <w:tc>
                <w:tcPr>
                  <w:tcW w:w="380" w:type="pct"/>
                  <w:vMerge w:val="continue"/>
                  <w:vAlign w:val="center"/>
                </w:tcPr>
                <w:p>
                  <w:pPr>
                    <w:spacing w:line="240" w:lineRule="auto"/>
                    <w:jc w:val="center"/>
                    <w:rPr>
                      <w:rFonts w:hint="eastAsia"/>
                      <w:color w:val="auto"/>
                      <w:sz w:val="21"/>
                      <w:szCs w:val="21"/>
                      <w:highlight w:val="none"/>
                    </w:rPr>
                  </w:pPr>
                </w:p>
              </w:tc>
              <w:tc>
                <w:tcPr>
                  <w:tcW w:w="299" w:type="pct"/>
                  <w:vAlign w:val="center"/>
                </w:tcPr>
                <w:p>
                  <w:pPr>
                    <w:spacing w:line="240" w:lineRule="auto"/>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80</w:t>
                  </w:r>
                </w:p>
              </w:tc>
              <w:tc>
                <w:tcPr>
                  <w:tcW w:w="410" w:type="pct"/>
                  <w:vAlign w:val="center"/>
                </w:tcPr>
                <w:p>
                  <w:pPr>
                    <w:pStyle w:val="55"/>
                    <w:spacing w:line="240" w:lineRule="auto"/>
                    <w:rPr>
                      <w:rFonts w:hint="default"/>
                      <w:color w:val="auto"/>
                      <w:sz w:val="21"/>
                      <w:szCs w:val="21"/>
                      <w:highlight w:val="none"/>
                      <w:lang w:val="en-US" w:eastAsia="zh-CN"/>
                    </w:rPr>
                  </w:pPr>
                  <w:r>
                    <w:rPr>
                      <w:rFonts w:hint="eastAsia"/>
                      <w:color w:val="auto"/>
                      <w:sz w:val="21"/>
                      <w:szCs w:val="21"/>
                      <w:highlight w:val="none"/>
                      <w:lang w:val="en-US" w:eastAsia="zh-CN"/>
                    </w:rPr>
                    <w:t>0.003</w:t>
                  </w:r>
                </w:p>
              </w:tc>
              <w:tc>
                <w:tcPr>
                  <w:tcW w:w="416" w:type="pct"/>
                  <w:vAlign w:val="center"/>
                </w:tcPr>
                <w:p>
                  <w:pPr>
                    <w:pStyle w:val="55"/>
                    <w:spacing w:line="240" w:lineRule="auto"/>
                    <w:rPr>
                      <w:rFonts w:hint="default"/>
                      <w:color w:val="auto"/>
                      <w:sz w:val="21"/>
                      <w:szCs w:val="21"/>
                      <w:highlight w:val="none"/>
                      <w:lang w:val="en-US" w:eastAsia="zh-CN"/>
                    </w:rPr>
                  </w:pPr>
                  <w:r>
                    <w:rPr>
                      <w:rFonts w:hint="eastAsia"/>
                      <w:color w:val="auto"/>
                      <w:sz w:val="21"/>
                      <w:szCs w:val="21"/>
                      <w:highlight w:val="none"/>
                      <w:lang w:val="en-US" w:eastAsia="zh-CN"/>
                    </w:rPr>
                    <w:t>0.0009</w:t>
                  </w:r>
                </w:p>
              </w:tc>
              <w:tc>
                <w:tcPr>
                  <w:tcW w:w="423" w:type="pct"/>
                  <w:vAlign w:val="center"/>
                </w:tcPr>
                <w:p>
                  <w:pPr>
                    <w:pStyle w:val="55"/>
                    <w:spacing w:line="240" w:lineRule="auto"/>
                    <w:rPr>
                      <w:rFonts w:hint="default" w:eastAsia="宋体"/>
                      <w:color w:val="auto"/>
                      <w:sz w:val="21"/>
                      <w:szCs w:val="21"/>
                      <w:highlight w:val="none"/>
                      <w:lang w:val="en-US" w:eastAsia="zh-CN"/>
                    </w:rPr>
                  </w:pPr>
                  <w:r>
                    <w:rPr>
                      <w:rFonts w:hint="eastAsia"/>
                      <w:color w:val="auto"/>
                      <w:sz w:val="21"/>
                      <w:szCs w:val="21"/>
                      <w:highlight w:val="none"/>
                      <w:lang w:val="en-US" w:eastAsia="zh-CN"/>
                    </w:rPr>
                    <w:t>300</w:t>
                  </w:r>
                </w:p>
              </w:tc>
            </w:tr>
          </w:tbl>
          <w:p>
            <w:pPr>
              <w:pStyle w:val="37"/>
              <w:adjustRightInd w:val="0"/>
              <w:snapToGrid w:val="0"/>
              <w:spacing w:line="360" w:lineRule="auto"/>
              <w:ind w:firstLine="0" w:firstLineChars="0"/>
              <w:rPr>
                <w:rFonts w:eastAsia="宋体"/>
                <w:color w:val="auto"/>
                <w:spacing w:val="-2"/>
                <w:kern w:val="28"/>
                <w:sz w:val="21"/>
                <w:szCs w:val="21"/>
                <w:highlight w:val="none"/>
              </w:rPr>
            </w:pPr>
          </w:p>
          <w:p>
            <w:pPr>
              <w:pStyle w:val="11"/>
              <w:spacing w:line="360" w:lineRule="auto"/>
              <w:ind w:left="0" w:leftChars="0" w:right="0" w:rightChars="0" w:firstLine="0" w:firstLineChars="0"/>
              <w:jc w:val="left"/>
              <w:rPr>
                <w:color w:val="auto"/>
                <w:sz w:val="21"/>
                <w:szCs w:val="21"/>
                <w:highlight w:val="none"/>
              </w:rPr>
            </w:pPr>
          </w:p>
        </w:tc>
      </w:tr>
    </w:tbl>
    <w:p>
      <w:pPr>
        <w:pStyle w:val="2"/>
        <w:rPr>
          <w:rFonts w:ascii="Times New Roman" w:hAnsi="Times New Roman" w:eastAsia="宋体"/>
          <w:color w:val="auto"/>
          <w:sz w:val="21"/>
          <w:szCs w:val="21"/>
          <w:highlight w:val="none"/>
        </w:rPr>
        <w:sectPr>
          <w:pgSz w:w="11907" w:h="16840"/>
          <w:pgMar w:top="1701" w:right="1531" w:bottom="2127" w:left="1531" w:header="851" w:footer="851" w:gutter="0"/>
          <w:pgNumType w:fmt="decimal"/>
          <w:cols w:space="720" w:num="1"/>
          <w:docGrid w:linePitch="312" w:charSpace="0"/>
        </w:sect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
        <w:gridCol w:w="8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2" w:hRule="atLeast"/>
        </w:trPr>
        <w:tc>
          <w:tcPr>
            <w:tcW w:w="363" w:type="dxa"/>
          </w:tcPr>
          <w:p>
            <w:pPr>
              <w:pStyle w:val="22"/>
              <w:jc w:val="center"/>
              <w:outlineLvl w:val="0"/>
              <w:rPr>
                <w:rFonts w:ascii="Times New Roman" w:hAnsi="Times New Roman" w:cs="Times New Roman"/>
                <w:snapToGrid w:val="0"/>
                <w:color w:val="auto"/>
                <w:sz w:val="21"/>
                <w:szCs w:val="21"/>
                <w:highlight w:val="none"/>
              </w:rPr>
            </w:pPr>
          </w:p>
        </w:tc>
        <w:tc>
          <w:tcPr>
            <w:tcW w:w="8697" w:type="dxa"/>
          </w:tcPr>
          <w:p>
            <w:pPr>
              <w:snapToGrid w:val="0"/>
              <w:spacing w:line="360" w:lineRule="auto"/>
              <w:rPr>
                <w:b/>
                <w:bCs/>
                <w:color w:val="auto"/>
                <w:sz w:val="21"/>
                <w:szCs w:val="21"/>
                <w:highlight w:val="none"/>
              </w:rPr>
            </w:pPr>
            <w:r>
              <w:rPr>
                <w:b/>
                <w:bCs/>
                <w:color w:val="auto"/>
                <w:sz w:val="21"/>
                <w:szCs w:val="21"/>
                <w:highlight w:val="none"/>
              </w:rPr>
              <w:t>源强核算：</w:t>
            </w:r>
          </w:p>
          <w:p>
            <w:pPr>
              <w:pStyle w:val="15"/>
              <w:numPr>
                <w:ilvl w:val="0"/>
                <w:numId w:val="0"/>
              </w:numPr>
              <w:tabs>
                <w:tab w:val="left" w:pos="1260"/>
              </w:tabs>
              <w:snapToGrid w:val="0"/>
              <w:spacing w:before="0" w:line="360" w:lineRule="auto"/>
              <w:ind w:leftChars="200"/>
              <w:rPr>
                <w:rFonts w:hint="default" w:ascii="Times New Roman" w:hAnsi="Times New Roman" w:eastAsia="宋体" w:cs="Times New Roman"/>
                <w:b/>
                <w:bCs/>
                <w:color w:val="auto"/>
                <w:sz w:val="21"/>
                <w:szCs w:val="21"/>
                <w:highlight w:val="none"/>
                <w:lang w:val="en-US" w:eastAsia="zh-CN"/>
              </w:rPr>
            </w:pPr>
            <w:r>
              <w:rPr>
                <w:rFonts w:hint="eastAsia" w:ascii="Times New Roman" w:cs="Times New Roman"/>
                <w:b/>
                <w:bCs/>
                <w:color w:val="auto"/>
                <w:sz w:val="21"/>
                <w:szCs w:val="21"/>
                <w:highlight w:val="none"/>
                <w:lang w:val="en-US" w:eastAsia="zh-CN"/>
              </w:rPr>
              <w:t>1）</w:t>
            </w:r>
            <w:r>
              <w:rPr>
                <w:rFonts w:hint="default" w:ascii="Times New Roman" w:hAnsi="Times New Roman" w:eastAsia="宋体" w:cs="Times New Roman"/>
                <w:b/>
                <w:bCs/>
                <w:color w:val="auto"/>
                <w:sz w:val="21"/>
                <w:szCs w:val="21"/>
                <w:highlight w:val="none"/>
                <w:lang w:val="en-US" w:eastAsia="zh-CN"/>
              </w:rPr>
              <w:t>投料粉尘</w:t>
            </w:r>
            <w:r>
              <w:rPr>
                <w:rFonts w:hint="default" w:ascii="Times New Roman" w:hAnsi="Times New Roman" w:cs="Times New Roman"/>
                <w:b/>
                <w:bCs/>
                <w:color w:val="auto"/>
                <w:sz w:val="21"/>
                <w:szCs w:val="21"/>
                <w:highlight w:val="none"/>
              </w:rPr>
              <w:t>（G</w:t>
            </w:r>
            <w:r>
              <w:rPr>
                <w:rFonts w:hint="eastAsia" w:ascii="Times New Roman" w:cs="Times New Roman"/>
                <w:b/>
                <w:bCs/>
                <w:color w:val="auto"/>
                <w:sz w:val="21"/>
                <w:szCs w:val="21"/>
                <w:highlight w:val="none"/>
                <w:vertAlign w:val="subscript"/>
                <w:lang w:val="en-US" w:eastAsia="zh-CN"/>
              </w:rPr>
              <w:t>1</w:t>
            </w:r>
            <w:r>
              <w:rPr>
                <w:rFonts w:hint="default" w:ascii="Times New Roman" w:hAnsi="Times New Roman" w:cs="Times New Roman"/>
                <w:b/>
                <w:bCs/>
                <w:color w:val="auto"/>
                <w:sz w:val="21"/>
                <w:szCs w:val="21"/>
                <w:highlight w:val="none"/>
              </w:rPr>
              <w:t>）</w:t>
            </w:r>
          </w:p>
          <w:p>
            <w:pPr>
              <w:pStyle w:val="15"/>
              <w:keepNext w:val="0"/>
              <w:keepLines w:val="0"/>
              <w:pageBreakBefore w:val="0"/>
              <w:widowControl w:val="0"/>
              <w:tabs>
                <w:tab w:val="left" w:pos="1260"/>
              </w:tabs>
              <w:kinsoku/>
              <w:wordWrap/>
              <w:overflowPunct/>
              <w:topLinePunct w:val="0"/>
              <w:autoSpaceDE/>
              <w:autoSpaceDN/>
              <w:bidi w:val="0"/>
              <w:adjustRightInd/>
              <w:snapToGrid w:val="0"/>
              <w:spacing w:before="0" w:line="360" w:lineRule="auto"/>
              <w:ind w:left="0" w:leftChars="0" w:firstLine="436"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使用的石粉为粉状，在投料的过程中会产生少量的粉尘，参考《工业粉体下落过程粉尘排放特性的实验研究》（张桂芹、刘泽常、李敏，环境科学与技术第29卷第11期），实验结果表明粉尘产生量约0.318kg/t-原料。项目</w:t>
            </w:r>
            <w:r>
              <w:rPr>
                <w:rFonts w:hint="eastAsia" w:ascii="Times New Roman" w:cs="Times New Roman"/>
                <w:color w:val="auto"/>
                <w:sz w:val="21"/>
                <w:szCs w:val="21"/>
                <w:highlight w:val="none"/>
                <w:lang w:val="en-US" w:eastAsia="zh-CN"/>
              </w:rPr>
              <w:t>石粉</w:t>
            </w:r>
            <w:r>
              <w:rPr>
                <w:rFonts w:hint="default" w:ascii="Times New Roman" w:hAnsi="Times New Roman" w:eastAsia="宋体" w:cs="Times New Roman"/>
                <w:color w:val="auto"/>
                <w:sz w:val="21"/>
                <w:szCs w:val="21"/>
                <w:highlight w:val="none"/>
              </w:rPr>
              <w:t>总用量为</w:t>
            </w:r>
            <w:r>
              <w:rPr>
                <w:rFonts w:hint="eastAsia" w:ascii="Times New Roman"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rPr>
              <w:t>t/a，</w:t>
            </w:r>
            <w:r>
              <w:rPr>
                <w:rFonts w:hint="default" w:ascii="Times New Roman" w:hAnsi="Times New Roman" w:eastAsia="宋体" w:cs="Times New Roman"/>
                <w:color w:val="auto"/>
                <w:sz w:val="21"/>
                <w:szCs w:val="21"/>
                <w:highlight w:val="none"/>
                <w:lang w:val="en-US" w:eastAsia="zh-CN"/>
              </w:rPr>
              <w:t>则粉尘产生量为</w:t>
            </w:r>
            <w:r>
              <w:rPr>
                <w:rFonts w:hint="eastAsia" w:ascii="Times New Roman" w:cs="Times New Roman"/>
                <w:color w:val="auto"/>
                <w:sz w:val="21"/>
                <w:szCs w:val="21"/>
                <w:highlight w:val="none"/>
                <w:lang w:val="en-US" w:eastAsia="zh-CN"/>
              </w:rPr>
              <w:t>0.0019</w:t>
            </w:r>
            <w:r>
              <w:rPr>
                <w:rFonts w:hint="default" w:ascii="Times New Roman" w:hAnsi="Times New Roman" w:eastAsia="宋体" w:cs="Times New Roman"/>
                <w:color w:val="auto"/>
                <w:sz w:val="21"/>
                <w:szCs w:val="21"/>
                <w:highlight w:val="none"/>
                <w:lang w:val="en-US" w:eastAsia="zh-CN"/>
              </w:rPr>
              <w:t>t/a，</w:t>
            </w:r>
            <w:r>
              <w:rPr>
                <w:rFonts w:hint="eastAsia" w:ascii="Times New Roman" w:cs="Times New Roman"/>
                <w:color w:val="auto"/>
                <w:sz w:val="21"/>
                <w:szCs w:val="21"/>
                <w:highlight w:val="none"/>
                <w:lang w:val="en-US" w:eastAsia="zh-CN"/>
              </w:rPr>
              <w:t>项目设置移动式布袋除尘器，综合收集处理效率为80%，未被收集的粉尘呈无组织排放，无组织排放量为0.0004t/a。</w:t>
            </w:r>
          </w:p>
          <w:p>
            <w:pPr>
              <w:pStyle w:val="2"/>
              <w:adjustRightInd w:val="0"/>
              <w:snapToGrid w:val="0"/>
              <w:spacing w:line="360" w:lineRule="auto"/>
              <w:ind w:firstLine="480"/>
              <w:rPr>
                <w:rFonts w:ascii="Times New Roman" w:hAnsi="Times New Roman" w:eastAsia="宋体"/>
                <w:b/>
                <w:bCs/>
                <w:color w:val="auto"/>
                <w:sz w:val="21"/>
                <w:szCs w:val="21"/>
                <w:highlight w:val="none"/>
              </w:rPr>
            </w:pPr>
            <w:r>
              <w:rPr>
                <w:rFonts w:hint="eastAsia" w:ascii="Times New Roman" w:hAnsi="Times New Roman" w:eastAsia="宋体"/>
                <w:b/>
                <w:bCs/>
                <w:color w:val="auto"/>
                <w:sz w:val="21"/>
                <w:szCs w:val="21"/>
                <w:highlight w:val="none"/>
                <w:lang w:val="en-US" w:eastAsia="zh-CN"/>
              </w:rPr>
              <w:t>2</w:t>
            </w:r>
            <w:r>
              <w:rPr>
                <w:rFonts w:hint="eastAsia" w:ascii="Times New Roman" w:hAnsi="Times New Roman" w:eastAsia="宋体"/>
                <w:b/>
                <w:bCs/>
                <w:color w:val="auto"/>
                <w:sz w:val="21"/>
                <w:szCs w:val="21"/>
                <w:highlight w:val="none"/>
              </w:rPr>
              <w:t>）</w:t>
            </w:r>
            <w:r>
              <w:rPr>
                <w:rFonts w:hint="eastAsia" w:eastAsia="宋体"/>
                <w:b/>
                <w:bCs/>
                <w:color w:val="auto"/>
                <w:sz w:val="21"/>
                <w:szCs w:val="21"/>
                <w:highlight w:val="none"/>
                <w:lang w:val="en-US" w:eastAsia="zh-CN"/>
              </w:rPr>
              <w:t>挤出</w:t>
            </w:r>
            <w:r>
              <w:rPr>
                <w:rFonts w:eastAsia="宋体"/>
                <w:b/>
                <w:bCs/>
                <w:color w:val="auto"/>
                <w:sz w:val="21"/>
                <w:szCs w:val="21"/>
                <w:highlight w:val="none"/>
              </w:rPr>
              <w:t>成型</w:t>
            </w:r>
            <w:r>
              <w:rPr>
                <w:rFonts w:ascii="Times New Roman" w:hAnsi="Times New Roman" w:eastAsia="宋体"/>
                <w:b/>
                <w:bCs/>
                <w:color w:val="auto"/>
                <w:sz w:val="21"/>
                <w:szCs w:val="21"/>
                <w:highlight w:val="none"/>
              </w:rPr>
              <w:t>废气</w:t>
            </w:r>
            <w:r>
              <w:rPr>
                <w:rFonts w:hint="eastAsia" w:ascii="Times New Roman" w:hAnsi="Times New Roman" w:eastAsia="宋体"/>
                <w:b/>
                <w:bCs/>
                <w:color w:val="auto"/>
                <w:sz w:val="21"/>
                <w:szCs w:val="21"/>
                <w:highlight w:val="none"/>
              </w:rPr>
              <w:t>（G</w:t>
            </w:r>
            <w:r>
              <w:rPr>
                <w:rFonts w:hint="eastAsia" w:ascii="Times New Roman" w:hAnsi="Times New Roman" w:eastAsia="宋体"/>
                <w:b/>
                <w:bCs/>
                <w:color w:val="auto"/>
                <w:sz w:val="21"/>
                <w:szCs w:val="21"/>
                <w:highlight w:val="none"/>
                <w:vertAlign w:val="subscript"/>
                <w:lang w:val="en-US" w:eastAsia="zh-CN"/>
              </w:rPr>
              <w:t>2</w:t>
            </w:r>
            <w:r>
              <w:rPr>
                <w:rFonts w:hint="eastAsia" w:ascii="Times New Roman" w:hAnsi="Times New Roman" w:eastAsia="宋体"/>
                <w:b/>
                <w:bCs/>
                <w:color w:val="auto"/>
                <w:sz w:val="21"/>
                <w:szCs w:val="21"/>
                <w:highlight w:val="none"/>
              </w:rPr>
              <w:t>）</w:t>
            </w:r>
          </w:p>
          <w:p>
            <w:pPr>
              <w:pStyle w:val="6"/>
              <w:spacing w:line="360" w:lineRule="auto"/>
              <w:ind w:firstLine="480"/>
              <w:rPr>
                <w:rFonts w:hint="eastAsia"/>
                <w:color w:val="auto"/>
                <w:sz w:val="21"/>
                <w:szCs w:val="21"/>
                <w:highlight w:val="none"/>
              </w:rPr>
            </w:pPr>
            <w:r>
              <w:rPr>
                <w:rFonts w:hint="eastAsia"/>
                <w:color w:val="auto"/>
                <w:sz w:val="21"/>
                <w:szCs w:val="21"/>
                <w:highlight w:val="none"/>
              </w:rPr>
              <w:t>本项目</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rPr>
              <w:t>过程中塑料粒子在高温下</w:t>
            </w:r>
            <w:r>
              <w:rPr>
                <w:rFonts w:hint="eastAsia"/>
                <w:color w:val="auto"/>
                <w:sz w:val="21"/>
                <w:szCs w:val="21"/>
                <w:highlight w:val="none"/>
                <w:lang w:val="en-US" w:eastAsia="zh-CN"/>
              </w:rPr>
              <w:t>软化</w:t>
            </w:r>
            <w:r>
              <w:rPr>
                <w:rFonts w:hint="eastAsia"/>
                <w:color w:val="auto"/>
                <w:sz w:val="21"/>
                <w:szCs w:val="21"/>
                <w:highlight w:val="none"/>
              </w:rPr>
              <w:t>，</w:t>
            </w:r>
            <w:r>
              <w:rPr>
                <w:rFonts w:hint="eastAsia"/>
                <w:color w:val="auto"/>
                <w:sz w:val="21"/>
                <w:szCs w:val="21"/>
                <w:highlight w:val="none"/>
                <w:lang w:val="en-US" w:eastAsia="zh-CN"/>
              </w:rPr>
              <w:t>项目使用的EPS较稳定，温度达到250℃才会分解，本项目</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lang w:val="en-US" w:eastAsia="zh-CN"/>
              </w:rPr>
              <w:t>工序温度控制在110℃，因此EPS不会分解，产生的废气主要</w:t>
            </w:r>
            <w:r>
              <w:rPr>
                <w:rFonts w:hint="eastAsia"/>
                <w:color w:val="auto"/>
                <w:sz w:val="21"/>
                <w:szCs w:val="21"/>
                <w:highlight w:val="none"/>
              </w:rPr>
              <w:t>由于分子间的剪切挤压下发生断链、分解、降解过程中有少量的游离单体释放</w:t>
            </w:r>
            <w:r>
              <w:rPr>
                <w:rFonts w:hint="eastAsia"/>
                <w:color w:val="auto"/>
                <w:sz w:val="21"/>
                <w:szCs w:val="21"/>
                <w:highlight w:val="none"/>
                <w:lang w:eastAsia="zh-CN"/>
              </w:rPr>
              <w:t>，</w:t>
            </w:r>
            <w:r>
              <w:rPr>
                <w:rFonts w:hint="eastAsia"/>
                <w:color w:val="auto"/>
                <w:sz w:val="21"/>
                <w:szCs w:val="21"/>
                <w:highlight w:val="none"/>
                <w:lang w:val="en-US" w:eastAsia="zh-CN"/>
              </w:rPr>
              <w:t>绝大部分为非甲烷总烃类，另外EPS中会产生苯乙烯、甲苯、乙苯等极少量游离单体</w:t>
            </w:r>
            <w:r>
              <w:rPr>
                <w:rFonts w:hint="eastAsia"/>
                <w:color w:val="auto"/>
                <w:sz w:val="21"/>
                <w:szCs w:val="21"/>
                <w:highlight w:val="none"/>
              </w:rPr>
              <w:t>，由于加热温度</w:t>
            </w:r>
            <w:r>
              <w:rPr>
                <w:rFonts w:hint="eastAsia"/>
                <w:color w:val="auto"/>
                <w:sz w:val="21"/>
                <w:szCs w:val="21"/>
                <w:highlight w:val="none"/>
                <w:lang w:val="en-US" w:eastAsia="zh-CN"/>
              </w:rPr>
              <w:t>控制在110</w:t>
            </w:r>
            <w:r>
              <w:rPr>
                <w:color w:val="auto"/>
                <w:sz w:val="21"/>
                <w:szCs w:val="21"/>
                <w:highlight w:val="none"/>
              </w:rPr>
              <w:t>°C</w:t>
            </w:r>
            <w:r>
              <w:rPr>
                <w:rFonts w:hint="eastAsia"/>
                <w:color w:val="auto"/>
                <w:sz w:val="21"/>
                <w:szCs w:val="21"/>
                <w:highlight w:val="none"/>
                <w:lang w:val="en-US" w:eastAsia="zh-CN"/>
              </w:rPr>
              <w:t>左右</w:t>
            </w:r>
            <w:r>
              <w:rPr>
                <w:rFonts w:hint="eastAsia"/>
                <w:color w:val="auto"/>
                <w:sz w:val="21"/>
                <w:szCs w:val="21"/>
                <w:highlight w:val="none"/>
                <w:lang w:eastAsia="zh-CN"/>
              </w:rPr>
              <w:t>，</w:t>
            </w:r>
            <w:r>
              <w:rPr>
                <w:rFonts w:hint="eastAsia"/>
                <w:color w:val="auto"/>
                <w:sz w:val="21"/>
                <w:szCs w:val="21"/>
                <w:highlight w:val="none"/>
                <w:lang w:val="en-US" w:eastAsia="zh-CN"/>
              </w:rPr>
              <w:t>产生的苯乙烯、甲苯、乙苯等游离单体量</w:t>
            </w:r>
            <w:r>
              <w:rPr>
                <w:rFonts w:hint="eastAsia"/>
                <w:color w:val="auto"/>
                <w:sz w:val="21"/>
                <w:szCs w:val="21"/>
                <w:highlight w:val="none"/>
              </w:rPr>
              <w:t>极少，因此本次以非甲烷总烃进行定量评价，对</w:t>
            </w:r>
            <w:r>
              <w:rPr>
                <w:rFonts w:hint="eastAsia"/>
                <w:color w:val="auto"/>
                <w:sz w:val="21"/>
                <w:szCs w:val="21"/>
                <w:highlight w:val="none"/>
                <w:lang w:val="en-US" w:eastAsia="zh-CN"/>
              </w:rPr>
              <w:t>苯乙烯、甲苯、乙苯</w:t>
            </w:r>
            <w:r>
              <w:rPr>
                <w:rFonts w:hint="eastAsia"/>
                <w:color w:val="auto"/>
                <w:sz w:val="21"/>
                <w:szCs w:val="21"/>
                <w:highlight w:val="none"/>
              </w:rPr>
              <w:t>进行定性评价。根据《空气污染物排放和控制手册》（美国环保局）中推荐的有机废气产生系数为0.35kg/t-原料，本项目</w:t>
            </w:r>
            <w:r>
              <w:rPr>
                <w:rFonts w:hint="eastAsia"/>
                <w:color w:val="auto"/>
                <w:sz w:val="21"/>
                <w:szCs w:val="21"/>
                <w:highlight w:val="none"/>
                <w:lang w:val="en-US" w:eastAsia="zh-CN"/>
              </w:rPr>
              <w:t>EPS</w:t>
            </w:r>
            <w:r>
              <w:rPr>
                <w:rFonts w:hint="eastAsia"/>
                <w:color w:val="auto"/>
                <w:sz w:val="21"/>
                <w:szCs w:val="21"/>
                <w:highlight w:val="none"/>
              </w:rPr>
              <w:t>总用量为</w:t>
            </w:r>
            <w:r>
              <w:rPr>
                <w:rFonts w:hint="eastAsia"/>
                <w:color w:val="auto"/>
                <w:sz w:val="21"/>
                <w:szCs w:val="21"/>
                <w:highlight w:val="none"/>
                <w:lang w:val="en-US" w:eastAsia="zh-CN"/>
              </w:rPr>
              <w:t>1000</w:t>
            </w:r>
            <w:r>
              <w:rPr>
                <w:rFonts w:hint="eastAsia"/>
                <w:color w:val="auto"/>
                <w:sz w:val="21"/>
                <w:szCs w:val="21"/>
                <w:highlight w:val="none"/>
              </w:rPr>
              <w:t>t/a，则废气产生量约为</w:t>
            </w:r>
            <w:r>
              <w:rPr>
                <w:rFonts w:hint="eastAsia"/>
                <w:color w:val="auto"/>
                <w:sz w:val="21"/>
                <w:szCs w:val="21"/>
                <w:highlight w:val="none"/>
                <w:lang w:val="en-US" w:eastAsia="zh-CN"/>
              </w:rPr>
              <w:t>0.35</w:t>
            </w:r>
            <w:r>
              <w:rPr>
                <w:rFonts w:hint="eastAsia"/>
                <w:color w:val="auto"/>
                <w:sz w:val="21"/>
                <w:szCs w:val="21"/>
                <w:highlight w:val="none"/>
              </w:rPr>
              <w:t>t/a。</w:t>
            </w:r>
          </w:p>
          <w:p>
            <w:pPr>
              <w:pStyle w:val="6"/>
              <w:spacing w:line="360" w:lineRule="auto"/>
              <w:ind w:firstLine="480"/>
              <w:rPr>
                <w:rFonts w:hint="default" w:eastAsia="宋体"/>
                <w:color w:val="auto"/>
                <w:sz w:val="21"/>
                <w:szCs w:val="21"/>
                <w:highlight w:val="none"/>
                <w:lang w:val="en-US" w:eastAsia="zh-CN"/>
              </w:rPr>
            </w:pPr>
            <w:r>
              <w:rPr>
                <w:rFonts w:hint="eastAsia"/>
                <w:color w:val="auto"/>
                <w:sz w:val="21"/>
                <w:szCs w:val="21"/>
                <w:highlight w:val="none"/>
                <w:lang w:val="en-US" w:eastAsia="zh-CN"/>
              </w:rPr>
              <w:t>另外会挥发出来少量的发泡剂（环戊烷），以非甲烷总烃计，发泡剂大多留在产品中，挥发量较少。参考《青岛益浩丰防腐保温工程EPS聚苯板项目》，发泡剂（环戊烷）利用率均≥99.9%，项目EPS</w:t>
            </w:r>
            <w:r>
              <w:rPr>
                <w:rFonts w:hint="eastAsia"/>
                <w:color w:val="auto"/>
                <w:sz w:val="21"/>
                <w:szCs w:val="21"/>
                <w:highlight w:val="none"/>
              </w:rPr>
              <w:t>总用量为</w:t>
            </w:r>
            <w:r>
              <w:rPr>
                <w:rFonts w:hint="eastAsia"/>
                <w:color w:val="auto"/>
                <w:sz w:val="21"/>
                <w:szCs w:val="21"/>
                <w:highlight w:val="none"/>
                <w:lang w:val="en-US" w:eastAsia="zh-CN"/>
              </w:rPr>
              <w:t>1000</w:t>
            </w:r>
            <w:r>
              <w:rPr>
                <w:rFonts w:hint="eastAsia"/>
                <w:color w:val="auto"/>
                <w:sz w:val="21"/>
                <w:szCs w:val="21"/>
                <w:highlight w:val="none"/>
              </w:rPr>
              <w:t>t/a，</w:t>
            </w:r>
            <w:r>
              <w:rPr>
                <w:rFonts w:hint="eastAsia"/>
                <w:color w:val="auto"/>
                <w:sz w:val="21"/>
                <w:szCs w:val="21"/>
                <w:highlight w:val="none"/>
                <w:lang w:val="en-US" w:eastAsia="zh-CN"/>
              </w:rPr>
              <w:t>发泡剂（环戊烷）含量按照8%计算，则</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lang w:val="en-US" w:eastAsia="zh-CN"/>
              </w:rPr>
              <w:t>工序挥发的环戊烷量为0.08t/a。</w:t>
            </w:r>
          </w:p>
          <w:p>
            <w:pPr>
              <w:pStyle w:val="6"/>
              <w:spacing w:line="360" w:lineRule="auto"/>
              <w:ind w:firstLine="480"/>
              <w:rPr>
                <w:rFonts w:hint="eastAsia"/>
                <w:color w:val="auto"/>
                <w:sz w:val="21"/>
                <w:szCs w:val="21"/>
                <w:highlight w:val="none"/>
              </w:rPr>
            </w:pPr>
            <w:r>
              <w:rPr>
                <w:rFonts w:hint="eastAsia"/>
                <w:color w:val="auto"/>
                <w:sz w:val="21"/>
                <w:szCs w:val="21"/>
                <w:highlight w:val="none"/>
                <w:lang w:val="en-US" w:eastAsia="zh-CN"/>
              </w:rPr>
              <w:t>综上，</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lang w:val="en-US" w:eastAsia="zh-CN"/>
              </w:rPr>
              <w:t>工序产生的非甲烷总烃量</w:t>
            </w:r>
            <w:r>
              <w:rPr>
                <w:rFonts w:hint="eastAsia"/>
                <w:color w:val="auto"/>
                <w:sz w:val="21"/>
                <w:szCs w:val="21"/>
                <w:highlight w:val="none"/>
                <w:lang w:val="en-US" w:eastAsia="zh-CN"/>
              </w:rPr>
              <w:t>为0.43t/a</w:t>
            </w:r>
            <w:r>
              <w:rPr>
                <w:rFonts w:hint="eastAsia"/>
                <w:color w:val="auto"/>
                <w:sz w:val="21"/>
                <w:szCs w:val="21"/>
                <w:highlight w:val="none"/>
              </w:rPr>
              <w:t>，</w:t>
            </w:r>
            <w:bookmarkStart w:id="8" w:name="OLE_LINK3"/>
            <w:r>
              <w:rPr>
                <w:rFonts w:hint="eastAsia"/>
                <w:color w:val="auto"/>
                <w:sz w:val="21"/>
                <w:szCs w:val="21"/>
                <w:highlight w:val="none"/>
              </w:rPr>
              <w:t>产</w:t>
            </w:r>
            <w:r>
              <w:rPr>
                <w:rFonts w:hint="eastAsia"/>
                <w:color w:val="auto"/>
                <w:sz w:val="21"/>
                <w:szCs w:val="21"/>
                <w:highlight w:val="none"/>
              </w:rPr>
              <w:t>生的废气经半密闭集气罩收集（收集效率为</w:t>
            </w:r>
            <w:r>
              <w:rPr>
                <w:rFonts w:hint="eastAsia"/>
                <w:color w:val="auto"/>
                <w:sz w:val="21"/>
                <w:szCs w:val="21"/>
                <w:highlight w:val="none"/>
                <w:lang w:val="en-US" w:eastAsia="zh-CN"/>
              </w:rPr>
              <w:t>90</w:t>
            </w:r>
            <w:r>
              <w:rPr>
                <w:rFonts w:hint="eastAsia"/>
                <w:color w:val="auto"/>
                <w:sz w:val="21"/>
                <w:szCs w:val="21"/>
                <w:highlight w:val="none"/>
              </w:rPr>
              <w:t>%）后经二级活性炭吸附装置处理（处理效率为</w:t>
            </w:r>
            <w:r>
              <w:rPr>
                <w:rFonts w:hint="eastAsia"/>
                <w:color w:val="auto"/>
                <w:sz w:val="21"/>
                <w:szCs w:val="21"/>
                <w:highlight w:val="none"/>
                <w:lang w:val="en-US" w:eastAsia="zh-CN"/>
              </w:rPr>
              <w:t>90</w:t>
            </w:r>
            <w:r>
              <w:rPr>
                <w:rFonts w:hint="eastAsia"/>
                <w:color w:val="auto"/>
                <w:sz w:val="21"/>
                <w:szCs w:val="21"/>
                <w:highlight w:val="none"/>
              </w:rPr>
              <w:t>%），处理后的废气经</w:t>
            </w:r>
            <w:r>
              <w:rPr>
                <w:rFonts w:hint="eastAsia"/>
                <w:color w:val="auto"/>
                <w:sz w:val="21"/>
                <w:szCs w:val="21"/>
                <w:highlight w:val="none"/>
                <w:lang w:val="en-US" w:eastAsia="zh-CN"/>
              </w:rPr>
              <w:t>DA001</w:t>
            </w:r>
            <w:r>
              <w:rPr>
                <w:rFonts w:hint="eastAsia"/>
                <w:color w:val="auto"/>
                <w:sz w:val="21"/>
                <w:szCs w:val="21"/>
                <w:highlight w:val="none"/>
              </w:rPr>
              <w:t>排气筒（1</w:t>
            </w:r>
            <w:r>
              <w:rPr>
                <w:rFonts w:hint="eastAsia"/>
                <w:color w:val="auto"/>
                <w:sz w:val="21"/>
                <w:szCs w:val="21"/>
                <w:highlight w:val="none"/>
                <w:lang w:val="en-US" w:eastAsia="zh-CN"/>
              </w:rPr>
              <w:t>8</w:t>
            </w:r>
            <w:r>
              <w:rPr>
                <w:rFonts w:hint="eastAsia"/>
                <w:color w:val="auto"/>
                <w:sz w:val="21"/>
                <w:szCs w:val="21"/>
                <w:highlight w:val="none"/>
              </w:rPr>
              <w:t>m）排放，风量为</w:t>
            </w:r>
            <w:r>
              <w:rPr>
                <w:rFonts w:hint="eastAsia"/>
                <w:color w:val="auto"/>
                <w:sz w:val="21"/>
                <w:szCs w:val="21"/>
                <w:highlight w:val="none"/>
                <w:lang w:val="en-US" w:eastAsia="zh-CN"/>
              </w:rPr>
              <w:t>8</w:t>
            </w:r>
            <w:r>
              <w:rPr>
                <w:rFonts w:hint="eastAsia"/>
                <w:color w:val="auto"/>
                <w:sz w:val="21"/>
                <w:szCs w:val="21"/>
                <w:highlight w:val="none"/>
              </w:rPr>
              <w:t>000m</w:t>
            </w:r>
            <w:r>
              <w:rPr>
                <w:rFonts w:hint="eastAsia"/>
                <w:color w:val="auto"/>
                <w:sz w:val="21"/>
                <w:szCs w:val="21"/>
                <w:highlight w:val="none"/>
                <w:vertAlign w:val="superscript"/>
              </w:rPr>
              <w:t>3</w:t>
            </w:r>
            <w:r>
              <w:rPr>
                <w:rFonts w:hint="eastAsia"/>
                <w:color w:val="auto"/>
                <w:sz w:val="21"/>
                <w:szCs w:val="21"/>
                <w:highlight w:val="none"/>
              </w:rPr>
              <w:t>/h。则非甲烷总烃有组织产生量</w:t>
            </w:r>
            <w:r>
              <w:rPr>
                <w:rFonts w:hint="eastAsia"/>
                <w:color w:val="auto"/>
                <w:sz w:val="21"/>
                <w:szCs w:val="21"/>
                <w:highlight w:val="none"/>
              </w:rPr>
              <w:t>为</w:t>
            </w:r>
            <w:r>
              <w:rPr>
                <w:rFonts w:hint="eastAsia"/>
                <w:color w:val="auto"/>
                <w:sz w:val="21"/>
                <w:szCs w:val="21"/>
                <w:highlight w:val="none"/>
                <w:lang w:val="en-US" w:eastAsia="zh-CN"/>
              </w:rPr>
              <w:t>0.387</w:t>
            </w:r>
            <w:r>
              <w:rPr>
                <w:rFonts w:hint="eastAsia"/>
                <w:color w:val="auto"/>
                <w:sz w:val="21"/>
                <w:szCs w:val="21"/>
                <w:highlight w:val="none"/>
              </w:rPr>
              <w:t>t/a</w:t>
            </w:r>
            <w:r>
              <w:rPr>
                <w:rFonts w:hint="eastAsia"/>
                <w:color w:val="auto"/>
                <w:sz w:val="21"/>
                <w:szCs w:val="21"/>
                <w:highlight w:val="none"/>
              </w:rPr>
              <w:t>，</w:t>
            </w:r>
            <w:bookmarkEnd w:id="8"/>
            <w:r>
              <w:rPr>
                <w:rFonts w:hint="eastAsia"/>
                <w:color w:val="auto"/>
                <w:sz w:val="21"/>
                <w:szCs w:val="21"/>
                <w:highlight w:val="none"/>
              </w:rPr>
              <w:t>产生速率为</w:t>
            </w:r>
            <w:r>
              <w:rPr>
                <w:rFonts w:hint="eastAsia"/>
                <w:color w:val="auto"/>
                <w:sz w:val="21"/>
                <w:szCs w:val="21"/>
                <w:highlight w:val="none"/>
                <w:lang w:val="en-US" w:eastAsia="zh-CN"/>
              </w:rPr>
              <w:t>0.054</w:t>
            </w:r>
            <w:r>
              <w:rPr>
                <w:rFonts w:hint="eastAsia"/>
                <w:color w:val="auto"/>
                <w:sz w:val="21"/>
                <w:szCs w:val="21"/>
                <w:highlight w:val="none"/>
              </w:rPr>
              <w:t>k</w:t>
            </w:r>
            <w:r>
              <w:rPr>
                <w:rFonts w:hint="eastAsia"/>
                <w:color w:val="auto"/>
                <w:sz w:val="21"/>
                <w:szCs w:val="21"/>
                <w:highlight w:val="none"/>
              </w:rPr>
              <w:t>g/h，产生浓度</w:t>
            </w:r>
            <w:r>
              <w:rPr>
                <w:rFonts w:hint="eastAsia"/>
                <w:color w:val="auto"/>
                <w:sz w:val="21"/>
                <w:szCs w:val="21"/>
                <w:highlight w:val="none"/>
                <w:lang w:val="en-US" w:eastAsia="zh-CN"/>
              </w:rPr>
              <w:t>6.719</w:t>
            </w:r>
            <w:r>
              <w:rPr>
                <w:rFonts w:hint="eastAsia"/>
                <w:color w:val="auto"/>
                <w:sz w:val="21"/>
                <w:szCs w:val="21"/>
                <w:highlight w:val="none"/>
              </w:rPr>
              <w:t>mg/m</w:t>
            </w:r>
            <w:r>
              <w:rPr>
                <w:rFonts w:hint="eastAsia"/>
                <w:color w:val="auto"/>
                <w:sz w:val="21"/>
                <w:szCs w:val="21"/>
                <w:highlight w:val="none"/>
                <w:vertAlign w:val="superscript"/>
              </w:rPr>
              <w:t>3</w:t>
            </w:r>
            <w:r>
              <w:rPr>
                <w:rFonts w:hint="eastAsia"/>
                <w:color w:val="auto"/>
                <w:sz w:val="21"/>
                <w:szCs w:val="21"/>
                <w:highlight w:val="none"/>
              </w:rPr>
              <w:t>，排放量</w:t>
            </w:r>
            <w:r>
              <w:rPr>
                <w:rFonts w:hint="eastAsia"/>
                <w:color w:val="auto"/>
                <w:sz w:val="21"/>
                <w:szCs w:val="21"/>
                <w:highlight w:val="none"/>
              </w:rPr>
              <w:t>为</w:t>
            </w:r>
            <w:r>
              <w:rPr>
                <w:rFonts w:hint="eastAsia"/>
                <w:color w:val="auto"/>
                <w:sz w:val="21"/>
                <w:szCs w:val="21"/>
                <w:highlight w:val="none"/>
                <w:lang w:val="en-US" w:eastAsia="zh-CN"/>
              </w:rPr>
              <w:t>0.039</w:t>
            </w:r>
            <w:r>
              <w:rPr>
                <w:rFonts w:hint="eastAsia"/>
                <w:color w:val="auto"/>
                <w:sz w:val="21"/>
                <w:szCs w:val="21"/>
                <w:highlight w:val="none"/>
              </w:rPr>
              <w:t>t/</w:t>
            </w:r>
            <w:r>
              <w:rPr>
                <w:rFonts w:hint="eastAsia"/>
                <w:color w:val="auto"/>
                <w:sz w:val="21"/>
                <w:szCs w:val="21"/>
                <w:highlight w:val="none"/>
              </w:rPr>
              <w:t>a，排放速率</w:t>
            </w:r>
            <w:r>
              <w:rPr>
                <w:rFonts w:hint="eastAsia"/>
                <w:color w:val="auto"/>
                <w:sz w:val="21"/>
                <w:szCs w:val="21"/>
                <w:highlight w:val="none"/>
              </w:rPr>
              <w:t>为</w:t>
            </w:r>
            <w:r>
              <w:rPr>
                <w:rFonts w:hint="eastAsia"/>
                <w:color w:val="auto"/>
                <w:sz w:val="21"/>
                <w:szCs w:val="21"/>
                <w:highlight w:val="none"/>
                <w:lang w:val="en-US" w:eastAsia="zh-CN"/>
              </w:rPr>
              <w:t>0.0054</w:t>
            </w:r>
            <w:r>
              <w:rPr>
                <w:rFonts w:hint="eastAsia"/>
                <w:color w:val="auto"/>
                <w:sz w:val="21"/>
                <w:szCs w:val="21"/>
                <w:highlight w:val="none"/>
              </w:rPr>
              <w:t>kg</w:t>
            </w:r>
            <w:r>
              <w:rPr>
                <w:rFonts w:hint="eastAsia"/>
                <w:color w:val="auto"/>
                <w:sz w:val="21"/>
                <w:szCs w:val="21"/>
                <w:highlight w:val="none"/>
              </w:rPr>
              <w:t>/h，排放浓度</w:t>
            </w:r>
            <w:r>
              <w:rPr>
                <w:rFonts w:hint="eastAsia"/>
                <w:color w:val="auto"/>
                <w:sz w:val="21"/>
                <w:szCs w:val="21"/>
                <w:highlight w:val="none"/>
                <w:lang w:val="en-US" w:eastAsia="zh-CN"/>
              </w:rPr>
              <w:t>0.677</w:t>
            </w:r>
            <w:r>
              <w:rPr>
                <w:rFonts w:hint="eastAsia"/>
                <w:color w:val="auto"/>
                <w:sz w:val="21"/>
                <w:szCs w:val="21"/>
                <w:highlight w:val="none"/>
              </w:rPr>
              <w:t>mg</w:t>
            </w:r>
            <w:r>
              <w:rPr>
                <w:rFonts w:hint="eastAsia"/>
                <w:color w:val="auto"/>
                <w:sz w:val="21"/>
                <w:szCs w:val="21"/>
                <w:highlight w:val="none"/>
              </w:rPr>
              <w:t>/m</w:t>
            </w:r>
            <w:r>
              <w:rPr>
                <w:rFonts w:hint="eastAsia"/>
                <w:color w:val="auto"/>
                <w:sz w:val="21"/>
                <w:szCs w:val="21"/>
                <w:highlight w:val="none"/>
                <w:vertAlign w:val="superscript"/>
              </w:rPr>
              <w:t>3</w:t>
            </w:r>
            <w:r>
              <w:rPr>
                <w:rFonts w:hint="eastAsia"/>
                <w:color w:val="auto"/>
                <w:sz w:val="21"/>
                <w:szCs w:val="21"/>
                <w:highlight w:val="none"/>
              </w:rPr>
              <w:t>。未被收集的废气以无组织的形式在车间排放，排放量为</w:t>
            </w:r>
            <w:r>
              <w:rPr>
                <w:rFonts w:hint="eastAsia"/>
                <w:color w:val="auto"/>
                <w:sz w:val="21"/>
                <w:szCs w:val="21"/>
                <w:highlight w:val="none"/>
                <w:lang w:val="en-US" w:eastAsia="zh-CN"/>
              </w:rPr>
              <w:t>0.043</w:t>
            </w:r>
            <w:r>
              <w:rPr>
                <w:rFonts w:hint="eastAsia"/>
                <w:color w:val="auto"/>
                <w:sz w:val="21"/>
                <w:szCs w:val="21"/>
                <w:highlight w:val="none"/>
              </w:rPr>
              <w:t>t/a</w:t>
            </w:r>
            <w:r>
              <w:rPr>
                <w:rFonts w:hint="eastAsia"/>
                <w:color w:val="auto"/>
                <w:sz w:val="21"/>
                <w:szCs w:val="21"/>
                <w:highlight w:val="none"/>
              </w:rPr>
              <w:t>，排放速率为</w:t>
            </w:r>
            <w:r>
              <w:rPr>
                <w:rFonts w:hint="eastAsia"/>
                <w:color w:val="auto"/>
                <w:sz w:val="21"/>
                <w:szCs w:val="21"/>
                <w:highlight w:val="none"/>
              </w:rPr>
              <w:t>0.0</w:t>
            </w:r>
            <w:r>
              <w:rPr>
                <w:rFonts w:hint="eastAsia"/>
                <w:color w:val="auto"/>
                <w:sz w:val="21"/>
                <w:szCs w:val="21"/>
                <w:highlight w:val="none"/>
                <w:lang w:val="en-US" w:eastAsia="zh-CN"/>
              </w:rPr>
              <w:t>06</w:t>
            </w:r>
            <w:r>
              <w:rPr>
                <w:rFonts w:hint="eastAsia"/>
                <w:color w:val="auto"/>
                <w:sz w:val="21"/>
                <w:szCs w:val="21"/>
                <w:highlight w:val="none"/>
              </w:rPr>
              <w:t>kg/h。</w:t>
            </w:r>
          </w:p>
          <w:p>
            <w:pPr>
              <w:pStyle w:val="6"/>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由于苯乙烯、甲苯、乙苯等产生量极少，对环境影响不大，故本次不做定量分析。</w:t>
            </w:r>
          </w:p>
          <w:p>
            <w:pPr>
              <w:pStyle w:val="2"/>
              <w:spacing w:line="360" w:lineRule="auto"/>
              <w:ind w:firstLine="420" w:firstLineChars="200"/>
              <w:rPr>
                <w:rFonts w:hint="eastAsia" w:ascii="Times New Roman" w:hAnsi="Times New Roman" w:eastAsia="宋体" w:cs="Times New Roman"/>
                <w:b w:val="0"/>
                <w:bCs/>
                <w:color w:val="auto"/>
                <w:sz w:val="21"/>
                <w:szCs w:val="21"/>
                <w:highlight w:val="none"/>
                <w:lang w:val="en-US" w:eastAsia="zh-CN"/>
              </w:rPr>
            </w:pPr>
            <w:r>
              <w:rPr>
                <w:rFonts w:hint="eastAsia" w:ascii="Times New Roman" w:hAnsi="Times New Roman" w:eastAsia="宋体" w:cs="Times New Roman"/>
                <w:b w:val="0"/>
                <w:bCs/>
                <w:color w:val="auto"/>
                <w:sz w:val="21"/>
                <w:szCs w:val="21"/>
                <w:highlight w:val="none"/>
                <w:lang w:val="en-US" w:eastAsia="zh-CN"/>
              </w:rPr>
              <w:t>根据工程分析可知，项目有机物物料平衡图如下所示。</w:t>
            </w:r>
          </w:p>
          <w:p>
            <w:pPr>
              <w:jc w:val="center"/>
              <w:rPr>
                <w:rFonts w:hint="eastAsia"/>
                <w:color w:val="auto"/>
                <w:lang w:val="en-US" w:eastAsia="zh-CN"/>
              </w:rPr>
            </w:pPr>
            <w:r>
              <w:rPr>
                <w:rFonts w:hint="eastAsia" w:ascii="Times New Roman" w:hAnsi="Times New Roman" w:eastAsia="宋体" w:cs="Times New Roman"/>
                <w:b w:val="0"/>
                <w:bCs/>
                <w:color w:val="auto"/>
                <w:sz w:val="21"/>
                <w:szCs w:val="21"/>
                <w:highlight w:val="none"/>
                <w:lang w:val="en-US" w:eastAsia="zh-CN"/>
              </w:rPr>
              <w:object>
                <v:shape id="_x0000_i1027" o:spt="75" type="#_x0000_t75" style="height:121.55pt;width:398.25pt;" o:ole="t" filled="f" o:preferrelative="t" stroked="t" coordsize="21600,21600">
                  <v:path/>
                  <v:fill on="f" focussize="0,0"/>
                  <v:stroke color="#000000" joinstyle="miter"/>
                  <v:imagedata r:id="rId12" o:title=""/>
                  <o:lock v:ext="edit" aspectratio="f"/>
                  <w10:wrap type="none"/>
                  <w10:anchorlock/>
                </v:shape>
                <o:OLEObject Type="Embed" ProgID="Visio.Drawing.11" ShapeID="_x0000_i1027" DrawAspect="Content" ObjectID="_1468075727" r:id="rId11">
                  <o:LockedField>false</o:LockedField>
                </o:OLEObject>
              </w:object>
            </w:r>
          </w:p>
          <w:p>
            <w:pPr>
              <w:jc w:val="center"/>
              <w:rPr>
                <w:rFonts w:hint="default"/>
                <w:color w:val="auto"/>
                <w:lang w:val="en-US" w:eastAsia="zh-CN"/>
              </w:rPr>
            </w:pPr>
            <w:r>
              <w:rPr>
                <w:rFonts w:hint="eastAsia"/>
                <w:b/>
                <w:bCs/>
                <w:color w:val="auto"/>
                <w:lang w:val="en-US" w:eastAsia="zh-CN"/>
              </w:rPr>
              <w:t>图4-1 有机物物料平衡图  t/a</w:t>
            </w:r>
          </w:p>
          <w:p>
            <w:pPr>
              <w:numPr>
                <w:ilvl w:val="0"/>
                <w:numId w:val="4"/>
              </w:numPr>
              <w:adjustRightInd w:val="0"/>
              <w:snapToGrid w:val="0"/>
              <w:spacing w:line="360" w:lineRule="auto"/>
              <w:ind w:firstLine="422" w:firstLineChars="200"/>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破碎粉尘（G</w:t>
            </w:r>
            <w:r>
              <w:rPr>
                <w:rFonts w:hint="default" w:ascii="Times New Roman" w:hAnsi="Times New Roman" w:cs="Times New Roman"/>
                <w:b/>
                <w:bCs/>
                <w:color w:val="auto"/>
                <w:sz w:val="21"/>
                <w:szCs w:val="21"/>
                <w:highlight w:val="none"/>
                <w:vertAlign w:val="subscript"/>
                <w:lang w:val="en-US" w:eastAsia="zh-CN"/>
              </w:rPr>
              <w:t>3</w:t>
            </w:r>
            <w:r>
              <w:rPr>
                <w:rFonts w:hint="default" w:ascii="Times New Roman" w:hAnsi="Times New Roman" w:cs="Times New Roman"/>
                <w:b/>
                <w:bCs/>
                <w:color w:val="auto"/>
                <w:sz w:val="21"/>
                <w:szCs w:val="21"/>
                <w:highlight w:val="none"/>
              </w:rPr>
              <w:t>）</w:t>
            </w:r>
          </w:p>
          <w:p>
            <w:pPr>
              <w:pStyle w:val="15"/>
              <w:tabs>
                <w:tab w:val="left" w:pos="1260"/>
              </w:tabs>
              <w:snapToGrid w:val="0"/>
              <w:spacing w:before="0" w:line="360" w:lineRule="auto"/>
              <w:ind w:firstLine="496"/>
              <w:rPr>
                <w:rFonts w:hint="default" w:ascii="Times New Roman" w:hAnsi="Times New Roman" w:eastAsia="宋体" w:cs="Times New Roman"/>
                <w:color w:val="auto"/>
                <w:spacing w:val="0"/>
                <w:sz w:val="21"/>
                <w:szCs w:val="21"/>
                <w:highlight w:val="none"/>
                <w:lang w:val="en-US" w:eastAsia="zh-CN"/>
              </w:rPr>
            </w:pPr>
            <w:r>
              <w:rPr>
                <w:rFonts w:ascii="Times New Roman"/>
                <w:color w:val="auto"/>
                <w:sz w:val="21"/>
                <w:szCs w:val="21"/>
                <w:highlight w:val="none"/>
              </w:rPr>
              <w:t>本项目</w:t>
            </w:r>
            <w:r>
              <w:rPr>
                <w:rFonts w:hint="eastAsia" w:ascii="Times New Roman"/>
                <w:color w:val="auto"/>
                <w:sz w:val="21"/>
                <w:szCs w:val="21"/>
                <w:highlight w:val="none"/>
              </w:rPr>
              <w:t>生产过程中产生的边角料及不合格品</w:t>
            </w:r>
            <w:r>
              <w:rPr>
                <w:rFonts w:ascii="Times New Roman"/>
                <w:color w:val="auto"/>
                <w:sz w:val="21"/>
                <w:szCs w:val="21"/>
                <w:highlight w:val="none"/>
              </w:rPr>
              <w:t>将采用破碎回用的方法，在破碎过程中将会有少量粉尘产生，</w:t>
            </w:r>
            <w:r>
              <w:rPr>
                <w:rFonts w:hint="eastAsia" w:ascii="Times New Roman"/>
                <w:color w:val="auto"/>
                <w:sz w:val="21"/>
                <w:szCs w:val="21"/>
                <w:highlight w:val="none"/>
                <w:lang w:val="en-US" w:eastAsia="zh-CN"/>
              </w:rPr>
              <w:t>项目设置1台小型破碎机，</w:t>
            </w:r>
            <w:r>
              <w:rPr>
                <w:rFonts w:ascii="Times New Roman"/>
                <w:color w:val="auto"/>
                <w:sz w:val="21"/>
                <w:szCs w:val="21"/>
                <w:highlight w:val="none"/>
              </w:rPr>
              <w:t>破碎工序</w:t>
            </w:r>
            <w:r>
              <w:rPr>
                <w:rFonts w:hint="eastAsia" w:ascii="Times New Roman"/>
                <w:color w:val="auto"/>
                <w:sz w:val="21"/>
                <w:szCs w:val="21"/>
                <w:highlight w:val="none"/>
                <w:lang w:val="en-US" w:eastAsia="zh-CN"/>
              </w:rPr>
              <w:t>半</w:t>
            </w:r>
            <w:r>
              <w:rPr>
                <w:rFonts w:ascii="Times New Roman"/>
                <w:color w:val="auto"/>
                <w:sz w:val="21"/>
                <w:szCs w:val="21"/>
                <w:highlight w:val="none"/>
              </w:rPr>
              <w:t>密闭进行。根据建设单位提供资料，本项目不合格</w:t>
            </w:r>
            <w:r>
              <w:rPr>
                <w:rFonts w:hint="eastAsia" w:ascii="Times New Roman"/>
                <w:color w:val="auto"/>
                <w:sz w:val="21"/>
                <w:szCs w:val="21"/>
                <w:highlight w:val="none"/>
              </w:rPr>
              <w:t>品产生量为</w:t>
            </w:r>
            <w:r>
              <w:rPr>
                <w:rFonts w:hint="eastAsia" w:ascii="Times New Roman"/>
                <w:color w:val="auto"/>
                <w:sz w:val="21"/>
                <w:szCs w:val="21"/>
                <w:highlight w:val="none"/>
                <w:lang w:val="en-US" w:eastAsia="zh-CN"/>
              </w:rPr>
              <w:t>约为原料用量的0.05%，则不合格品产生量</w:t>
            </w:r>
            <w:r>
              <w:rPr>
                <w:rFonts w:hint="eastAsia" w:ascii="Times New Roman"/>
                <w:color w:val="auto"/>
                <w:sz w:val="21"/>
                <w:szCs w:val="21"/>
                <w:highlight w:val="none"/>
              </w:rPr>
              <w:t>5t/a，边角料产生量</w:t>
            </w:r>
            <w:r>
              <w:rPr>
                <w:rFonts w:hint="eastAsia" w:ascii="Times New Roman"/>
                <w:color w:val="auto"/>
                <w:sz w:val="21"/>
                <w:szCs w:val="21"/>
                <w:highlight w:val="none"/>
                <w:lang w:val="en-US" w:eastAsia="zh-CN"/>
              </w:rPr>
              <w:t>约为原料用量的0.1%，则</w:t>
            </w:r>
            <w:r>
              <w:rPr>
                <w:rFonts w:hint="eastAsia" w:ascii="Times New Roman"/>
                <w:color w:val="auto"/>
                <w:sz w:val="21"/>
                <w:szCs w:val="21"/>
                <w:highlight w:val="none"/>
              </w:rPr>
              <w:t>边角料产生量为</w:t>
            </w:r>
            <w:r>
              <w:rPr>
                <w:rFonts w:hint="eastAsia" w:ascii="Times New Roman"/>
                <w:color w:val="auto"/>
                <w:sz w:val="21"/>
                <w:szCs w:val="21"/>
                <w:highlight w:val="none"/>
                <w:lang w:val="en-US" w:eastAsia="zh-CN"/>
              </w:rPr>
              <w:t>10</w:t>
            </w:r>
            <w:r>
              <w:rPr>
                <w:rFonts w:hint="eastAsia" w:ascii="Times New Roman"/>
                <w:color w:val="auto"/>
                <w:sz w:val="21"/>
                <w:szCs w:val="21"/>
                <w:highlight w:val="none"/>
              </w:rPr>
              <w:t>t/a，因此需破碎的工件量为15t/a。</w:t>
            </w:r>
            <w:r>
              <w:rPr>
                <w:rFonts w:ascii="Times New Roman"/>
                <w:color w:val="auto"/>
                <w:sz w:val="21"/>
                <w:szCs w:val="21"/>
                <w:highlight w:val="none"/>
              </w:rPr>
              <w:t>参照《滁州市立鸿精密塑胶模具有限公司年产150套精密塑</w:t>
            </w:r>
            <w:r>
              <w:rPr>
                <w:rFonts w:hint="default" w:ascii="Times New Roman" w:hAnsi="Times New Roman" w:eastAsia="宋体" w:cs="Times New Roman"/>
                <w:color w:val="auto"/>
                <w:sz w:val="21"/>
                <w:szCs w:val="21"/>
                <w:highlight w:val="none"/>
              </w:rPr>
              <w:t>胶模具及2500万套精密塑胶件加工项目》，过程</w:t>
            </w:r>
            <w:r>
              <w:rPr>
                <w:rFonts w:hint="default" w:ascii="Times New Roman" w:hAnsi="Times New Roman" w:eastAsia="宋体" w:cs="Times New Roman"/>
                <w:color w:val="auto"/>
                <w:spacing w:val="0"/>
                <w:sz w:val="21"/>
                <w:szCs w:val="21"/>
                <w:highlight w:val="none"/>
              </w:rPr>
              <w:t>产生的粉尘量按1.5kg/t计。</w:t>
            </w:r>
            <w:r>
              <w:rPr>
                <w:rFonts w:hint="default" w:ascii="Times New Roman" w:hAnsi="Times New Roman" w:eastAsia="宋体" w:cs="Times New Roman"/>
                <w:color w:val="auto"/>
                <w:sz w:val="21"/>
                <w:szCs w:val="21"/>
                <w:highlight w:val="none"/>
              </w:rPr>
              <w:t>本项目破碎工序为</w:t>
            </w:r>
            <w:r>
              <w:rPr>
                <w:rFonts w:hint="eastAsia" w:ascii="Times New Roman" w:cs="Times New Roman"/>
                <w:color w:val="auto"/>
                <w:sz w:val="21"/>
                <w:szCs w:val="21"/>
                <w:highlight w:val="none"/>
                <w:lang w:val="en-US" w:eastAsia="zh-CN"/>
              </w:rPr>
              <w:t>半</w:t>
            </w:r>
            <w:r>
              <w:rPr>
                <w:rFonts w:hint="default" w:ascii="Times New Roman" w:hAnsi="Times New Roman" w:eastAsia="宋体" w:cs="Times New Roman"/>
                <w:color w:val="auto"/>
                <w:sz w:val="21"/>
                <w:szCs w:val="21"/>
                <w:highlight w:val="none"/>
              </w:rPr>
              <w:t>密闭，</w:t>
            </w:r>
            <w:r>
              <w:rPr>
                <w:rFonts w:hint="default" w:ascii="Times New Roman" w:hAnsi="Times New Roman" w:eastAsia="宋体" w:cs="Times New Roman"/>
                <w:color w:val="auto"/>
                <w:spacing w:val="0"/>
                <w:sz w:val="21"/>
                <w:szCs w:val="21"/>
                <w:highlight w:val="none"/>
              </w:rPr>
              <w:t>作业时间平均为</w:t>
            </w:r>
            <w:r>
              <w:rPr>
                <w:rFonts w:hint="default" w:ascii="Times New Roman" w:hAnsi="Times New Roman" w:eastAsia="宋体" w:cs="Times New Roman"/>
                <w:color w:val="auto"/>
                <w:spacing w:val="0"/>
                <w:sz w:val="21"/>
                <w:szCs w:val="21"/>
                <w:highlight w:val="none"/>
                <w:lang w:val="en-US" w:eastAsia="zh-CN"/>
              </w:rPr>
              <w:t>1</w:t>
            </w:r>
            <w:r>
              <w:rPr>
                <w:rFonts w:hint="default" w:ascii="Times New Roman" w:hAnsi="Times New Roman" w:eastAsia="宋体" w:cs="Times New Roman"/>
                <w:color w:val="auto"/>
                <w:spacing w:val="0"/>
                <w:sz w:val="21"/>
                <w:szCs w:val="21"/>
                <w:highlight w:val="none"/>
              </w:rPr>
              <w:t>h/d，则破碎工序粉尘的</w:t>
            </w:r>
            <w:r>
              <w:rPr>
                <w:rFonts w:hint="eastAsia" w:ascii="Times New Roman" w:cs="Times New Roman"/>
                <w:color w:val="auto"/>
                <w:spacing w:val="0"/>
                <w:sz w:val="21"/>
                <w:szCs w:val="21"/>
                <w:highlight w:val="none"/>
                <w:lang w:val="en-US" w:eastAsia="zh-CN"/>
              </w:rPr>
              <w:t>产生</w:t>
            </w:r>
            <w:r>
              <w:rPr>
                <w:rFonts w:hint="default" w:ascii="Times New Roman" w:hAnsi="Times New Roman" w:eastAsia="宋体" w:cs="Times New Roman"/>
                <w:color w:val="auto"/>
                <w:spacing w:val="0"/>
                <w:sz w:val="21"/>
                <w:szCs w:val="21"/>
                <w:highlight w:val="none"/>
              </w:rPr>
              <w:t>量为0.</w:t>
            </w:r>
            <w:r>
              <w:rPr>
                <w:rFonts w:hint="eastAsia" w:ascii="Times New Roman" w:cs="Times New Roman"/>
                <w:color w:val="auto"/>
                <w:spacing w:val="0"/>
                <w:sz w:val="21"/>
                <w:szCs w:val="21"/>
                <w:highlight w:val="none"/>
                <w:lang w:val="en-US" w:eastAsia="zh-CN"/>
              </w:rPr>
              <w:t>023</w:t>
            </w:r>
            <w:r>
              <w:rPr>
                <w:rFonts w:hint="default" w:ascii="Times New Roman" w:hAnsi="Times New Roman" w:eastAsia="宋体" w:cs="Times New Roman"/>
                <w:color w:val="auto"/>
                <w:spacing w:val="0"/>
                <w:sz w:val="21"/>
                <w:szCs w:val="21"/>
                <w:highlight w:val="none"/>
              </w:rPr>
              <w:t>t/a。</w:t>
            </w:r>
            <w:r>
              <w:rPr>
                <w:rFonts w:hint="eastAsia" w:ascii="Times New Roman" w:cs="Times New Roman"/>
                <w:color w:val="auto"/>
                <w:spacing w:val="0"/>
                <w:sz w:val="21"/>
                <w:szCs w:val="21"/>
                <w:highlight w:val="none"/>
                <w:lang w:val="en-US" w:eastAsia="zh-CN"/>
              </w:rPr>
              <w:t>由于破碎机较小，且半密闭进行，仅在出料时会有少量粉尘逸散，逸散量按产生量的20%计，则逸散量约为0.0046t/a，不便于集中收集排放，</w:t>
            </w:r>
            <w:r>
              <w:rPr>
                <w:rFonts w:hint="eastAsia" w:ascii="Times New Roman" w:cs="Times New Roman"/>
                <w:color w:val="auto"/>
                <w:sz w:val="21"/>
                <w:szCs w:val="21"/>
                <w:highlight w:val="none"/>
                <w:lang w:val="en-US" w:eastAsia="zh-CN"/>
              </w:rPr>
              <w:t>项目设置移动式布袋除尘器，综合收集处理效率为80%，未被收集的粉尘呈无组织排放，无组织排放量为0.0009t/a。</w:t>
            </w:r>
          </w:p>
          <w:p>
            <w:pPr>
              <w:pStyle w:val="6"/>
              <w:spacing w:line="360" w:lineRule="auto"/>
              <w:ind w:firstLine="482"/>
              <w:rPr>
                <w:b/>
                <w:bCs/>
                <w:color w:val="auto"/>
                <w:sz w:val="21"/>
                <w:szCs w:val="21"/>
                <w:highlight w:val="none"/>
              </w:rPr>
            </w:pPr>
            <w:r>
              <w:rPr>
                <w:b/>
                <w:bCs/>
                <w:color w:val="auto"/>
                <w:sz w:val="21"/>
                <w:szCs w:val="21"/>
                <w:highlight w:val="none"/>
              </w:rPr>
              <w:t>（</w:t>
            </w:r>
            <w:r>
              <w:rPr>
                <w:rFonts w:hint="eastAsia"/>
                <w:b/>
                <w:bCs/>
                <w:color w:val="auto"/>
                <w:sz w:val="21"/>
                <w:szCs w:val="21"/>
                <w:highlight w:val="none"/>
              </w:rPr>
              <w:t>2</w:t>
            </w:r>
            <w:r>
              <w:rPr>
                <w:b/>
                <w:bCs/>
                <w:color w:val="auto"/>
                <w:sz w:val="21"/>
                <w:szCs w:val="21"/>
                <w:highlight w:val="none"/>
              </w:rPr>
              <w:t>）非正常工况</w:t>
            </w:r>
          </w:p>
          <w:p>
            <w:pPr>
              <w:spacing w:line="360" w:lineRule="auto"/>
              <w:ind w:firstLine="420" w:firstLineChars="200"/>
              <w:rPr>
                <w:color w:val="auto"/>
                <w:sz w:val="21"/>
                <w:szCs w:val="21"/>
                <w:highlight w:val="none"/>
              </w:rPr>
            </w:pPr>
            <w:r>
              <w:rPr>
                <w:color w:val="auto"/>
                <w:sz w:val="21"/>
                <w:szCs w:val="21"/>
                <w:highlight w:val="none"/>
              </w:rPr>
              <w:t>本项目非正常工况主要是指设备检修或废气治理装置由于停电或其它原因，造成故障而不能正常运行，废气未经处理直接排放。</w:t>
            </w:r>
          </w:p>
          <w:p>
            <w:pPr>
              <w:spacing w:line="360" w:lineRule="auto"/>
              <w:ind w:firstLine="420" w:firstLineChars="200"/>
              <w:rPr>
                <w:color w:val="auto"/>
                <w:sz w:val="21"/>
                <w:szCs w:val="21"/>
                <w:highlight w:val="none"/>
              </w:rPr>
            </w:pPr>
            <w:r>
              <w:rPr>
                <w:color w:val="auto"/>
                <w:sz w:val="21"/>
                <w:szCs w:val="21"/>
                <w:highlight w:val="none"/>
              </w:rPr>
              <w:t>发生非正常工况排放时（本环评以最不利情况，事故工况计，废气处理效率下降至0%情况进行考虑）。本项目非正常情况下废气排放情况见下表。</w:t>
            </w:r>
          </w:p>
          <w:p>
            <w:pPr>
              <w:spacing w:line="240" w:lineRule="auto"/>
              <w:jc w:val="center"/>
              <w:rPr>
                <w:color w:val="auto"/>
                <w:sz w:val="21"/>
                <w:szCs w:val="21"/>
                <w:highlight w:val="none"/>
              </w:rPr>
            </w:pPr>
            <w:r>
              <w:rPr>
                <w:b/>
                <w:bCs/>
                <w:color w:val="auto"/>
                <w:kern w:val="18"/>
                <w:sz w:val="21"/>
                <w:szCs w:val="21"/>
                <w:highlight w:val="none"/>
              </w:rPr>
              <w:t>表4-</w:t>
            </w:r>
            <w:r>
              <w:rPr>
                <w:rFonts w:hint="eastAsia"/>
                <w:b/>
                <w:bCs/>
                <w:color w:val="auto"/>
                <w:kern w:val="18"/>
                <w:sz w:val="21"/>
                <w:szCs w:val="21"/>
                <w:highlight w:val="none"/>
              </w:rPr>
              <w:t>3</w:t>
            </w:r>
            <w:r>
              <w:rPr>
                <w:b/>
                <w:bCs/>
                <w:color w:val="auto"/>
                <w:kern w:val="18"/>
                <w:sz w:val="21"/>
                <w:szCs w:val="21"/>
                <w:highlight w:val="none"/>
              </w:rPr>
              <w:t xml:space="preserve"> 项目非正常工况有组织废气最终排放状况表</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667"/>
              <w:gridCol w:w="1288"/>
              <w:gridCol w:w="1469"/>
              <w:gridCol w:w="1323"/>
              <w:gridCol w:w="1488"/>
              <w:gridCol w:w="1145"/>
              <w:gridCol w:w="109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393" w:type="pct"/>
                  <w:vAlign w:val="center"/>
                </w:tcPr>
                <w:p>
                  <w:pPr>
                    <w:pStyle w:val="49"/>
                    <w:rPr>
                      <w:rFonts w:eastAsia="宋体"/>
                      <w:color w:val="auto"/>
                      <w:sz w:val="21"/>
                      <w:szCs w:val="21"/>
                      <w:highlight w:val="none"/>
                    </w:rPr>
                  </w:pPr>
                  <w:r>
                    <w:rPr>
                      <w:rFonts w:eastAsia="宋体"/>
                      <w:color w:val="auto"/>
                      <w:sz w:val="21"/>
                      <w:szCs w:val="21"/>
                      <w:highlight w:val="none"/>
                    </w:rPr>
                    <w:t>序号</w:t>
                  </w:r>
                </w:p>
              </w:tc>
              <w:tc>
                <w:tcPr>
                  <w:tcW w:w="759" w:type="pct"/>
                  <w:vAlign w:val="center"/>
                </w:tcPr>
                <w:p>
                  <w:pPr>
                    <w:pStyle w:val="49"/>
                    <w:rPr>
                      <w:rFonts w:eastAsia="宋体"/>
                      <w:color w:val="auto"/>
                      <w:sz w:val="21"/>
                      <w:szCs w:val="21"/>
                      <w:highlight w:val="none"/>
                    </w:rPr>
                  </w:pPr>
                  <w:r>
                    <w:rPr>
                      <w:rFonts w:eastAsia="宋体"/>
                      <w:color w:val="auto"/>
                      <w:sz w:val="21"/>
                      <w:szCs w:val="21"/>
                      <w:highlight w:val="none"/>
                    </w:rPr>
                    <w:t>非正常排放源</w:t>
                  </w:r>
                </w:p>
              </w:tc>
              <w:tc>
                <w:tcPr>
                  <w:tcW w:w="866" w:type="pct"/>
                  <w:vAlign w:val="center"/>
                </w:tcPr>
                <w:p>
                  <w:pPr>
                    <w:pStyle w:val="49"/>
                    <w:rPr>
                      <w:rFonts w:eastAsia="宋体"/>
                      <w:color w:val="auto"/>
                      <w:sz w:val="21"/>
                      <w:szCs w:val="21"/>
                      <w:highlight w:val="none"/>
                    </w:rPr>
                  </w:pPr>
                  <w:r>
                    <w:rPr>
                      <w:rFonts w:eastAsia="宋体"/>
                      <w:color w:val="auto"/>
                      <w:sz w:val="21"/>
                      <w:szCs w:val="21"/>
                      <w:highlight w:val="none"/>
                    </w:rPr>
                    <w:t>非正常排放原因</w:t>
                  </w:r>
                </w:p>
              </w:tc>
              <w:tc>
                <w:tcPr>
                  <w:tcW w:w="780" w:type="pct"/>
                  <w:vAlign w:val="center"/>
                </w:tcPr>
                <w:p>
                  <w:pPr>
                    <w:pStyle w:val="49"/>
                    <w:rPr>
                      <w:rFonts w:eastAsia="宋体"/>
                      <w:color w:val="auto"/>
                      <w:sz w:val="21"/>
                      <w:szCs w:val="21"/>
                      <w:highlight w:val="none"/>
                    </w:rPr>
                  </w:pPr>
                  <w:r>
                    <w:rPr>
                      <w:rFonts w:eastAsia="宋体"/>
                      <w:color w:val="auto"/>
                      <w:sz w:val="21"/>
                      <w:szCs w:val="21"/>
                      <w:highlight w:val="none"/>
                    </w:rPr>
                    <w:t>污染物</w:t>
                  </w:r>
                </w:p>
              </w:tc>
              <w:tc>
                <w:tcPr>
                  <w:tcW w:w="877" w:type="pct"/>
                  <w:vAlign w:val="center"/>
                </w:tcPr>
                <w:p>
                  <w:pPr>
                    <w:pStyle w:val="49"/>
                    <w:rPr>
                      <w:rFonts w:eastAsia="宋体"/>
                      <w:color w:val="auto"/>
                      <w:sz w:val="21"/>
                      <w:szCs w:val="21"/>
                      <w:highlight w:val="none"/>
                    </w:rPr>
                  </w:pPr>
                  <w:r>
                    <w:rPr>
                      <w:rFonts w:eastAsia="宋体"/>
                      <w:color w:val="auto"/>
                      <w:sz w:val="21"/>
                      <w:szCs w:val="21"/>
                      <w:highlight w:val="none"/>
                    </w:rPr>
                    <w:t>非正常排放速率kg/h</w:t>
                  </w:r>
                </w:p>
              </w:tc>
              <w:tc>
                <w:tcPr>
                  <w:tcW w:w="675" w:type="pct"/>
                  <w:vAlign w:val="center"/>
                </w:tcPr>
                <w:p>
                  <w:pPr>
                    <w:pStyle w:val="49"/>
                    <w:rPr>
                      <w:rFonts w:eastAsia="宋体"/>
                      <w:color w:val="auto"/>
                      <w:sz w:val="21"/>
                      <w:szCs w:val="21"/>
                      <w:highlight w:val="none"/>
                    </w:rPr>
                  </w:pPr>
                  <w:r>
                    <w:rPr>
                      <w:rFonts w:eastAsia="宋体"/>
                      <w:color w:val="auto"/>
                      <w:sz w:val="21"/>
                      <w:szCs w:val="21"/>
                      <w:highlight w:val="none"/>
                    </w:rPr>
                    <w:t>单次持续时间/min</w:t>
                  </w:r>
                </w:p>
              </w:tc>
              <w:tc>
                <w:tcPr>
                  <w:tcW w:w="647" w:type="pct"/>
                  <w:vAlign w:val="center"/>
                </w:tcPr>
                <w:p>
                  <w:pPr>
                    <w:pStyle w:val="49"/>
                    <w:rPr>
                      <w:rFonts w:eastAsia="宋体"/>
                      <w:color w:val="auto"/>
                      <w:sz w:val="21"/>
                      <w:szCs w:val="21"/>
                      <w:highlight w:val="none"/>
                    </w:rPr>
                  </w:pPr>
                  <w:r>
                    <w:rPr>
                      <w:rFonts w:eastAsia="宋体"/>
                      <w:color w:val="auto"/>
                      <w:sz w:val="21"/>
                      <w:szCs w:val="21"/>
                      <w:highlight w:val="none"/>
                    </w:rPr>
                    <w:t>年发生频次/次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3" w:type="pct"/>
                  <w:vAlign w:val="center"/>
                </w:tcPr>
                <w:p>
                  <w:pPr>
                    <w:pStyle w:val="49"/>
                    <w:rPr>
                      <w:rFonts w:eastAsia="宋体"/>
                      <w:b w:val="0"/>
                      <w:bCs/>
                      <w:color w:val="auto"/>
                      <w:sz w:val="21"/>
                      <w:szCs w:val="21"/>
                      <w:highlight w:val="none"/>
                    </w:rPr>
                  </w:pPr>
                  <w:r>
                    <w:rPr>
                      <w:rFonts w:eastAsia="宋体"/>
                      <w:b w:val="0"/>
                      <w:bCs/>
                      <w:color w:val="auto"/>
                      <w:sz w:val="21"/>
                      <w:szCs w:val="21"/>
                      <w:highlight w:val="none"/>
                    </w:rPr>
                    <w:t>1</w:t>
                  </w:r>
                </w:p>
              </w:tc>
              <w:tc>
                <w:tcPr>
                  <w:tcW w:w="759" w:type="pct"/>
                  <w:vAlign w:val="center"/>
                </w:tcPr>
                <w:p>
                  <w:pPr>
                    <w:pStyle w:val="49"/>
                    <w:rPr>
                      <w:rFonts w:eastAsia="宋体"/>
                      <w:b w:val="0"/>
                      <w:bCs/>
                      <w:color w:val="auto"/>
                      <w:sz w:val="21"/>
                      <w:szCs w:val="21"/>
                      <w:highlight w:val="none"/>
                    </w:rPr>
                  </w:pPr>
                  <w:r>
                    <w:rPr>
                      <w:rFonts w:eastAsia="宋体"/>
                      <w:b w:val="0"/>
                      <w:bCs/>
                      <w:color w:val="auto"/>
                      <w:sz w:val="21"/>
                      <w:szCs w:val="21"/>
                      <w:highlight w:val="none"/>
                    </w:rPr>
                    <w:t>DA001</w:t>
                  </w:r>
                </w:p>
              </w:tc>
              <w:tc>
                <w:tcPr>
                  <w:tcW w:w="866" w:type="pct"/>
                  <w:vAlign w:val="center"/>
                </w:tcPr>
                <w:p>
                  <w:pPr>
                    <w:pStyle w:val="49"/>
                    <w:rPr>
                      <w:rFonts w:eastAsia="宋体"/>
                      <w:b w:val="0"/>
                      <w:bCs/>
                      <w:color w:val="auto"/>
                      <w:sz w:val="21"/>
                      <w:szCs w:val="21"/>
                      <w:highlight w:val="none"/>
                    </w:rPr>
                  </w:pPr>
                  <w:r>
                    <w:rPr>
                      <w:rFonts w:eastAsia="宋体"/>
                      <w:b w:val="0"/>
                      <w:bCs/>
                      <w:color w:val="auto"/>
                      <w:sz w:val="21"/>
                      <w:szCs w:val="21"/>
                      <w:highlight w:val="none"/>
                    </w:rPr>
                    <w:t>废气处理装置发生故障</w:t>
                  </w:r>
                </w:p>
              </w:tc>
              <w:tc>
                <w:tcPr>
                  <w:tcW w:w="780" w:type="pct"/>
                  <w:vAlign w:val="center"/>
                </w:tcPr>
                <w:p>
                  <w:pPr>
                    <w:pStyle w:val="49"/>
                    <w:rPr>
                      <w:rFonts w:eastAsia="宋体"/>
                      <w:b w:val="0"/>
                      <w:bCs/>
                      <w:color w:val="auto"/>
                      <w:sz w:val="21"/>
                      <w:szCs w:val="21"/>
                      <w:highlight w:val="none"/>
                    </w:rPr>
                  </w:pPr>
                  <w:r>
                    <w:rPr>
                      <w:rFonts w:hint="eastAsia" w:eastAsia="宋体"/>
                      <w:b w:val="0"/>
                      <w:bCs/>
                      <w:color w:val="auto"/>
                      <w:sz w:val="21"/>
                      <w:szCs w:val="21"/>
                      <w:highlight w:val="none"/>
                    </w:rPr>
                    <w:t>非甲烷总烃</w:t>
                  </w:r>
                </w:p>
              </w:tc>
              <w:tc>
                <w:tcPr>
                  <w:tcW w:w="877" w:type="pct"/>
                  <w:vAlign w:val="center"/>
                </w:tcPr>
                <w:p>
                  <w:pPr>
                    <w:pStyle w:val="49"/>
                    <w:rPr>
                      <w:rFonts w:hint="default" w:eastAsia="宋体"/>
                      <w:b w:val="0"/>
                      <w:bCs/>
                      <w:color w:val="auto"/>
                      <w:sz w:val="21"/>
                      <w:szCs w:val="21"/>
                      <w:highlight w:val="none"/>
                      <w:lang w:val="en-US" w:eastAsia="zh-CN"/>
                    </w:rPr>
                  </w:pPr>
                  <w:r>
                    <w:rPr>
                      <w:rFonts w:hint="eastAsia" w:eastAsia="宋体"/>
                      <w:b w:val="0"/>
                      <w:bCs/>
                      <w:color w:val="auto"/>
                      <w:sz w:val="21"/>
                      <w:szCs w:val="21"/>
                      <w:highlight w:val="none"/>
                      <w:lang w:val="en-US" w:eastAsia="zh-CN"/>
                    </w:rPr>
                    <w:t>0.054</w:t>
                  </w:r>
                </w:p>
              </w:tc>
              <w:tc>
                <w:tcPr>
                  <w:tcW w:w="675" w:type="pct"/>
                  <w:vAlign w:val="center"/>
                </w:tcPr>
                <w:p>
                  <w:pPr>
                    <w:pStyle w:val="49"/>
                    <w:rPr>
                      <w:rFonts w:eastAsia="宋体"/>
                      <w:b w:val="0"/>
                      <w:bCs/>
                      <w:color w:val="auto"/>
                      <w:sz w:val="21"/>
                      <w:szCs w:val="21"/>
                      <w:highlight w:val="none"/>
                    </w:rPr>
                  </w:pPr>
                  <w:r>
                    <w:rPr>
                      <w:rFonts w:eastAsia="宋体"/>
                      <w:b w:val="0"/>
                      <w:bCs/>
                      <w:color w:val="auto"/>
                      <w:sz w:val="21"/>
                      <w:szCs w:val="21"/>
                      <w:highlight w:val="none"/>
                    </w:rPr>
                    <w:t>10</w:t>
                  </w:r>
                </w:p>
              </w:tc>
              <w:tc>
                <w:tcPr>
                  <w:tcW w:w="647" w:type="pct"/>
                  <w:vAlign w:val="center"/>
                </w:tcPr>
                <w:p>
                  <w:pPr>
                    <w:pStyle w:val="49"/>
                    <w:rPr>
                      <w:rFonts w:eastAsia="宋体"/>
                      <w:b w:val="0"/>
                      <w:bCs/>
                      <w:color w:val="auto"/>
                      <w:sz w:val="21"/>
                      <w:szCs w:val="21"/>
                      <w:highlight w:val="none"/>
                    </w:rPr>
                  </w:pPr>
                  <w:r>
                    <w:rPr>
                      <w:rFonts w:eastAsia="宋体"/>
                      <w:b w:val="0"/>
                      <w:bCs/>
                      <w:color w:val="auto"/>
                      <w:sz w:val="21"/>
                      <w:szCs w:val="21"/>
                      <w:highlight w:val="none"/>
                    </w:rPr>
                    <w:t>1次/a</w:t>
                  </w:r>
                </w:p>
              </w:tc>
            </w:tr>
          </w:tbl>
          <w:p>
            <w:pPr>
              <w:spacing w:before="120" w:beforeLines="50" w:line="360" w:lineRule="auto"/>
              <w:ind w:firstLine="420" w:firstLineChars="200"/>
              <w:rPr>
                <w:color w:val="auto"/>
                <w:sz w:val="21"/>
                <w:szCs w:val="21"/>
                <w:highlight w:val="none"/>
              </w:rPr>
            </w:pPr>
            <w:r>
              <w:rPr>
                <w:color w:val="auto"/>
                <w:sz w:val="21"/>
                <w:szCs w:val="21"/>
                <w:highlight w:val="none"/>
              </w:rPr>
              <w:t>经详细调查，该项目非正常工况排放情况主要是废活性炭不及时更换，在一段时间内排放量增加；或由于停电或设备故障等原因，造成的二级活性炭吸附装置不能正常运行，有机废气直接排放，甚至超标排放；</w:t>
            </w:r>
          </w:p>
          <w:p>
            <w:pPr>
              <w:spacing w:line="360" w:lineRule="auto"/>
              <w:ind w:firstLine="420" w:firstLineChars="200"/>
              <w:rPr>
                <w:color w:val="auto"/>
                <w:sz w:val="21"/>
                <w:szCs w:val="21"/>
                <w:highlight w:val="none"/>
              </w:rPr>
            </w:pPr>
            <w:r>
              <w:rPr>
                <w:color w:val="auto"/>
                <w:sz w:val="21"/>
                <w:szCs w:val="21"/>
                <w:highlight w:val="none"/>
              </w:rPr>
              <w:t>针对该情况，本环评建议建设单位采取如下措施：</w:t>
            </w:r>
          </w:p>
          <w:p>
            <w:pPr>
              <w:spacing w:line="360" w:lineRule="auto"/>
              <w:ind w:firstLine="420" w:firstLineChars="200"/>
              <w:rPr>
                <w:color w:val="auto"/>
                <w:sz w:val="21"/>
                <w:szCs w:val="21"/>
                <w:highlight w:val="none"/>
              </w:rPr>
            </w:pPr>
            <w:r>
              <w:rPr>
                <w:color w:val="auto"/>
                <w:sz w:val="21"/>
                <w:szCs w:val="21"/>
                <w:highlight w:val="none"/>
              </w:rPr>
              <w:t>①发生停电时及时转换电力线路；</w:t>
            </w:r>
          </w:p>
          <w:p>
            <w:pPr>
              <w:pStyle w:val="6"/>
              <w:spacing w:line="360" w:lineRule="auto"/>
              <w:ind w:firstLine="480"/>
              <w:rPr>
                <w:b/>
                <w:bCs/>
                <w:color w:val="auto"/>
                <w:sz w:val="21"/>
                <w:szCs w:val="21"/>
                <w:highlight w:val="none"/>
              </w:rPr>
            </w:pPr>
            <w:r>
              <w:rPr>
                <w:color w:val="auto"/>
                <w:sz w:val="21"/>
                <w:szCs w:val="21"/>
                <w:highlight w:val="none"/>
              </w:rPr>
              <w:t>②活性炭定期更换，认真保养维护，定期进行检修，最大程度减少设备发生故障的可能性；</w:t>
            </w:r>
          </w:p>
          <w:p>
            <w:pPr>
              <w:pStyle w:val="6"/>
              <w:spacing w:line="360" w:lineRule="auto"/>
              <w:ind w:firstLine="482"/>
              <w:rPr>
                <w:b/>
                <w:bCs/>
                <w:color w:val="auto"/>
                <w:sz w:val="21"/>
                <w:szCs w:val="21"/>
                <w:highlight w:val="none"/>
              </w:rPr>
            </w:pPr>
            <w:r>
              <w:rPr>
                <w:b/>
                <w:bCs/>
                <w:color w:val="auto"/>
                <w:sz w:val="21"/>
                <w:szCs w:val="21"/>
                <w:highlight w:val="none"/>
              </w:rPr>
              <w:t>2、废气排放源基本情况</w:t>
            </w:r>
          </w:p>
          <w:p>
            <w:pPr>
              <w:spacing w:line="360" w:lineRule="auto"/>
              <w:ind w:firstLine="420" w:firstLineChars="200"/>
              <w:rPr>
                <w:color w:val="auto"/>
                <w:sz w:val="21"/>
                <w:szCs w:val="21"/>
                <w:highlight w:val="none"/>
              </w:rPr>
            </w:pPr>
            <w:r>
              <w:rPr>
                <w:color w:val="auto"/>
                <w:sz w:val="21"/>
                <w:szCs w:val="21"/>
                <w:highlight w:val="none"/>
              </w:rPr>
              <w:t>废气排放源基本情况见下表：</w:t>
            </w:r>
          </w:p>
          <w:p>
            <w:pPr>
              <w:jc w:val="center"/>
              <w:rPr>
                <w:b/>
                <w:bCs/>
                <w:color w:val="auto"/>
                <w:kern w:val="18"/>
                <w:sz w:val="21"/>
                <w:szCs w:val="21"/>
                <w:highlight w:val="none"/>
              </w:rPr>
            </w:pPr>
            <w:r>
              <w:rPr>
                <w:b/>
                <w:bCs/>
                <w:color w:val="auto"/>
                <w:kern w:val="18"/>
                <w:sz w:val="21"/>
                <w:szCs w:val="21"/>
                <w:highlight w:val="none"/>
              </w:rPr>
              <w:t>表4-</w:t>
            </w:r>
            <w:r>
              <w:rPr>
                <w:rFonts w:hint="eastAsia"/>
                <w:b/>
                <w:bCs/>
                <w:color w:val="auto"/>
                <w:kern w:val="18"/>
                <w:sz w:val="21"/>
                <w:szCs w:val="21"/>
                <w:highlight w:val="none"/>
              </w:rPr>
              <w:t>4</w:t>
            </w:r>
            <w:r>
              <w:rPr>
                <w:b/>
                <w:bCs/>
                <w:color w:val="auto"/>
                <w:kern w:val="18"/>
                <w:sz w:val="21"/>
                <w:szCs w:val="21"/>
                <w:highlight w:val="none"/>
              </w:rPr>
              <w:t xml:space="preserve"> 建设项目主要点源源强排放参数</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21"/>
              <w:gridCol w:w="722"/>
              <w:gridCol w:w="1107"/>
              <w:gridCol w:w="983"/>
              <w:gridCol w:w="605"/>
              <w:gridCol w:w="849"/>
              <w:gridCol w:w="951"/>
              <w:gridCol w:w="513"/>
              <w:gridCol w:w="633"/>
              <w:gridCol w:w="542"/>
              <w:gridCol w:w="115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8" w:type="pct"/>
                  <w:vMerge w:val="restart"/>
                  <w:vAlign w:val="center"/>
                </w:tcPr>
                <w:p>
                  <w:pPr>
                    <w:pStyle w:val="49"/>
                    <w:jc w:val="center"/>
                    <w:rPr>
                      <w:rFonts w:eastAsia="宋体"/>
                      <w:color w:val="auto"/>
                      <w:sz w:val="21"/>
                      <w:szCs w:val="21"/>
                      <w:highlight w:val="none"/>
                    </w:rPr>
                  </w:pPr>
                  <w:r>
                    <w:rPr>
                      <w:rFonts w:eastAsia="宋体"/>
                      <w:color w:val="auto"/>
                      <w:sz w:val="21"/>
                      <w:szCs w:val="21"/>
                      <w:highlight w:val="none"/>
                    </w:rPr>
                    <w:t>编号</w:t>
                  </w:r>
                </w:p>
              </w:tc>
              <w:tc>
                <w:tcPr>
                  <w:tcW w:w="425" w:type="pct"/>
                  <w:vMerge w:val="restart"/>
                  <w:vAlign w:val="center"/>
                </w:tcPr>
                <w:p>
                  <w:pPr>
                    <w:pStyle w:val="49"/>
                    <w:rPr>
                      <w:rFonts w:eastAsia="宋体"/>
                      <w:color w:val="auto"/>
                      <w:sz w:val="21"/>
                      <w:szCs w:val="21"/>
                      <w:highlight w:val="none"/>
                    </w:rPr>
                  </w:pPr>
                  <w:r>
                    <w:rPr>
                      <w:rFonts w:eastAsia="宋体"/>
                      <w:color w:val="auto"/>
                      <w:sz w:val="21"/>
                      <w:szCs w:val="21"/>
                      <w:highlight w:val="none"/>
                    </w:rPr>
                    <w:t>名称</w:t>
                  </w:r>
                </w:p>
              </w:tc>
              <w:tc>
                <w:tcPr>
                  <w:tcW w:w="1231" w:type="pct"/>
                  <w:gridSpan w:val="2"/>
                  <w:vAlign w:val="center"/>
                </w:tcPr>
                <w:p>
                  <w:pPr>
                    <w:pStyle w:val="49"/>
                    <w:rPr>
                      <w:rFonts w:eastAsia="宋体"/>
                      <w:color w:val="auto"/>
                      <w:sz w:val="21"/>
                      <w:szCs w:val="21"/>
                      <w:highlight w:val="none"/>
                    </w:rPr>
                  </w:pPr>
                  <w:r>
                    <w:rPr>
                      <w:rFonts w:eastAsia="宋体"/>
                      <w:color w:val="auto"/>
                      <w:sz w:val="21"/>
                      <w:szCs w:val="21"/>
                      <w:highlight w:val="none"/>
                    </w:rPr>
                    <w:t>排气筒底部中心坐标</w:t>
                  </w:r>
                </w:p>
              </w:tc>
              <w:tc>
                <w:tcPr>
                  <w:tcW w:w="356" w:type="pct"/>
                  <w:vMerge w:val="restart"/>
                  <w:vAlign w:val="center"/>
                </w:tcPr>
                <w:p>
                  <w:pPr>
                    <w:pStyle w:val="49"/>
                    <w:rPr>
                      <w:rFonts w:eastAsia="宋体"/>
                      <w:color w:val="auto"/>
                      <w:sz w:val="21"/>
                      <w:szCs w:val="21"/>
                      <w:highlight w:val="none"/>
                    </w:rPr>
                  </w:pPr>
                  <w:r>
                    <w:rPr>
                      <w:rFonts w:eastAsia="宋体"/>
                      <w:color w:val="auto"/>
                      <w:sz w:val="21"/>
                      <w:szCs w:val="21"/>
                      <w:highlight w:val="none"/>
                    </w:rPr>
                    <w:t>排气筒高度/m</w:t>
                  </w:r>
                </w:p>
              </w:tc>
              <w:tc>
                <w:tcPr>
                  <w:tcW w:w="500" w:type="pct"/>
                  <w:vMerge w:val="restart"/>
                  <w:vAlign w:val="center"/>
                </w:tcPr>
                <w:p>
                  <w:pPr>
                    <w:pStyle w:val="49"/>
                    <w:rPr>
                      <w:rFonts w:eastAsia="宋体"/>
                      <w:color w:val="auto"/>
                      <w:sz w:val="21"/>
                      <w:szCs w:val="21"/>
                      <w:highlight w:val="none"/>
                    </w:rPr>
                  </w:pPr>
                  <w:r>
                    <w:rPr>
                      <w:rFonts w:eastAsia="宋体"/>
                      <w:color w:val="auto"/>
                      <w:sz w:val="21"/>
                      <w:szCs w:val="21"/>
                      <w:highlight w:val="none"/>
                    </w:rPr>
                    <w:t>排气筒出口内径/m</w:t>
                  </w:r>
                </w:p>
              </w:tc>
              <w:tc>
                <w:tcPr>
                  <w:tcW w:w="560" w:type="pct"/>
                  <w:vMerge w:val="restart"/>
                  <w:vAlign w:val="center"/>
                </w:tcPr>
                <w:p>
                  <w:pPr>
                    <w:pStyle w:val="49"/>
                    <w:rPr>
                      <w:rFonts w:eastAsia="宋体"/>
                      <w:color w:val="auto"/>
                      <w:sz w:val="21"/>
                      <w:szCs w:val="21"/>
                      <w:highlight w:val="none"/>
                    </w:rPr>
                  </w:pPr>
                  <w:r>
                    <w:rPr>
                      <w:rFonts w:eastAsia="宋体"/>
                      <w:color w:val="auto"/>
                      <w:sz w:val="21"/>
                      <w:szCs w:val="21"/>
                      <w:highlight w:val="none"/>
                    </w:rPr>
                    <w:t>烟气流速/（m/s）</w:t>
                  </w:r>
                </w:p>
              </w:tc>
              <w:tc>
                <w:tcPr>
                  <w:tcW w:w="302" w:type="pct"/>
                  <w:vMerge w:val="restart"/>
                  <w:vAlign w:val="center"/>
                </w:tcPr>
                <w:p>
                  <w:pPr>
                    <w:pStyle w:val="49"/>
                    <w:rPr>
                      <w:rFonts w:eastAsia="宋体"/>
                      <w:color w:val="auto"/>
                      <w:sz w:val="21"/>
                      <w:szCs w:val="21"/>
                      <w:highlight w:val="none"/>
                    </w:rPr>
                  </w:pPr>
                  <w:r>
                    <w:rPr>
                      <w:rFonts w:eastAsia="宋体"/>
                      <w:color w:val="auto"/>
                      <w:sz w:val="21"/>
                      <w:szCs w:val="21"/>
                      <w:highlight w:val="none"/>
                    </w:rPr>
                    <w:t>烟气温度/℃</w:t>
                  </w:r>
                </w:p>
              </w:tc>
              <w:tc>
                <w:tcPr>
                  <w:tcW w:w="373" w:type="pct"/>
                  <w:vMerge w:val="restart"/>
                  <w:vAlign w:val="center"/>
                </w:tcPr>
                <w:p>
                  <w:pPr>
                    <w:pStyle w:val="49"/>
                    <w:rPr>
                      <w:rFonts w:eastAsia="宋体"/>
                      <w:color w:val="auto"/>
                      <w:sz w:val="21"/>
                      <w:szCs w:val="21"/>
                      <w:highlight w:val="none"/>
                    </w:rPr>
                  </w:pPr>
                  <w:r>
                    <w:rPr>
                      <w:rFonts w:eastAsia="宋体"/>
                      <w:color w:val="auto"/>
                      <w:sz w:val="21"/>
                      <w:szCs w:val="21"/>
                      <w:highlight w:val="none"/>
                    </w:rPr>
                    <w:t>年排放小时数/h</w:t>
                  </w:r>
                </w:p>
              </w:tc>
              <w:tc>
                <w:tcPr>
                  <w:tcW w:w="319" w:type="pct"/>
                  <w:vMerge w:val="restart"/>
                  <w:vAlign w:val="center"/>
                </w:tcPr>
                <w:p>
                  <w:pPr>
                    <w:pStyle w:val="49"/>
                    <w:rPr>
                      <w:rFonts w:eastAsia="宋体"/>
                      <w:color w:val="auto"/>
                      <w:sz w:val="21"/>
                      <w:szCs w:val="21"/>
                      <w:highlight w:val="none"/>
                    </w:rPr>
                  </w:pPr>
                  <w:r>
                    <w:rPr>
                      <w:rFonts w:eastAsia="宋体"/>
                      <w:color w:val="auto"/>
                      <w:sz w:val="21"/>
                      <w:szCs w:val="21"/>
                      <w:highlight w:val="none"/>
                    </w:rPr>
                    <w:t>排放工况</w:t>
                  </w:r>
                </w:p>
              </w:tc>
              <w:tc>
                <w:tcPr>
                  <w:tcW w:w="680" w:type="pct"/>
                  <w:vAlign w:val="center"/>
                </w:tcPr>
                <w:p>
                  <w:pPr>
                    <w:pStyle w:val="49"/>
                    <w:rPr>
                      <w:rFonts w:eastAsia="宋体"/>
                      <w:color w:val="auto"/>
                      <w:sz w:val="21"/>
                      <w:szCs w:val="21"/>
                      <w:highlight w:val="none"/>
                    </w:rPr>
                  </w:pPr>
                  <w:r>
                    <w:rPr>
                      <w:rFonts w:eastAsia="宋体"/>
                      <w:color w:val="auto"/>
                      <w:sz w:val="21"/>
                      <w:szCs w:val="21"/>
                      <w:highlight w:val="none"/>
                    </w:rPr>
                    <w:t>污染物排放速率/（kg/h）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8" w:type="pct"/>
                  <w:vMerge w:val="continue"/>
                  <w:vAlign w:val="center"/>
                </w:tcPr>
                <w:p>
                  <w:pPr>
                    <w:pStyle w:val="49"/>
                    <w:jc w:val="center"/>
                    <w:rPr>
                      <w:rFonts w:eastAsia="宋体"/>
                      <w:color w:val="auto"/>
                      <w:sz w:val="21"/>
                      <w:szCs w:val="21"/>
                      <w:highlight w:val="none"/>
                    </w:rPr>
                  </w:pPr>
                </w:p>
              </w:tc>
              <w:tc>
                <w:tcPr>
                  <w:tcW w:w="425" w:type="pct"/>
                  <w:vMerge w:val="continue"/>
                  <w:vAlign w:val="center"/>
                </w:tcPr>
                <w:p>
                  <w:pPr>
                    <w:pStyle w:val="49"/>
                    <w:rPr>
                      <w:rFonts w:eastAsia="宋体"/>
                      <w:color w:val="auto"/>
                      <w:sz w:val="21"/>
                      <w:szCs w:val="21"/>
                      <w:highlight w:val="none"/>
                    </w:rPr>
                  </w:pPr>
                </w:p>
              </w:tc>
              <w:tc>
                <w:tcPr>
                  <w:tcW w:w="652" w:type="pct"/>
                  <w:vAlign w:val="center"/>
                </w:tcPr>
                <w:p>
                  <w:pPr>
                    <w:pStyle w:val="49"/>
                    <w:rPr>
                      <w:rFonts w:eastAsia="宋体"/>
                      <w:color w:val="auto"/>
                      <w:sz w:val="21"/>
                      <w:szCs w:val="21"/>
                      <w:highlight w:val="none"/>
                    </w:rPr>
                  </w:pPr>
                  <w:r>
                    <w:rPr>
                      <w:rFonts w:eastAsia="宋体"/>
                      <w:color w:val="auto"/>
                      <w:sz w:val="21"/>
                      <w:szCs w:val="21"/>
                      <w:highlight w:val="none"/>
                    </w:rPr>
                    <w:t>X</w:t>
                  </w:r>
                </w:p>
              </w:tc>
              <w:tc>
                <w:tcPr>
                  <w:tcW w:w="578" w:type="pct"/>
                  <w:vAlign w:val="center"/>
                </w:tcPr>
                <w:p>
                  <w:pPr>
                    <w:pStyle w:val="49"/>
                    <w:rPr>
                      <w:rFonts w:eastAsia="宋体"/>
                      <w:color w:val="auto"/>
                      <w:sz w:val="21"/>
                      <w:szCs w:val="21"/>
                      <w:highlight w:val="none"/>
                    </w:rPr>
                  </w:pPr>
                  <w:r>
                    <w:rPr>
                      <w:rFonts w:eastAsia="宋体"/>
                      <w:color w:val="auto"/>
                      <w:sz w:val="21"/>
                      <w:szCs w:val="21"/>
                      <w:highlight w:val="none"/>
                    </w:rPr>
                    <w:t>Y</w:t>
                  </w:r>
                </w:p>
              </w:tc>
              <w:tc>
                <w:tcPr>
                  <w:tcW w:w="356" w:type="pct"/>
                  <w:vMerge w:val="continue"/>
                  <w:vAlign w:val="center"/>
                </w:tcPr>
                <w:p>
                  <w:pPr>
                    <w:pStyle w:val="49"/>
                    <w:rPr>
                      <w:rFonts w:eastAsia="宋体"/>
                      <w:color w:val="auto"/>
                      <w:sz w:val="21"/>
                      <w:szCs w:val="21"/>
                      <w:highlight w:val="none"/>
                    </w:rPr>
                  </w:pPr>
                </w:p>
              </w:tc>
              <w:tc>
                <w:tcPr>
                  <w:tcW w:w="500" w:type="pct"/>
                  <w:vMerge w:val="continue"/>
                  <w:vAlign w:val="center"/>
                </w:tcPr>
                <w:p>
                  <w:pPr>
                    <w:pStyle w:val="49"/>
                    <w:rPr>
                      <w:rFonts w:eastAsia="宋体"/>
                      <w:color w:val="auto"/>
                      <w:sz w:val="21"/>
                      <w:szCs w:val="21"/>
                      <w:highlight w:val="none"/>
                    </w:rPr>
                  </w:pPr>
                </w:p>
              </w:tc>
              <w:tc>
                <w:tcPr>
                  <w:tcW w:w="560" w:type="pct"/>
                  <w:vMerge w:val="continue"/>
                  <w:vAlign w:val="center"/>
                </w:tcPr>
                <w:p>
                  <w:pPr>
                    <w:pStyle w:val="49"/>
                    <w:rPr>
                      <w:rFonts w:eastAsia="宋体"/>
                      <w:color w:val="auto"/>
                      <w:sz w:val="21"/>
                      <w:szCs w:val="21"/>
                      <w:highlight w:val="none"/>
                    </w:rPr>
                  </w:pPr>
                </w:p>
              </w:tc>
              <w:tc>
                <w:tcPr>
                  <w:tcW w:w="302" w:type="pct"/>
                  <w:vMerge w:val="continue"/>
                  <w:vAlign w:val="center"/>
                </w:tcPr>
                <w:p>
                  <w:pPr>
                    <w:pStyle w:val="49"/>
                    <w:rPr>
                      <w:rFonts w:eastAsia="宋体"/>
                      <w:color w:val="auto"/>
                      <w:sz w:val="21"/>
                      <w:szCs w:val="21"/>
                      <w:highlight w:val="none"/>
                    </w:rPr>
                  </w:pPr>
                </w:p>
              </w:tc>
              <w:tc>
                <w:tcPr>
                  <w:tcW w:w="373" w:type="pct"/>
                  <w:vMerge w:val="continue"/>
                  <w:vAlign w:val="center"/>
                </w:tcPr>
                <w:p>
                  <w:pPr>
                    <w:pStyle w:val="49"/>
                    <w:rPr>
                      <w:rFonts w:eastAsia="宋体"/>
                      <w:color w:val="auto"/>
                      <w:sz w:val="21"/>
                      <w:szCs w:val="21"/>
                      <w:highlight w:val="none"/>
                    </w:rPr>
                  </w:pPr>
                </w:p>
              </w:tc>
              <w:tc>
                <w:tcPr>
                  <w:tcW w:w="319" w:type="pct"/>
                  <w:vMerge w:val="continue"/>
                  <w:vAlign w:val="center"/>
                </w:tcPr>
                <w:p>
                  <w:pPr>
                    <w:pStyle w:val="49"/>
                    <w:rPr>
                      <w:rFonts w:eastAsia="宋体"/>
                      <w:color w:val="auto"/>
                      <w:sz w:val="21"/>
                      <w:szCs w:val="21"/>
                      <w:highlight w:val="none"/>
                    </w:rPr>
                  </w:pPr>
                </w:p>
              </w:tc>
              <w:tc>
                <w:tcPr>
                  <w:tcW w:w="680" w:type="pct"/>
                  <w:vAlign w:val="center"/>
                </w:tcPr>
                <w:p>
                  <w:pPr>
                    <w:pStyle w:val="49"/>
                    <w:rPr>
                      <w:rFonts w:eastAsia="宋体"/>
                      <w:color w:val="auto"/>
                      <w:sz w:val="21"/>
                      <w:szCs w:val="21"/>
                      <w:highlight w:val="none"/>
                    </w:rPr>
                  </w:pPr>
                  <w:r>
                    <w:rPr>
                      <w:rFonts w:hint="eastAsia" w:eastAsia="宋体"/>
                      <w:color w:val="auto"/>
                      <w:sz w:val="21"/>
                      <w:szCs w:val="21"/>
                      <w:highlight w:val="none"/>
                    </w:rPr>
                    <w:t>非甲烷总烃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48" w:type="pct"/>
                  <w:vAlign w:val="center"/>
                </w:tcPr>
                <w:p>
                  <w:pPr>
                    <w:jc w:val="center"/>
                    <w:rPr>
                      <w:color w:val="auto"/>
                      <w:sz w:val="21"/>
                      <w:szCs w:val="21"/>
                      <w:highlight w:val="none"/>
                    </w:rPr>
                  </w:pPr>
                  <w:r>
                    <w:rPr>
                      <w:color w:val="auto"/>
                      <w:sz w:val="21"/>
                      <w:szCs w:val="21"/>
                      <w:highlight w:val="none"/>
                    </w:rPr>
                    <w:t>1</w:t>
                  </w:r>
                </w:p>
              </w:tc>
              <w:tc>
                <w:tcPr>
                  <w:tcW w:w="425" w:type="pct"/>
                  <w:vAlign w:val="center"/>
                </w:tcPr>
                <w:p>
                  <w:pPr>
                    <w:jc w:val="center"/>
                    <w:rPr>
                      <w:color w:val="auto"/>
                      <w:sz w:val="21"/>
                      <w:szCs w:val="21"/>
                      <w:highlight w:val="none"/>
                    </w:rPr>
                  </w:pPr>
                  <w:r>
                    <w:rPr>
                      <w:color w:val="auto"/>
                      <w:kern w:val="18"/>
                      <w:sz w:val="21"/>
                      <w:szCs w:val="21"/>
                      <w:highlight w:val="none"/>
                    </w:rPr>
                    <w:t>DA001</w:t>
                  </w:r>
                </w:p>
              </w:tc>
              <w:tc>
                <w:tcPr>
                  <w:tcW w:w="652" w:type="pct"/>
                  <w:vAlign w:val="center"/>
                </w:tcPr>
                <w:p>
                  <w:pPr>
                    <w:jc w:val="center"/>
                    <w:rPr>
                      <w:color w:val="auto"/>
                      <w:sz w:val="21"/>
                      <w:szCs w:val="21"/>
                      <w:highlight w:val="none"/>
                    </w:rPr>
                  </w:pPr>
                  <w:r>
                    <w:rPr>
                      <w:rFonts w:hint="eastAsia"/>
                      <w:color w:val="auto"/>
                      <w:sz w:val="21"/>
                      <w:szCs w:val="21"/>
                      <w:highlight w:val="none"/>
                    </w:rPr>
                    <w:t>119.645120</w:t>
                  </w:r>
                </w:p>
              </w:tc>
              <w:tc>
                <w:tcPr>
                  <w:tcW w:w="578" w:type="pct"/>
                  <w:vAlign w:val="center"/>
                </w:tcPr>
                <w:p>
                  <w:pPr>
                    <w:pStyle w:val="6"/>
                    <w:ind w:firstLine="0" w:firstLineChars="0"/>
                    <w:jc w:val="center"/>
                    <w:rPr>
                      <w:color w:val="auto"/>
                      <w:kern w:val="18"/>
                      <w:sz w:val="21"/>
                      <w:szCs w:val="21"/>
                      <w:highlight w:val="none"/>
                    </w:rPr>
                  </w:pPr>
                  <w:r>
                    <w:rPr>
                      <w:rFonts w:hint="eastAsia"/>
                      <w:color w:val="auto"/>
                      <w:kern w:val="18"/>
                      <w:sz w:val="21"/>
                      <w:szCs w:val="21"/>
                      <w:highlight w:val="none"/>
                    </w:rPr>
                    <w:t>31.766393</w:t>
                  </w:r>
                </w:p>
              </w:tc>
              <w:tc>
                <w:tcPr>
                  <w:tcW w:w="356" w:type="pct"/>
                  <w:vAlign w:val="center"/>
                </w:tcPr>
                <w:p>
                  <w:pPr>
                    <w:pStyle w:val="46"/>
                    <w:rPr>
                      <w:rFonts w:eastAsia="宋体"/>
                      <w:color w:val="auto"/>
                      <w:sz w:val="21"/>
                      <w:szCs w:val="21"/>
                      <w:highlight w:val="none"/>
                    </w:rPr>
                  </w:pPr>
                  <w:r>
                    <w:rPr>
                      <w:rFonts w:hint="eastAsia" w:eastAsia="宋体"/>
                      <w:color w:val="auto"/>
                      <w:sz w:val="21"/>
                      <w:szCs w:val="21"/>
                      <w:highlight w:val="none"/>
                    </w:rPr>
                    <w:t>18</w:t>
                  </w:r>
                </w:p>
              </w:tc>
              <w:tc>
                <w:tcPr>
                  <w:tcW w:w="500" w:type="pct"/>
                  <w:vAlign w:val="center"/>
                </w:tcPr>
                <w:p>
                  <w:pPr>
                    <w:pStyle w:val="46"/>
                    <w:rPr>
                      <w:rFonts w:eastAsia="宋体"/>
                      <w:color w:val="auto"/>
                      <w:sz w:val="21"/>
                      <w:szCs w:val="21"/>
                      <w:highlight w:val="none"/>
                    </w:rPr>
                  </w:pPr>
                  <w:r>
                    <w:rPr>
                      <w:rFonts w:hint="eastAsia" w:eastAsia="宋体"/>
                      <w:color w:val="auto"/>
                      <w:sz w:val="21"/>
                      <w:szCs w:val="21"/>
                      <w:highlight w:val="none"/>
                    </w:rPr>
                    <w:t>0.45</w:t>
                  </w:r>
                </w:p>
              </w:tc>
              <w:tc>
                <w:tcPr>
                  <w:tcW w:w="560" w:type="pct"/>
                  <w:vAlign w:val="center"/>
                </w:tcPr>
                <w:p>
                  <w:pPr>
                    <w:pStyle w:val="46"/>
                    <w:rPr>
                      <w:rFonts w:eastAsia="宋体"/>
                      <w:color w:val="auto"/>
                      <w:sz w:val="21"/>
                      <w:szCs w:val="21"/>
                      <w:highlight w:val="none"/>
                    </w:rPr>
                  </w:pPr>
                  <w:r>
                    <w:rPr>
                      <w:rFonts w:hint="eastAsia" w:eastAsia="宋体"/>
                      <w:color w:val="auto"/>
                      <w:sz w:val="21"/>
                      <w:szCs w:val="21"/>
                      <w:highlight w:val="none"/>
                    </w:rPr>
                    <w:t>15.25</w:t>
                  </w:r>
                </w:p>
              </w:tc>
              <w:tc>
                <w:tcPr>
                  <w:tcW w:w="302" w:type="pct"/>
                  <w:vAlign w:val="center"/>
                </w:tcPr>
                <w:p>
                  <w:pPr>
                    <w:jc w:val="center"/>
                    <w:rPr>
                      <w:color w:val="auto"/>
                      <w:kern w:val="18"/>
                      <w:sz w:val="21"/>
                      <w:szCs w:val="21"/>
                      <w:highlight w:val="none"/>
                    </w:rPr>
                  </w:pPr>
                  <w:r>
                    <w:rPr>
                      <w:color w:val="auto"/>
                      <w:kern w:val="18"/>
                      <w:sz w:val="21"/>
                      <w:szCs w:val="21"/>
                      <w:highlight w:val="none"/>
                    </w:rPr>
                    <w:t>25</w:t>
                  </w:r>
                </w:p>
              </w:tc>
              <w:tc>
                <w:tcPr>
                  <w:tcW w:w="373" w:type="pct"/>
                  <w:vAlign w:val="center"/>
                </w:tcPr>
                <w:p>
                  <w:pPr>
                    <w:jc w:val="center"/>
                    <w:rPr>
                      <w:color w:val="auto"/>
                      <w:kern w:val="18"/>
                      <w:sz w:val="21"/>
                      <w:szCs w:val="21"/>
                      <w:highlight w:val="none"/>
                    </w:rPr>
                  </w:pPr>
                  <w:r>
                    <w:rPr>
                      <w:rFonts w:hint="eastAsia"/>
                      <w:color w:val="auto"/>
                      <w:kern w:val="18"/>
                      <w:sz w:val="21"/>
                      <w:szCs w:val="21"/>
                      <w:highlight w:val="none"/>
                    </w:rPr>
                    <w:t>7200</w:t>
                  </w:r>
                </w:p>
              </w:tc>
              <w:tc>
                <w:tcPr>
                  <w:tcW w:w="319" w:type="pct"/>
                  <w:vAlign w:val="center"/>
                </w:tcPr>
                <w:p>
                  <w:pPr>
                    <w:jc w:val="center"/>
                    <w:rPr>
                      <w:color w:val="auto"/>
                      <w:kern w:val="18"/>
                      <w:sz w:val="21"/>
                      <w:szCs w:val="21"/>
                      <w:highlight w:val="none"/>
                    </w:rPr>
                  </w:pPr>
                  <w:r>
                    <w:rPr>
                      <w:color w:val="auto"/>
                      <w:kern w:val="18"/>
                      <w:sz w:val="21"/>
                      <w:szCs w:val="21"/>
                      <w:highlight w:val="none"/>
                    </w:rPr>
                    <w:t>连续</w:t>
                  </w:r>
                </w:p>
              </w:tc>
              <w:tc>
                <w:tcPr>
                  <w:tcW w:w="680" w:type="pct"/>
                  <w:vAlign w:val="center"/>
                </w:tcPr>
                <w:p>
                  <w:pPr>
                    <w:jc w:val="center"/>
                    <w:rPr>
                      <w:color w:val="auto"/>
                      <w:kern w:val="18"/>
                      <w:sz w:val="21"/>
                      <w:szCs w:val="21"/>
                      <w:highlight w:val="none"/>
                    </w:rPr>
                  </w:pPr>
                  <w:r>
                    <w:rPr>
                      <w:rFonts w:hint="eastAsia"/>
                      <w:color w:val="auto"/>
                      <w:kern w:val="18"/>
                      <w:sz w:val="21"/>
                      <w:szCs w:val="21"/>
                      <w:highlight w:val="none"/>
                    </w:rPr>
                    <w:t>0.0</w:t>
                  </w:r>
                  <w:r>
                    <w:rPr>
                      <w:rFonts w:hint="eastAsia"/>
                      <w:color w:val="auto"/>
                      <w:kern w:val="18"/>
                      <w:sz w:val="21"/>
                      <w:szCs w:val="21"/>
                      <w:highlight w:val="none"/>
                      <w:lang w:val="en-US" w:eastAsia="zh-CN"/>
                    </w:rPr>
                    <w:t>054</w:t>
                  </w:r>
                </w:p>
              </w:tc>
            </w:tr>
          </w:tbl>
          <w:p>
            <w:pPr>
              <w:keepNext w:val="0"/>
              <w:keepLines w:val="0"/>
              <w:pageBreakBefore w:val="0"/>
              <w:widowControl w:val="0"/>
              <w:kinsoku/>
              <w:wordWrap/>
              <w:overflowPunct/>
              <w:topLinePunct w:val="0"/>
              <w:autoSpaceDE/>
              <w:autoSpaceDN/>
              <w:bidi w:val="0"/>
              <w:adjustRightInd/>
              <w:snapToGrid/>
              <w:spacing w:before="157" w:beforeLines="50"/>
              <w:jc w:val="center"/>
              <w:textAlignment w:val="auto"/>
              <w:rPr>
                <w:b/>
                <w:bCs/>
                <w:color w:val="auto"/>
                <w:kern w:val="18"/>
                <w:sz w:val="21"/>
                <w:szCs w:val="21"/>
                <w:highlight w:val="none"/>
              </w:rPr>
            </w:pPr>
            <w:r>
              <w:rPr>
                <w:b/>
                <w:bCs/>
                <w:color w:val="auto"/>
                <w:kern w:val="18"/>
                <w:sz w:val="21"/>
                <w:szCs w:val="21"/>
                <w:highlight w:val="none"/>
              </w:rPr>
              <w:t>表4-</w:t>
            </w:r>
            <w:r>
              <w:rPr>
                <w:rFonts w:hint="eastAsia"/>
                <w:b/>
                <w:bCs/>
                <w:color w:val="auto"/>
                <w:kern w:val="18"/>
                <w:sz w:val="21"/>
                <w:szCs w:val="21"/>
                <w:highlight w:val="none"/>
              </w:rPr>
              <w:t>5</w:t>
            </w:r>
            <w:r>
              <w:rPr>
                <w:b/>
                <w:bCs/>
                <w:color w:val="auto"/>
                <w:kern w:val="18"/>
                <w:sz w:val="21"/>
                <w:szCs w:val="21"/>
                <w:highlight w:val="none"/>
              </w:rPr>
              <w:t xml:space="preserve"> 本项目无组织废气面源源强排放参数</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06"/>
              <w:gridCol w:w="730"/>
              <w:gridCol w:w="1035"/>
              <w:gridCol w:w="957"/>
              <w:gridCol w:w="595"/>
              <w:gridCol w:w="607"/>
              <w:gridCol w:w="691"/>
              <w:gridCol w:w="825"/>
              <w:gridCol w:w="705"/>
              <w:gridCol w:w="534"/>
              <w:gridCol w:w="685"/>
              <w:gridCol w:w="81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0" w:type="pct"/>
                  <w:vMerge w:val="restar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编号</w:t>
                  </w:r>
                </w:p>
              </w:tc>
              <w:tc>
                <w:tcPr>
                  <w:tcW w:w="430" w:type="pct"/>
                  <w:vMerge w:val="restar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名称</w:t>
                  </w:r>
                </w:p>
              </w:tc>
              <w:tc>
                <w:tcPr>
                  <w:tcW w:w="1174" w:type="pct"/>
                  <w:gridSpan w:val="2"/>
                  <w:vAlign w:val="center"/>
                </w:tcPr>
                <w:p>
                  <w:pPr>
                    <w:pStyle w:val="49"/>
                    <w:spacing w:line="240" w:lineRule="auto"/>
                    <w:rPr>
                      <w:rFonts w:eastAsia="宋体"/>
                      <w:color w:val="auto"/>
                      <w:sz w:val="21"/>
                      <w:szCs w:val="21"/>
                      <w:highlight w:val="none"/>
                    </w:rPr>
                  </w:pPr>
                  <w:r>
                    <w:rPr>
                      <w:rFonts w:eastAsia="宋体"/>
                      <w:color w:val="auto"/>
                      <w:sz w:val="21"/>
                      <w:szCs w:val="21"/>
                      <w:highlight w:val="none"/>
                    </w:rPr>
                    <w:t>面源起点坐标/m</w:t>
                  </w:r>
                </w:p>
              </w:tc>
              <w:tc>
                <w:tcPr>
                  <w:tcW w:w="350" w:type="pct"/>
                  <w:vMerge w:val="restar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面源长度/m</w:t>
                  </w:r>
                </w:p>
              </w:tc>
              <w:tc>
                <w:tcPr>
                  <w:tcW w:w="357" w:type="pct"/>
                  <w:vMerge w:val="restar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面源宽度/m</w:t>
                  </w:r>
                </w:p>
              </w:tc>
              <w:tc>
                <w:tcPr>
                  <w:tcW w:w="407" w:type="pct"/>
                  <w:vMerge w:val="restar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与正北向夹角（°）</w:t>
                  </w:r>
                </w:p>
              </w:tc>
              <w:tc>
                <w:tcPr>
                  <w:tcW w:w="486" w:type="pct"/>
                  <w:vMerge w:val="restar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面源有效排放高度/m</w:t>
                  </w:r>
                </w:p>
              </w:tc>
              <w:tc>
                <w:tcPr>
                  <w:tcW w:w="415" w:type="pct"/>
                  <w:vMerge w:val="restar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年排放小时数/h</w:t>
                  </w:r>
                </w:p>
              </w:tc>
              <w:tc>
                <w:tcPr>
                  <w:tcW w:w="314" w:type="pct"/>
                  <w:vMerge w:val="restar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排放工况</w:t>
                  </w:r>
                </w:p>
              </w:tc>
              <w:tc>
                <w:tcPr>
                  <w:tcW w:w="881" w:type="pct"/>
                  <w:gridSpan w:val="2"/>
                  <w:vAlign w:val="center"/>
                </w:tcPr>
                <w:p>
                  <w:pPr>
                    <w:pStyle w:val="49"/>
                    <w:spacing w:line="240" w:lineRule="auto"/>
                    <w:rPr>
                      <w:rFonts w:eastAsia="宋体"/>
                      <w:color w:val="auto"/>
                      <w:sz w:val="21"/>
                      <w:szCs w:val="21"/>
                      <w:highlight w:val="none"/>
                    </w:rPr>
                  </w:pPr>
                  <w:r>
                    <w:rPr>
                      <w:rFonts w:eastAsia="宋体"/>
                      <w:color w:val="auto"/>
                      <w:sz w:val="21"/>
                      <w:szCs w:val="21"/>
                      <w:highlight w:val="none"/>
                    </w:rPr>
                    <w:t>污染物排放速率/（kg/h）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0" w:type="pct"/>
                  <w:vMerge w:val="continue"/>
                  <w:vAlign w:val="center"/>
                </w:tcPr>
                <w:p>
                  <w:pPr>
                    <w:pStyle w:val="49"/>
                    <w:spacing w:line="240" w:lineRule="auto"/>
                    <w:rPr>
                      <w:rFonts w:eastAsia="宋体"/>
                      <w:color w:val="auto"/>
                      <w:sz w:val="21"/>
                      <w:szCs w:val="21"/>
                      <w:highlight w:val="none"/>
                    </w:rPr>
                  </w:pPr>
                </w:p>
              </w:tc>
              <w:tc>
                <w:tcPr>
                  <w:tcW w:w="430" w:type="pct"/>
                  <w:vMerge w:val="continue"/>
                  <w:vAlign w:val="center"/>
                </w:tcPr>
                <w:p>
                  <w:pPr>
                    <w:pStyle w:val="49"/>
                    <w:spacing w:line="240" w:lineRule="auto"/>
                    <w:rPr>
                      <w:rFonts w:eastAsia="宋体"/>
                      <w:color w:val="auto"/>
                      <w:sz w:val="21"/>
                      <w:szCs w:val="21"/>
                      <w:highlight w:val="none"/>
                    </w:rPr>
                  </w:pPr>
                </w:p>
              </w:tc>
              <w:tc>
                <w:tcPr>
                  <w:tcW w:w="610"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X</w:t>
                  </w:r>
                </w:p>
              </w:tc>
              <w:tc>
                <w:tcPr>
                  <w:tcW w:w="564"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Y</w:t>
                  </w:r>
                </w:p>
              </w:tc>
              <w:tc>
                <w:tcPr>
                  <w:tcW w:w="350" w:type="pct"/>
                  <w:vMerge w:val="continue"/>
                  <w:vAlign w:val="center"/>
                </w:tcPr>
                <w:p>
                  <w:pPr>
                    <w:pStyle w:val="49"/>
                    <w:spacing w:line="240" w:lineRule="auto"/>
                    <w:rPr>
                      <w:rFonts w:eastAsia="宋体"/>
                      <w:color w:val="auto"/>
                      <w:sz w:val="21"/>
                      <w:szCs w:val="21"/>
                      <w:highlight w:val="none"/>
                    </w:rPr>
                  </w:pPr>
                </w:p>
              </w:tc>
              <w:tc>
                <w:tcPr>
                  <w:tcW w:w="357" w:type="pct"/>
                  <w:vMerge w:val="continue"/>
                  <w:vAlign w:val="center"/>
                </w:tcPr>
                <w:p>
                  <w:pPr>
                    <w:pStyle w:val="49"/>
                    <w:spacing w:line="240" w:lineRule="auto"/>
                    <w:rPr>
                      <w:rFonts w:eastAsia="宋体"/>
                      <w:color w:val="auto"/>
                      <w:sz w:val="21"/>
                      <w:szCs w:val="21"/>
                      <w:highlight w:val="none"/>
                    </w:rPr>
                  </w:pPr>
                </w:p>
              </w:tc>
              <w:tc>
                <w:tcPr>
                  <w:tcW w:w="407" w:type="pct"/>
                  <w:vMerge w:val="continue"/>
                  <w:vAlign w:val="center"/>
                </w:tcPr>
                <w:p>
                  <w:pPr>
                    <w:pStyle w:val="49"/>
                    <w:spacing w:line="240" w:lineRule="auto"/>
                    <w:rPr>
                      <w:rFonts w:eastAsia="宋体"/>
                      <w:color w:val="auto"/>
                      <w:sz w:val="21"/>
                      <w:szCs w:val="21"/>
                      <w:highlight w:val="none"/>
                    </w:rPr>
                  </w:pPr>
                </w:p>
              </w:tc>
              <w:tc>
                <w:tcPr>
                  <w:tcW w:w="486" w:type="pct"/>
                  <w:vMerge w:val="continue"/>
                  <w:vAlign w:val="center"/>
                </w:tcPr>
                <w:p>
                  <w:pPr>
                    <w:pStyle w:val="49"/>
                    <w:spacing w:line="240" w:lineRule="auto"/>
                    <w:rPr>
                      <w:rFonts w:eastAsia="宋体"/>
                      <w:color w:val="auto"/>
                      <w:sz w:val="21"/>
                      <w:szCs w:val="21"/>
                      <w:highlight w:val="none"/>
                    </w:rPr>
                  </w:pPr>
                </w:p>
              </w:tc>
              <w:tc>
                <w:tcPr>
                  <w:tcW w:w="415" w:type="pct"/>
                  <w:vMerge w:val="continue"/>
                  <w:vAlign w:val="center"/>
                </w:tcPr>
                <w:p>
                  <w:pPr>
                    <w:pStyle w:val="49"/>
                    <w:spacing w:line="240" w:lineRule="auto"/>
                    <w:rPr>
                      <w:rFonts w:eastAsia="宋体"/>
                      <w:color w:val="auto"/>
                      <w:sz w:val="21"/>
                      <w:szCs w:val="21"/>
                      <w:highlight w:val="none"/>
                    </w:rPr>
                  </w:pPr>
                </w:p>
              </w:tc>
              <w:tc>
                <w:tcPr>
                  <w:tcW w:w="314" w:type="pct"/>
                  <w:vMerge w:val="continue"/>
                  <w:vAlign w:val="center"/>
                </w:tcPr>
                <w:p>
                  <w:pPr>
                    <w:pStyle w:val="49"/>
                    <w:spacing w:line="240" w:lineRule="auto"/>
                    <w:rPr>
                      <w:rFonts w:eastAsia="宋体"/>
                      <w:color w:val="auto"/>
                      <w:sz w:val="21"/>
                      <w:szCs w:val="21"/>
                      <w:highlight w:val="none"/>
                    </w:rPr>
                  </w:pPr>
                </w:p>
              </w:tc>
              <w:tc>
                <w:tcPr>
                  <w:tcW w:w="403" w:type="pct"/>
                  <w:vAlign w:val="center"/>
                </w:tcPr>
                <w:p>
                  <w:pPr>
                    <w:pStyle w:val="49"/>
                    <w:spacing w:line="240" w:lineRule="auto"/>
                    <w:rPr>
                      <w:rFonts w:eastAsia="宋体"/>
                      <w:color w:val="auto"/>
                      <w:sz w:val="21"/>
                      <w:szCs w:val="21"/>
                      <w:highlight w:val="none"/>
                    </w:rPr>
                  </w:pPr>
                  <w:r>
                    <w:rPr>
                      <w:rFonts w:hint="eastAsia" w:eastAsia="宋体"/>
                      <w:color w:val="auto"/>
                      <w:spacing w:val="-2"/>
                      <w:kern w:val="28"/>
                      <w:sz w:val="21"/>
                      <w:szCs w:val="21"/>
                      <w:highlight w:val="none"/>
                    </w:rPr>
                    <w:t>非甲烷总烃</w:t>
                  </w:r>
                </w:p>
              </w:tc>
              <w:tc>
                <w:tcPr>
                  <w:tcW w:w="478" w:type="pct"/>
                  <w:vAlign w:val="center"/>
                </w:tcPr>
                <w:p>
                  <w:pPr>
                    <w:pStyle w:val="49"/>
                    <w:spacing w:line="240" w:lineRule="auto"/>
                    <w:rPr>
                      <w:rFonts w:hint="eastAsia" w:eastAsia="宋体"/>
                      <w:color w:val="auto"/>
                      <w:spacing w:val="-2"/>
                      <w:kern w:val="28"/>
                      <w:sz w:val="21"/>
                      <w:szCs w:val="21"/>
                      <w:highlight w:val="none"/>
                      <w:lang w:val="en-US" w:eastAsia="zh-CN"/>
                    </w:rPr>
                  </w:pPr>
                  <w:r>
                    <w:rPr>
                      <w:rFonts w:hint="eastAsia" w:eastAsia="宋体"/>
                      <w:color w:val="auto"/>
                      <w:spacing w:val="-2"/>
                      <w:kern w:val="28"/>
                      <w:sz w:val="21"/>
                      <w:szCs w:val="21"/>
                      <w:highlight w:val="none"/>
                      <w:lang w:val="en-US" w:eastAsia="zh-CN"/>
                    </w:rPr>
                    <w:t>颗粒物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0" w:type="pct"/>
                  <w:vAlign w:val="center"/>
                </w:tcPr>
                <w:p>
                  <w:pPr>
                    <w:pStyle w:val="46"/>
                    <w:spacing w:line="240" w:lineRule="auto"/>
                    <w:rPr>
                      <w:rFonts w:eastAsia="宋体"/>
                      <w:color w:val="auto"/>
                      <w:sz w:val="21"/>
                      <w:szCs w:val="21"/>
                      <w:highlight w:val="none"/>
                    </w:rPr>
                  </w:pPr>
                  <w:r>
                    <w:rPr>
                      <w:rFonts w:eastAsia="宋体"/>
                      <w:color w:val="auto"/>
                      <w:sz w:val="21"/>
                      <w:szCs w:val="21"/>
                      <w:highlight w:val="none"/>
                    </w:rPr>
                    <w:t>1</w:t>
                  </w:r>
                </w:p>
              </w:tc>
              <w:tc>
                <w:tcPr>
                  <w:tcW w:w="430" w:type="pct"/>
                  <w:vAlign w:val="center"/>
                </w:tcPr>
                <w:p>
                  <w:pPr>
                    <w:pStyle w:val="46"/>
                    <w:spacing w:line="240" w:lineRule="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eastAsia="宋体"/>
                      <w:color w:val="auto"/>
                      <w:sz w:val="21"/>
                      <w:szCs w:val="21"/>
                      <w:highlight w:val="none"/>
                      <w:lang w:val="en-US" w:eastAsia="zh-CN"/>
                    </w:rPr>
                    <w:t>车间</w:t>
                  </w:r>
                </w:p>
              </w:tc>
              <w:tc>
                <w:tcPr>
                  <w:tcW w:w="610" w:type="pct"/>
                  <w:vAlign w:val="center"/>
                </w:tcPr>
                <w:p>
                  <w:pPr>
                    <w:pStyle w:val="46"/>
                    <w:spacing w:line="240" w:lineRule="auto"/>
                    <w:rPr>
                      <w:rFonts w:eastAsia="宋体"/>
                      <w:color w:val="auto"/>
                      <w:sz w:val="21"/>
                      <w:szCs w:val="21"/>
                      <w:highlight w:val="none"/>
                    </w:rPr>
                  </w:pPr>
                  <w:r>
                    <w:rPr>
                      <w:rFonts w:hint="eastAsia" w:eastAsia="宋体"/>
                      <w:color w:val="auto"/>
                      <w:sz w:val="21"/>
                      <w:szCs w:val="21"/>
                      <w:highlight w:val="none"/>
                    </w:rPr>
                    <w:t>119.644598</w:t>
                  </w:r>
                </w:p>
              </w:tc>
              <w:tc>
                <w:tcPr>
                  <w:tcW w:w="564" w:type="pct"/>
                  <w:vAlign w:val="center"/>
                </w:tcPr>
                <w:p>
                  <w:pPr>
                    <w:pStyle w:val="46"/>
                    <w:spacing w:line="240" w:lineRule="auto"/>
                    <w:rPr>
                      <w:rFonts w:eastAsia="宋体"/>
                      <w:color w:val="auto"/>
                      <w:sz w:val="21"/>
                      <w:szCs w:val="21"/>
                      <w:highlight w:val="none"/>
                    </w:rPr>
                  </w:pPr>
                  <w:r>
                    <w:rPr>
                      <w:rFonts w:hint="eastAsia" w:eastAsia="宋体"/>
                      <w:color w:val="auto"/>
                      <w:sz w:val="21"/>
                      <w:szCs w:val="21"/>
                      <w:highlight w:val="none"/>
                    </w:rPr>
                    <w:t>31.766270</w:t>
                  </w:r>
                </w:p>
              </w:tc>
              <w:tc>
                <w:tcPr>
                  <w:tcW w:w="350" w:type="pct"/>
                  <w:vAlign w:val="center"/>
                </w:tcPr>
                <w:p>
                  <w:pPr>
                    <w:pStyle w:val="46"/>
                    <w:spacing w:line="240" w:lineRule="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15</w:t>
                  </w:r>
                </w:p>
              </w:tc>
              <w:tc>
                <w:tcPr>
                  <w:tcW w:w="357" w:type="pct"/>
                  <w:vAlign w:val="center"/>
                </w:tcPr>
                <w:p>
                  <w:pPr>
                    <w:pStyle w:val="46"/>
                    <w:spacing w:line="240" w:lineRule="auto"/>
                    <w:rPr>
                      <w:rFonts w:eastAsia="宋体"/>
                      <w:color w:val="auto"/>
                      <w:sz w:val="21"/>
                      <w:szCs w:val="21"/>
                      <w:highlight w:val="none"/>
                    </w:rPr>
                  </w:pPr>
                  <w:r>
                    <w:rPr>
                      <w:rFonts w:hint="eastAsia" w:eastAsia="宋体"/>
                      <w:color w:val="auto"/>
                      <w:sz w:val="21"/>
                      <w:szCs w:val="21"/>
                      <w:highlight w:val="none"/>
                    </w:rPr>
                    <w:t>20</w:t>
                  </w:r>
                </w:p>
              </w:tc>
              <w:tc>
                <w:tcPr>
                  <w:tcW w:w="407" w:type="pct"/>
                  <w:vAlign w:val="center"/>
                </w:tcPr>
                <w:p>
                  <w:pPr>
                    <w:pStyle w:val="46"/>
                    <w:spacing w:line="240" w:lineRule="auto"/>
                    <w:rPr>
                      <w:rFonts w:eastAsia="宋体"/>
                      <w:color w:val="auto"/>
                      <w:sz w:val="21"/>
                      <w:szCs w:val="21"/>
                      <w:highlight w:val="none"/>
                    </w:rPr>
                  </w:pPr>
                  <w:r>
                    <w:rPr>
                      <w:rFonts w:hint="eastAsia" w:eastAsia="宋体"/>
                      <w:color w:val="auto"/>
                      <w:sz w:val="21"/>
                      <w:szCs w:val="21"/>
                      <w:highlight w:val="none"/>
                    </w:rPr>
                    <w:t>0</w:t>
                  </w:r>
                </w:p>
              </w:tc>
              <w:tc>
                <w:tcPr>
                  <w:tcW w:w="486" w:type="pct"/>
                  <w:vAlign w:val="center"/>
                </w:tcPr>
                <w:p>
                  <w:pPr>
                    <w:pStyle w:val="46"/>
                    <w:spacing w:line="240" w:lineRule="auto"/>
                    <w:rPr>
                      <w:rFonts w:eastAsia="宋体"/>
                      <w:color w:val="auto"/>
                      <w:sz w:val="21"/>
                      <w:szCs w:val="21"/>
                      <w:highlight w:val="none"/>
                    </w:rPr>
                  </w:pPr>
                  <w:r>
                    <w:rPr>
                      <w:rFonts w:hint="eastAsia" w:eastAsia="宋体"/>
                      <w:color w:val="auto"/>
                      <w:sz w:val="21"/>
                      <w:szCs w:val="21"/>
                      <w:highlight w:val="none"/>
                    </w:rPr>
                    <w:t>12</w:t>
                  </w:r>
                </w:p>
              </w:tc>
              <w:tc>
                <w:tcPr>
                  <w:tcW w:w="415" w:type="pct"/>
                  <w:vAlign w:val="center"/>
                </w:tcPr>
                <w:p>
                  <w:pPr>
                    <w:pStyle w:val="46"/>
                    <w:spacing w:line="240" w:lineRule="auto"/>
                    <w:rPr>
                      <w:rFonts w:eastAsia="宋体"/>
                      <w:color w:val="auto"/>
                      <w:sz w:val="21"/>
                      <w:szCs w:val="21"/>
                      <w:highlight w:val="none"/>
                    </w:rPr>
                  </w:pPr>
                  <w:r>
                    <w:rPr>
                      <w:rFonts w:hint="eastAsia" w:eastAsia="宋体"/>
                      <w:color w:val="auto"/>
                      <w:sz w:val="21"/>
                      <w:szCs w:val="21"/>
                      <w:highlight w:val="none"/>
                    </w:rPr>
                    <w:t>7200</w:t>
                  </w:r>
                </w:p>
              </w:tc>
              <w:tc>
                <w:tcPr>
                  <w:tcW w:w="314" w:type="pct"/>
                  <w:vAlign w:val="center"/>
                </w:tcPr>
                <w:p>
                  <w:pPr>
                    <w:pStyle w:val="46"/>
                    <w:spacing w:line="240" w:lineRule="auto"/>
                    <w:rPr>
                      <w:rFonts w:eastAsia="宋体"/>
                      <w:color w:val="auto"/>
                      <w:sz w:val="21"/>
                      <w:szCs w:val="21"/>
                      <w:highlight w:val="none"/>
                    </w:rPr>
                  </w:pPr>
                  <w:r>
                    <w:rPr>
                      <w:rFonts w:eastAsia="宋体"/>
                      <w:color w:val="auto"/>
                      <w:sz w:val="21"/>
                      <w:szCs w:val="21"/>
                      <w:highlight w:val="none"/>
                    </w:rPr>
                    <w:t>连续</w:t>
                  </w:r>
                </w:p>
              </w:tc>
              <w:tc>
                <w:tcPr>
                  <w:tcW w:w="403" w:type="pct"/>
                  <w:vAlign w:val="center"/>
                </w:tcPr>
                <w:p>
                  <w:pPr>
                    <w:pStyle w:val="46"/>
                    <w:spacing w:line="240" w:lineRule="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0.006</w:t>
                  </w:r>
                </w:p>
              </w:tc>
              <w:tc>
                <w:tcPr>
                  <w:tcW w:w="478" w:type="pct"/>
                  <w:vAlign w:val="center"/>
                </w:tcPr>
                <w:p>
                  <w:pPr>
                    <w:pStyle w:val="46"/>
                    <w:spacing w:line="240" w:lineRule="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0.00306*</w:t>
                  </w:r>
                </w:p>
              </w:tc>
            </w:tr>
          </w:tbl>
          <w:p>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eastAsia="宋体"/>
                <w:b/>
                <w:color w:val="auto"/>
                <w:sz w:val="21"/>
                <w:szCs w:val="21"/>
                <w:highlight w:val="none"/>
                <w:lang w:val="en-US" w:eastAsia="zh-CN"/>
              </w:rPr>
            </w:pPr>
            <w:r>
              <w:rPr>
                <w:rFonts w:hint="eastAsia"/>
                <w:b/>
                <w:color w:val="auto"/>
                <w:sz w:val="21"/>
                <w:szCs w:val="21"/>
                <w:highlight w:val="none"/>
                <w:lang w:val="en-US" w:eastAsia="zh-CN"/>
              </w:rPr>
              <w:t>*表示最大速率。</w:t>
            </w:r>
          </w:p>
          <w:p>
            <w:pPr>
              <w:pStyle w:val="6"/>
              <w:keepNext w:val="0"/>
              <w:keepLines w:val="0"/>
              <w:pageBreakBefore w:val="0"/>
              <w:widowControl w:val="0"/>
              <w:kinsoku/>
              <w:wordWrap/>
              <w:overflowPunct/>
              <w:topLinePunct w:val="0"/>
              <w:autoSpaceDE/>
              <w:autoSpaceDN/>
              <w:bidi w:val="0"/>
              <w:adjustRightInd/>
              <w:snapToGrid/>
              <w:spacing w:line="360" w:lineRule="auto"/>
              <w:ind w:firstLine="482"/>
              <w:textAlignment w:val="auto"/>
              <w:rPr>
                <w:b/>
                <w:color w:val="auto"/>
                <w:sz w:val="21"/>
                <w:szCs w:val="21"/>
                <w:highlight w:val="none"/>
              </w:rPr>
            </w:pPr>
            <w:r>
              <w:rPr>
                <w:b/>
                <w:color w:val="auto"/>
                <w:sz w:val="21"/>
                <w:szCs w:val="21"/>
                <w:highlight w:val="none"/>
              </w:rPr>
              <w:t>3、污染防治设施可行性分析</w:t>
            </w:r>
          </w:p>
          <w:p>
            <w:pPr>
              <w:spacing w:line="360" w:lineRule="auto"/>
              <w:ind w:firstLine="422" w:firstLineChars="200"/>
              <w:rPr>
                <w:b/>
                <w:color w:val="auto"/>
                <w:sz w:val="21"/>
                <w:szCs w:val="21"/>
                <w:highlight w:val="none"/>
              </w:rPr>
            </w:pPr>
            <w:r>
              <w:rPr>
                <w:b/>
                <w:color w:val="auto"/>
                <w:sz w:val="21"/>
                <w:szCs w:val="21"/>
                <w:highlight w:val="none"/>
              </w:rPr>
              <w:t>3.1有组织废气环保措施概述</w:t>
            </w:r>
          </w:p>
          <w:p>
            <w:pPr>
              <w:pStyle w:val="37"/>
              <w:spacing w:line="360" w:lineRule="auto"/>
              <w:ind w:firstLine="482"/>
              <w:rPr>
                <w:rFonts w:eastAsia="宋体"/>
                <w:b/>
                <w:color w:val="auto"/>
                <w:sz w:val="21"/>
                <w:szCs w:val="21"/>
                <w:highlight w:val="none"/>
              </w:rPr>
            </w:pPr>
            <w:r>
              <w:rPr>
                <w:rFonts w:eastAsia="宋体"/>
                <w:b/>
                <w:color w:val="auto"/>
                <w:sz w:val="21"/>
                <w:szCs w:val="21"/>
                <w:highlight w:val="none"/>
              </w:rPr>
              <w:t>（1）废气处理措施</w:t>
            </w:r>
          </w:p>
          <w:p>
            <w:pPr>
              <w:pStyle w:val="37"/>
              <w:spacing w:line="360" w:lineRule="auto"/>
              <w:ind w:left="0" w:leftChars="0" w:firstLine="420" w:firstLineChars="200"/>
              <w:rPr>
                <w:rFonts w:eastAsia="宋体"/>
                <w:bCs/>
                <w:color w:val="auto"/>
                <w:sz w:val="21"/>
                <w:szCs w:val="21"/>
                <w:highlight w:val="none"/>
              </w:rPr>
            </w:pPr>
            <w:r>
              <w:rPr>
                <w:rFonts w:eastAsia="宋体"/>
                <w:bCs/>
                <w:color w:val="auto"/>
                <w:sz w:val="21"/>
                <w:szCs w:val="21"/>
                <w:highlight w:val="none"/>
              </w:rPr>
              <w:t>项目废气处理流程图详见图4-</w:t>
            </w:r>
            <w:r>
              <w:rPr>
                <w:rFonts w:hint="eastAsia" w:eastAsia="宋体"/>
                <w:bCs/>
                <w:color w:val="auto"/>
                <w:sz w:val="21"/>
                <w:szCs w:val="21"/>
                <w:highlight w:val="none"/>
                <w:lang w:val="en-US" w:eastAsia="zh-CN"/>
              </w:rPr>
              <w:t>2</w:t>
            </w:r>
            <w:r>
              <w:rPr>
                <w:rFonts w:eastAsia="宋体"/>
                <w:bCs/>
                <w:color w:val="auto"/>
                <w:sz w:val="21"/>
                <w:szCs w:val="21"/>
                <w:highlight w:val="none"/>
              </w:rPr>
              <w:t>。</w:t>
            </w:r>
          </w:p>
          <w:p>
            <w:pPr>
              <w:autoSpaceDE w:val="0"/>
              <w:autoSpaceDN w:val="0"/>
              <w:adjustRightInd w:val="0"/>
              <w:jc w:val="center"/>
              <w:rPr>
                <w:b/>
                <w:color w:val="auto"/>
                <w:sz w:val="21"/>
                <w:szCs w:val="21"/>
                <w:highlight w:val="none"/>
              </w:rPr>
            </w:pPr>
            <w:r>
              <w:rPr>
                <w:b/>
                <w:color w:val="auto"/>
                <w:sz w:val="21"/>
                <w:szCs w:val="21"/>
                <w:highlight w:val="none"/>
              </w:rPr>
              <w:object>
                <v:shape id="_x0000_i1028" o:spt="75" type="#_x0000_t75" style="height:99.45pt;width:376.9pt;" o:ole="t" filled="f" o:preferrelative="t" stroked="t" coordsize="21600,21600">
                  <v:path/>
                  <v:fill on="f" focussize="0,0"/>
                  <v:stroke color="#000000"/>
                  <v:imagedata r:id="rId14" o:title=""/>
                  <o:lock v:ext="edit" aspectratio="f"/>
                  <w10:wrap type="none"/>
                  <w10:anchorlock/>
                </v:shape>
                <o:OLEObject Type="Embed" ProgID="Visio.Drawing.11" ShapeID="_x0000_i1028" DrawAspect="Content" ObjectID="_1468075728" r:id="rId13">
                  <o:LockedField>false</o:LockedField>
                </o:OLEObject>
              </w:object>
            </w:r>
          </w:p>
          <w:p>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jc w:val="center"/>
              <w:textAlignment w:val="auto"/>
              <w:rPr>
                <w:b/>
                <w:color w:val="auto"/>
                <w:kern w:val="0"/>
                <w:sz w:val="21"/>
                <w:szCs w:val="21"/>
                <w:highlight w:val="none"/>
                <w:lang w:val="zh-CN"/>
              </w:rPr>
            </w:pPr>
            <w:r>
              <w:rPr>
                <w:b/>
                <w:color w:val="auto"/>
                <w:kern w:val="0"/>
                <w:sz w:val="21"/>
                <w:szCs w:val="21"/>
                <w:highlight w:val="none"/>
                <w:lang w:val="zh-CN"/>
              </w:rPr>
              <w:t>图</w:t>
            </w:r>
            <w:r>
              <w:rPr>
                <w:b/>
                <w:color w:val="auto"/>
                <w:kern w:val="0"/>
                <w:sz w:val="21"/>
                <w:szCs w:val="21"/>
                <w:highlight w:val="none"/>
              </w:rPr>
              <w:t>4-</w:t>
            </w:r>
            <w:r>
              <w:rPr>
                <w:rFonts w:hint="eastAsia"/>
                <w:b/>
                <w:color w:val="auto"/>
                <w:kern w:val="0"/>
                <w:sz w:val="21"/>
                <w:szCs w:val="21"/>
                <w:highlight w:val="none"/>
                <w:lang w:val="en-US" w:eastAsia="zh-CN"/>
              </w:rPr>
              <w:t>2</w:t>
            </w:r>
            <w:r>
              <w:rPr>
                <w:b/>
                <w:color w:val="auto"/>
                <w:kern w:val="0"/>
                <w:sz w:val="21"/>
                <w:szCs w:val="21"/>
                <w:highlight w:val="none"/>
              </w:rPr>
              <w:t xml:space="preserve"> </w:t>
            </w:r>
            <w:r>
              <w:rPr>
                <w:b/>
                <w:color w:val="auto"/>
                <w:kern w:val="0"/>
                <w:sz w:val="21"/>
                <w:szCs w:val="21"/>
                <w:highlight w:val="none"/>
                <w:lang w:val="zh-CN"/>
              </w:rPr>
              <w:t>废气治理及排放措施</w:t>
            </w:r>
          </w:p>
          <w:p>
            <w:pPr>
              <w:pStyle w:val="5"/>
              <w:keepNext/>
              <w:keepLines/>
              <w:pageBreakBefore w:val="0"/>
              <w:widowControl w:val="0"/>
              <w:numPr>
                <w:ilvl w:val="0"/>
                <w:numId w:val="5"/>
              </w:numPr>
              <w:kinsoku/>
              <w:wordWrap/>
              <w:overflowPunct/>
              <w:topLinePunct w:val="0"/>
              <w:autoSpaceDE/>
              <w:autoSpaceDN/>
              <w:bidi w:val="0"/>
              <w:adjustRightInd w:val="0"/>
              <w:snapToGrid w:val="0"/>
              <w:spacing w:before="0" w:after="0" w:line="360" w:lineRule="auto"/>
              <w:ind w:left="420" w:leftChars="0" w:firstLine="0" w:firstLineChars="0"/>
              <w:textAlignment w:val="auto"/>
              <w:rPr>
                <w:rFonts w:hint="eastAsia"/>
                <w:b/>
                <w:color w:val="auto"/>
                <w:kern w:val="0"/>
                <w:sz w:val="21"/>
                <w:szCs w:val="21"/>
                <w:highlight w:val="none"/>
                <w:lang w:val="en-US" w:eastAsia="zh-CN"/>
              </w:rPr>
            </w:pPr>
            <w:r>
              <w:rPr>
                <w:rFonts w:hint="eastAsia"/>
                <w:b/>
                <w:color w:val="auto"/>
                <w:kern w:val="0"/>
                <w:sz w:val="21"/>
                <w:szCs w:val="21"/>
                <w:highlight w:val="none"/>
                <w:lang w:val="en-US" w:eastAsia="zh-CN"/>
              </w:rPr>
              <w:t>废气收集设计参数</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0" w:afterAutospacing="0" w:line="360" w:lineRule="auto"/>
              <w:ind w:right="0" w:firstLine="420" w:firstLineChars="200"/>
              <w:jc w:val="both"/>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根据《工业通风（第四版修订本）》（孙一坚，沈恒根主编）中外部集气罩排风量计算公式：</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0" w:afterAutospacing="0" w:line="360" w:lineRule="auto"/>
              <w:ind w:left="0" w:right="0" w:firstLine="420" w:firstLineChars="200"/>
              <w:jc w:val="both"/>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L=K·P·H·Vx*3600</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0" w:afterAutospacing="0" w:line="360" w:lineRule="auto"/>
              <w:ind w:left="0" w:right="0" w:firstLine="420" w:firstLineChars="200"/>
              <w:jc w:val="both"/>
              <w:textAlignment w:val="auto"/>
              <w:rPr>
                <w:rFonts w:hint="eastAsia"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Cs/>
                <w:color w:val="auto"/>
                <w:sz w:val="21"/>
                <w:szCs w:val="21"/>
                <w:highlight w:val="none"/>
              </w:rPr>
              <w:t>式中：L——集气罩排风量，m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rPr>
              <w:t>/h</w:t>
            </w:r>
            <w:r>
              <w:rPr>
                <w:rFonts w:hint="eastAsia" w:ascii="Times New Roman" w:hAnsi="Times New Roman" w:eastAsia="宋体" w:cs="Times New Roman"/>
                <w:bCs/>
                <w:color w:val="auto"/>
                <w:sz w:val="21"/>
                <w:szCs w:val="21"/>
                <w:highlight w:val="none"/>
                <w:lang w:eastAsia="zh-CN"/>
              </w:rPr>
              <w:t>；</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0" w:afterAutospacing="0" w:line="360" w:lineRule="auto"/>
              <w:ind w:left="0" w:right="0" w:firstLine="1050" w:firstLineChars="500"/>
              <w:jc w:val="both"/>
              <w:textAlignment w:val="auto"/>
              <w:rPr>
                <w:rFonts w:hint="eastAsia"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Cs/>
                <w:color w:val="auto"/>
                <w:sz w:val="21"/>
                <w:szCs w:val="21"/>
                <w:highlight w:val="none"/>
              </w:rPr>
              <w:t>K——安全系数，通常取1.4</w:t>
            </w:r>
            <w:r>
              <w:rPr>
                <w:rFonts w:hint="eastAsia" w:ascii="Times New Roman" w:hAnsi="Times New Roman" w:eastAsia="宋体" w:cs="Times New Roman"/>
                <w:bCs/>
                <w:color w:val="auto"/>
                <w:sz w:val="21"/>
                <w:szCs w:val="21"/>
                <w:highlight w:val="none"/>
                <w:lang w:eastAsia="zh-CN"/>
              </w:rPr>
              <w:t>；</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0" w:afterAutospacing="0" w:line="360" w:lineRule="auto"/>
              <w:ind w:left="0" w:right="0" w:firstLine="1050" w:firstLineChars="500"/>
              <w:jc w:val="both"/>
              <w:textAlignment w:val="auto"/>
              <w:rPr>
                <w:rFonts w:hint="eastAsia"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Cs/>
                <w:color w:val="auto"/>
                <w:sz w:val="21"/>
                <w:szCs w:val="21"/>
                <w:highlight w:val="none"/>
              </w:rPr>
              <w:t>P——排风罩口敞口面的周长</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bCs/>
                <w:color w:val="auto"/>
                <w:sz w:val="21"/>
                <w:szCs w:val="21"/>
                <w:highlight w:val="none"/>
                <w:lang w:val="en-US" w:eastAsia="zh-CN"/>
              </w:rPr>
              <w:t>1.0*4m；</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0" w:afterAutospacing="0" w:line="360" w:lineRule="auto"/>
              <w:ind w:left="0" w:right="0" w:firstLine="1050" w:firstLineChars="500"/>
              <w:jc w:val="both"/>
              <w:textAlignment w:val="auto"/>
              <w:rPr>
                <w:rFonts w:hint="eastAsia"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Cs/>
                <w:color w:val="auto"/>
                <w:sz w:val="21"/>
                <w:szCs w:val="21"/>
                <w:highlight w:val="none"/>
              </w:rPr>
              <w:t>H——罩点到污染物的距离</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bCs/>
                <w:color w:val="auto"/>
                <w:sz w:val="21"/>
                <w:szCs w:val="21"/>
                <w:highlight w:val="none"/>
                <w:lang w:val="en-US" w:eastAsia="zh-CN"/>
              </w:rPr>
              <w:t>0.35m；</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0" w:afterAutospacing="0" w:line="360" w:lineRule="auto"/>
              <w:ind w:left="0" w:right="0" w:firstLine="1050" w:firstLineChars="500"/>
              <w:jc w:val="both"/>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Vx——污染源气体流速，m/s，一般在0.5-1.5m/s。</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0" w:afterAutospacing="0" w:line="360" w:lineRule="auto"/>
              <w:ind w:right="0" w:firstLine="420" w:firstLineChars="200"/>
              <w:jc w:val="both"/>
              <w:textAlignment w:val="auto"/>
              <w:rPr>
                <w:rFonts w:hint="eastAsia"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Cs/>
                <w:color w:val="auto"/>
                <w:sz w:val="21"/>
                <w:szCs w:val="21"/>
                <w:highlight w:val="none"/>
              </w:rPr>
              <w:t>根据《2020年挥发性有机物治理攻坚方案》（环大气〔2020〕33号）要求：按照“应收尽收”的原则提升废气收集率。对于采用局部集气罩的，应根据废气排放特点合理选择收集点位，距集气罩开口面最远处的VOCs无组织排放位置，控制风速不低于0.3米/秒，本次Vx取0.5m/s</w:t>
            </w:r>
            <w:r>
              <w:rPr>
                <w:rFonts w:hint="eastAsia" w:ascii="Times New Roman" w:hAnsi="Times New Roman" w:eastAsia="宋体" w:cs="Times New Roman"/>
                <w:bCs/>
                <w:color w:val="auto"/>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default"/>
                <w:color w:val="auto"/>
                <w:lang w:val="en-US" w:eastAsia="zh-CN"/>
              </w:rPr>
            </w:pPr>
            <w:r>
              <w:rPr>
                <w:rFonts w:hint="default" w:ascii="Times New Roman" w:hAnsi="Times New Roman" w:eastAsia="宋体" w:cs="Times New Roman"/>
                <w:color w:val="auto"/>
                <w:sz w:val="21"/>
                <w:szCs w:val="21"/>
                <w:highlight w:val="none"/>
                <w:lang w:val="en-US" w:eastAsia="zh-CN"/>
              </w:rPr>
              <w:t>经计算，L=</w:t>
            </w:r>
            <w:r>
              <w:rPr>
                <w:rFonts w:hint="eastAsia" w:ascii="Times New Roman" w:hAnsi="Times New Roman" w:eastAsia="宋体" w:cs="Times New Roman"/>
                <w:color w:val="auto"/>
                <w:sz w:val="21"/>
                <w:szCs w:val="21"/>
                <w:highlight w:val="none"/>
                <w:lang w:val="en-US" w:eastAsia="zh-CN"/>
              </w:rPr>
              <w:t>3528</w:t>
            </w:r>
            <w:r>
              <w:rPr>
                <w:rFonts w:hint="default" w:ascii="Times New Roman" w:hAnsi="Times New Roman" w:eastAsia="宋体" w:cs="Times New Roman"/>
                <w:color w:val="auto"/>
                <w:sz w:val="21"/>
                <w:szCs w:val="21"/>
                <w:highlight w:val="none"/>
                <w:lang w:val="en-US" w:eastAsia="zh-CN"/>
              </w:rPr>
              <w:t>m</w:t>
            </w:r>
            <w:r>
              <w:rPr>
                <w:rFonts w:hint="default" w:ascii="Times New Roman" w:hAnsi="Times New Roman" w:eastAsia="宋体" w:cs="Times New Roman"/>
                <w:color w:val="auto"/>
                <w:sz w:val="21"/>
                <w:szCs w:val="21"/>
                <w:highlight w:val="none"/>
                <w:vertAlign w:val="superscript"/>
                <w:lang w:val="en-US" w:eastAsia="zh-CN"/>
              </w:rPr>
              <w:t>3</w:t>
            </w:r>
            <w:r>
              <w:rPr>
                <w:rFonts w:hint="default" w:ascii="Times New Roman" w:hAnsi="Times New Roman" w:eastAsia="宋体" w:cs="Times New Roman"/>
                <w:color w:val="auto"/>
                <w:sz w:val="21"/>
                <w:szCs w:val="21"/>
                <w:highlight w:val="none"/>
                <w:lang w:val="en-US" w:eastAsia="zh-CN"/>
              </w:rPr>
              <w:t>/h，</w:t>
            </w:r>
            <w:r>
              <w:rPr>
                <w:rFonts w:hint="eastAsia" w:ascii="Times New Roman" w:hAnsi="Times New Roman" w:eastAsia="宋体" w:cs="Times New Roman"/>
                <w:color w:val="auto"/>
                <w:sz w:val="21"/>
                <w:szCs w:val="21"/>
                <w:highlight w:val="none"/>
                <w:lang w:val="en-US" w:eastAsia="zh-CN"/>
              </w:rPr>
              <w:t>挤出成型工序共设置2个集气罩，则合计风机风量为7056m</w:t>
            </w:r>
            <w:r>
              <w:rPr>
                <w:rFonts w:hint="eastAsia" w:ascii="Times New Roman" w:hAnsi="Times New Roman" w:eastAsia="宋体" w:cs="Times New Roman"/>
                <w:color w:val="auto"/>
                <w:sz w:val="21"/>
                <w:szCs w:val="21"/>
                <w:highlight w:val="none"/>
                <w:vertAlign w:val="superscript"/>
                <w:lang w:val="en-US" w:eastAsia="zh-CN"/>
              </w:rPr>
              <w:t>3</w:t>
            </w:r>
            <w:r>
              <w:rPr>
                <w:rFonts w:hint="eastAsia" w:ascii="Times New Roman" w:hAnsi="Times New Roman" w:eastAsia="宋体" w:cs="Times New Roman"/>
                <w:color w:val="auto"/>
                <w:sz w:val="21"/>
                <w:szCs w:val="21"/>
                <w:highlight w:val="none"/>
                <w:lang w:val="en-US" w:eastAsia="zh-CN"/>
              </w:rPr>
              <w:t>/h，</w:t>
            </w:r>
            <w:r>
              <w:rPr>
                <w:rFonts w:hint="default" w:ascii="Times New Roman" w:hAnsi="Times New Roman" w:eastAsia="宋体" w:cs="Times New Roman"/>
                <w:color w:val="auto"/>
                <w:sz w:val="21"/>
                <w:szCs w:val="21"/>
                <w:highlight w:val="none"/>
                <w:lang w:val="en-US" w:eastAsia="zh-CN"/>
              </w:rPr>
              <w:t>考虑到在废气管道和处理装置中的风量损失</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故本项目</w:t>
            </w:r>
            <w:r>
              <w:rPr>
                <w:rFonts w:hint="eastAsia" w:ascii="Times New Roman" w:hAnsi="Times New Roman" w:cs="Times New Roman"/>
                <w:color w:val="auto"/>
                <w:sz w:val="21"/>
                <w:szCs w:val="21"/>
                <w:highlight w:val="none"/>
                <w:lang w:val="en-US" w:eastAsia="zh-CN"/>
              </w:rPr>
              <w:t>二级活性炭吸附装置</w:t>
            </w:r>
            <w:r>
              <w:rPr>
                <w:rFonts w:hint="default" w:ascii="Times New Roman" w:hAnsi="Times New Roman" w:eastAsia="宋体" w:cs="Times New Roman"/>
                <w:color w:val="auto"/>
                <w:sz w:val="21"/>
                <w:szCs w:val="21"/>
                <w:highlight w:val="none"/>
                <w:lang w:val="en-US" w:eastAsia="zh-CN"/>
              </w:rPr>
              <w:t>设计风量确定为</w:t>
            </w:r>
            <w:r>
              <w:rPr>
                <w:rFonts w:hint="eastAsia" w:ascii="Times New Roman" w:hAnsi="Times New Roman" w:eastAsia="宋体" w:cs="Times New Roman"/>
                <w:color w:val="auto"/>
                <w:sz w:val="21"/>
                <w:szCs w:val="21"/>
                <w:highlight w:val="none"/>
                <w:lang w:val="en-US" w:eastAsia="zh-CN"/>
              </w:rPr>
              <w:t>8000</w:t>
            </w:r>
            <w:r>
              <w:rPr>
                <w:rFonts w:hint="default" w:ascii="Times New Roman" w:hAnsi="Times New Roman" w:eastAsia="宋体" w:cs="Times New Roman"/>
                <w:bCs/>
                <w:color w:val="auto"/>
                <w:kern w:val="2"/>
                <w:sz w:val="21"/>
                <w:szCs w:val="21"/>
                <w:highlight w:val="none"/>
                <w:lang w:val="en-US" w:eastAsia="zh-CN"/>
              </w:rPr>
              <w:t>m</w:t>
            </w:r>
            <w:r>
              <w:rPr>
                <w:rFonts w:hint="default" w:ascii="Times New Roman" w:hAnsi="Times New Roman" w:eastAsia="宋体" w:cs="Times New Roman"/>
                <w:bCs/>
                <w:color w:val="auto"/>
                <w:kern w:val="2"/>
                <w:sz w:val="21"/>
                <w:szCs w:val="21"/>
                <w:highlight w:val="none"/>
                <w:vertAlign w:val="superscript"/>
                <w:lang w:val="en-US" w:eastAsia="zh-CN"/>
              </w:rPr>
              <w:t>3</w:t>
            </w:r>
            <w:r>
              <w:rPr>
                <w:rFonts w:hint="default" w:ascii="Times New Roman" w:hAnsi="Times New Roman" w:eastAsia="宋体" w:cs="Times New Roman"/>
                <w:bCs/>
                <w:color w:val="auto"/>
                <w:kern w:val="2"/>
                <w:sz w:val="21"/>
                <w:szCs w:val="21"/>
                <w:highlight w:val="none"/>
                <w:vertAlign w:val="baseline"/>
                <w:lang w:val="en-US" w:eastAsia="zh-CN"/>
              </w:rPr>
              <w:t>/h</w:t>
            </w:r>
            <w:r>
              <w:rPr>
                <w:rFonts w:hint="eastAsia" w:ascii="Times New Roman" w:hAnsi="Times New Roman" w:eastAsia="宋体" w:cs="Times New Roman"/>
                <w:bCs/>
                <w:color w:val="auto"/>
                <w:kern w:val="2"/>
                <w:sz w:val="21"/>
                <w:szCs w:val="21"/>
                <w:highlight w:val="none"/>
                <w:vertAlign w:val="baseli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bCs/>
                <w:color w:val="auto"/>
                <w:szCs w:val="21"/>
                <w:highlight w:val="none"/>
              </w:rPr>
            </w:pPr>
            <w:r>
              <w:rPr>
                <w:rFonts w:hint="eastAsia"/>
                <w:b/>
                <w:bCs/>
                <w:color w:val="auto"/>
                <w:szCs w:val="21"/>
                <w:highlight w:val="none"/>
              </w:rPr>
              <w:t>（</w:t>
            </w:r>
            <w:r>
              <w:rPr>
                <w:rFonts w:hint="eastAsia"/>
                <w:b/>
                <w:bCs/>
                <w:color w:val="auto"/>
                <w:szCs w:val="21"/>
                <w:highlight w:val="none"/>
                <w:lang w:val="en-US" w:eastAsia="zh-CN"/>
              </w:rPr>
              <w:t>3</w:t>
            </w:r>
            <w:r>
              <w:rPr>
                <w:rFonts w:hint="eastAsia"/>
                <w:b/>
                <w:bCs/>
                <w:color w:val="auto"/>
                <w:szCs w:val="21"/>
                <w:highlight w:val="none"/>
              </w:rPr>
              <w:t>）</w:t>
            </w:r>
            <w:r>
              <w:rPr>
                <w:b/>
                <w:bCs/>
                <w:color w:val="auto"/>
                <w:szCs w:val="21"/>
                <w:highlight w:val="none"/>
              </w:rPr>
              <w:t>处置措施可行性分析</w:t>
            </w:r>
          </w:p>
          <w:p>
            <w:pPr>
              <w:autoSpaceDE w:val="0"/>
              <w:autoSpaceDN w:val="0"/>
              <w:adjustRightInd w:val="0"/>
              <w:spacing w:line="360" w:lineRule="auto"/>
              <w:ind w:firstLine="420" w:firstLineChars="200"/>
              <w:rPr>
                <w:rFonts w:hint="eastAsia"/>
                <w:bCs/>
                <w:color w:val="auto"/>
                <w:sz w:val="21"/>
                <w:szCs w:val="21"/>
                <w:highlight w:val="none"/>
                <w:lang w:val="en-US" w:eastAsia="zh-CN"/>
              </w:rPr>
            </w:pPr>
            <w:r>
              <w:rPr>
                <w:rFonts w:hint="eastAsia"/>
                <w:bCs/>
                <w:color w:val="auto"/>
                <w:sz w:val="21"/>
                <w:szCs w:val="21"/>
                <w:highlight w:val="none"/>
                <w:lang w:val="en-US" w:eastAsia="zh-CN"/>
              </w:rPr>
              <w:t>1）废气处理装置运行原理</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420" w:firstLineChars="200"/>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活性炭吸附原理：活性炭吸附是利用活性炭的多孔性，存在吸引力的原理而开发的。由于固体表面上存在着未平衡饱和的分子力或化学键力，因此当此固体表面与气体接触时，就能吸引气体分子，使其浓集并保持在固体表面，这种现象就是吸附现象。本工艺所采用的活性炭吸附法就是利用固体表面的这种性质，当废气与大表面积的多孔性活性炭相接触，废气中的污染物被吸附在活性炭固体表面，从而与气体混合物分离，达到净化的目的。</w:t>
            </w:r>
          </w:p>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表4</w:t>
            </w:r>
            <w:r>
              <w:rPr>
                <w:rFonts w:hint="eastAsia" w:ascii="Times New Roman" w:hAnsi="Times New Roman" w:cs="Times New Roman"/>
                <w:b/>
                <w:bCs/>
                <w:color w:val="auto"/>
                <w:sz w:val="21"/>
                <w:szCs w:val="21"/>
                <w:highlight w:val="none"/>
                <w:lang w:val="en-US" w:eastAsia="zh-CN"/>
              </w:rPr>
              <w:t>-</w:t>
            </w:r>
            <w:r>
              <w:rPr>
                <w:rFonts w:hint="eastAsia" w:cs="Times New Roman"/>
                <w:b/>
                <w:bCs/>
                <w:color w:val="auto"/>
                <w:sz w:val="21"/>
                <w:szCs w:val="21"/>
                <w:highlight w:val="none"/>
                <w:lang w:val="en-US" w:eastAsia="zh-CN"/>
              </w:rPr>
              <w:t xml:space="preserve">6 </w:t>
            </w:r>
            <w:r>
              <w:rPr>
                <w:rFonts w:hint="default" w:ascii="Times New Roman" w:hAnsi="Times New Roman" w:eastAsia="宋体" w:cs="Times New Roman"/>
                <w:b/>
                <w:bCs/>
                <w:color w:val="auto"/>
                <w:sz w:val="21"/>
                <w:szCs w:val="21"/>
                <w:highlight w:val="none"/>
              </w:rPr>
              <w:t>活性炭技术参数</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0" w:type="dxa"/>
                <w:bottom w:w="0" w:type="dxa"/>
                <w:right w:w="0" w:type="dxa"/>
              </w:tblCellMar>
            </w:tblPr>
            <w:tblGrid>
              <w:gridCol w:w="1269"/>
              <w:gridCol w:w="2807"/>
              <w:gridCol w:w="1815"/>
              <w:gridCol w:w="2587"/>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rPr>
                    <w:t>序号</w:t>
                  </w:r>
                </w:p>
              </w:tc>
              <w:tc>
                <w:tcPr>
                  <w:tcW w:w="165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rPr>
                    <w:t>项目</w:t>
                  </w:r>
                </w:p>
              </w:tc>
              <w:tc>
                <w:tcPr>
                  <w:tcW w:w="1070"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rPr>
                    <w:t>单位</w:t>
                  </w:r>
                </w:p>
              </w:tc>
              <w:tc>
                <w:tcPr>
                  <w:tcW w:w="152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rPr>
                    <w:t>技术指标</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w:t>
                  </w:r>
                </w:p>
              </w:tc>
              <w:tc>
                <w:tcPr>
                  <w:tcW w:w="165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单级活性炭吸附箱尺寸</w:t>
                  </w:r>
                </w:p>
              </w:tc>
              <w:tc>
                <w:tcPr>
                  <w:tcW w:w="1070"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m</w:t>
                  </w:r>
                </w:p>
              </w:tc>
              <w:tc>
                <w:tcPr>
                  <w:tcW w:w="152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val="en-US" w:eastAsia="zh-CN"/>
                    </w:rPr>
                    <w:t>1.</w:t>
                  </w:r>
                  <w:r>
                    <w:rPr>
                      <w:rFonts w:hint="eastAsia" w:cs="Times New Roman"/>
                      <w:color w:val="auto"/>
                      <w:szCs w:val="21"/>
                      <w:highlight w:val="none"/>
                      <w:lang w:val="en-US" w:eastAsia="zh-CN"/>
                    </w:rPr>
                    <w:t>5</w:t>
                  </w:r>
                  <w:r>
                    <w:rPr>
                      <w:rFonts w:hint="default" w:ascii="Times New Roman" w:hAnsi="Times New Roman" w:eastAsia="宋体" w:cs="Times New Roman"/>
                      <w:color w:val="auto"/>
                      <w:szCs w:val="21"/>
                      <w:highlight w:val="none"/>
                    </w:rPr>
                    <w:t>m*</w:t>
                  </w:r>
                  <w:r>
                    <w:rPr>
                      <w:rFonts w:hint="default" w:ascii="Times New Roman" w:hAnsi="Times New Roman" w:eastAsia="宋体" w:cs="Times New Roman"/>
                      <w:color w:val="auto"/>
                      <w:szCs w:val="21"/>
                      <w:highlight w:val="none"/>
                      <w:lang w:val="en-US" w:eastAsia="zh-CN"/>
                    </w:rPr>
                    <w:t>1.</w:t>
                  </w:r>
                  <w:r>
                    <w:rPr>
                      <w:rFonts w:hint="eastAsia" w:cs="Times New Roman"/>
                      <w:color w:val="auto"/>
                      <w:szCs w:val="21"/>
                      <w:highlight w:val="none"/>
                      <w:lang w:val="en-US" w:eastAsia="zh-CN"/>
                    </w:rPr>
                    <w:t>5</w:t>
                  </w:r>
                  <w:r>
                    <w:rPr>
                      <w:rFonts w:hint="default" w:ascii="Times New Roman" w:hAnsi="Times New Roman" w:eastAsia="宋体" w:cs="Times New Roman"/>
                      <w:color w:val="auto"/>
                      <w:szCs w:val="21"/>
                      <w:highlight w:val="none"/>
                    </w:rPr>
                    <w:t>m*</w:t>
                  </w:r>
                  <w:r>
                    <w:rPr>
                      <w:rFonts w:hint="default" w:ascii="Times New Roman" w:hAnsi="Times New Roman" w:eastAsia="宋体" w:cs="Times New Roman"/>
                      <w:color w:val="auto"/>
                      <w:szCs w:val="21"/>
                      <w:highlight w:val="none"/>
                      <w:lang w:val="en-US" w:eastAsia="zh-CN"/>
                    </w:rPr>
                    <w:t>1</w:t>
                  </w:r>
                  <w:r>
                    <w:rPr>
                      <w:rFonts w:hint="default" w:ascii="Times New Roman" w:hAnsi="Times New Roman" w:eastAsia="宋体" w:cs="Times New Roman"/>
                      <w:color w:val="auto"/>
                      <w:szCs w:val="21"/>
                      <w:highlight w:val="none"/>
                    </w:rPr>
                    <w:t>m</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2</w:t>
                  </w:r>
                </w:p>
              </w:tc>
              <w:tc>
                <w:tcPr>
                  <w:tcW w:w="165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val="en-US" w:eastAsia="zh-CN"/>
                    </w:rPr>
                    <w:t>填充物</w:t>
                  </w:r>
                </w:p>
              </w:tc>
              <w:tc>
                <w:tcPr>
                  <w:tcW w:w="1070"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w:t>
                  </w:r>
                </w:p>
              </w:tc>
              <w:tc>
                <w:tcPr>
                  <w:tcW w:w="152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蜂窝式活性炭</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3</w:t>
                  </w:r>
                </w:p>
              </w:tc>
              <w:tc>
                <w:tcPr>
                  <w:tcW w:w="165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val="en-US" w:eastAsia="zh-CN"/>
                    </w:rPr>
                    <w:t>活性炭</w:t>
                  </w:r>
                  <w:r>
                    <w:rPr>
                      <w:rFonts w:hint="default" w:ascii="Times New Roman" w:hAnsi="Times New Roman" w:eastAsia="宋体" w:cs="Times New Roman"/>
                      <w:color w:val="auto"/>
                      <w:szCs w:val="21"/>
                      <w:highlight w:val="none"/>
                    </w:rPr>
                    <w:t>碘值</w:t>
                  </w:r>
                </w:p>
              </w:tc>
              <w:tc>
                <w:tcPr>
                  <w:tcW w:w="1070"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mg/g</w:t>
                  </w:r>
                </w:p>
              </w:tc>
              <w:tc>
                <w:tcPr>
                  <w:tcW w:w="152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sz w:val="21"/>
                      <w:szCs w:val="21"/>
                      <w:highlight w:val="none"/>
                      <w:lang w:val="en-US" w:eastAsia="zh-CN"/>
                    </w:rPr>
                    <w:t>650</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4</w:t>
                  </w:r>
                </w:p>
              </w:tc>
              <w:tc>
                <w:tcPr>
                  <w:tcW w:w="165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val="en-US" w:eastAsia="zh-CN"/>
                    </w:rPr>
                    <w:t>活性炭</w:t>
                  </w:r>
                  <w:r>
                    <w:rPr>
                      <w:rFonts w:hint="default" w:ascii="Times New Roman" w:hAnsi="Times New Roman" w:eastAsia="宋体" w:cs="Times New Roman"/>
                      <w:color w:val="auto"/>
                      <w:szCs w:val="21"/>
                      <w:highlight w:val="none"/>
                    </w:rPr>
                    <w:t>密度</w:t>
                  </w:r>
                </w:p>
              </w:tc>
              <w:tc>
                <w:tcPr>
                  <w:tcW w:w="1070"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g/cm</w:t>
                  </w:r>
                  <w:r>
                    <w:rPr>
                      <w:rFonts w:hint="default" w:ascii="Times New Roman" w:hAnsi="Times New Roman" w:eastAsia="宋体" w:cs="Times New Roman"/>
                      <w:color w:val="auto"/>
                      <w:szCs w:val="21"/>
                      <w:highlight w:val="none"/>
                      <w:vertAlign w:val="superscript"/>
                    </w:rPr>
                    <w:t>3</w:t>
                  </w:r>
                </w:p>
              </w:tc>
              <w:tc>
                <w:tcPr>
                  <w:tcW w:w="152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0.5</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5</w:t>
                  </w:r>
                </w:p>
              </w:tc>
              <w:tc>
                <w:tcPr>
                  <w:tcW w:w="165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过滤风速</w:t>
                  </w:r>
                </w:p>
              </w:tc>
              <w:tc>
                <w:tcPr>
                  <w:tcW w:w="1070"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m/s</w:t>
                  </w:r>
                </w:p>
              </w:tc>
              <w:tc>
                <w:tcPr>
                  <w:tcW w:w="152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0.99</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6</w:t>
                  </w:r>
                </w:p>
              </w:tc>
              <w:tc>
                <w:tcPr>
                  <w:tcW w:w="165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设备数量</w:t>
                  </w:r>
                </w:p>
              </w:tc>
              <w:tc>
                <w:tcPr>
                  <w:tcW w:w="1070"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台</w:t>
                  </w:r>
                </w:p>
              </w:tc>
              <w:tc>
                <w:tcPr>
                  <w:tcW w:w="152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szCs w:val="21"/>
                      <w:highlight w:val="none"/>
                      <w:lang w:val="en-US" w:eastAsia="zh-CN"/>
                    </w:rPr>
                    <w:t>1</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7</w:t>
                  </w:r>
                </w:p>
              </w:tc>
              <w:tc>
                <w:tcPr>
                  <w:tcW w:w="165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填充量</w:t>
                  </w:r>
                </w:p>
              </w:tc>
              <w:tc>
                <w:tcPr>
                  <w:tcW w:w="1070"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t/a</w:t>
                  </w:r>
                </w:p>
              </w:tc>
              <w:tc>
                <w:tcPr>
                  <w:tcW w:w="152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二级，每级</w:t>
                  </w:r>
                  <w:r>
                    <w:rPr>
                      <w:rFonts w:hint="eastAsia" w:cs="Times New Roman"/>
                      <w:color w:val="auto"/>
                      <w:kern w:val="2"/>
                      <w:sz w:val="21"/>
                      <w:szCs w:val="21"/>
                      <w:highlight w:val="none"/>
                      <w:lang w:val="en-US" w:eastAsia="zh-CN" w:bidi="ar-SA"/>
                    </w:rPr>
                    <w:t>0.3</w:t>
                  </w:r>
                  <w:r>
                    <w:rPr>
                      <w:rFonts w:hint="default" w:ascii="Times New Roman" w:hAnsi="Times New Roman" w:eastAsia="宋体" w:cs="Times New Roman"/>
                      <w:color w:val="auto"/>
                      <w:kern w:val="2"/>
                      <w:sz w:val="21"/>
                      <w:szCs w:val="21"/>
                      <w:highlight w:val="none"/>
                      <w:lang w:val="en-US" w:eastAsia="zh-CN" w:bidi="ar-SA"/>
                    </w:rPr>
                    <w:t>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8</w:t>
                  </w:r>
                </w:p>
              </w:tc>
              <w:tc>
                <w:tcPr>
                  <w:tcW w:w="165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val="en-US" w:eastAsia="zh-CN"/>
                    </w:rPr>
                    <w:t>填充层</w:t>
                  </w:r>
                </w:p>
              </w:tc>
              <w:tc>
                <w:tcPr>
                  <w:tcW w:w="1070"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b w:val="0"/>
                      <w:bCs w:val="0"/>
                      <w:color w:val="auto"/>
                      <w:sz w:val="21"/>
                      <w:szCs w:val="21"/>
                      <w:highlight w:val="none"/>
                      <w:vertAlign w:val="baseline"/>
                      <w:lang w:val="en-US" w:eastAsia="zh-CN"/>
                    </w:rPr>
                    <w:t>层</w:t>
                  </w:r>
                </w:p>
              </w:tc>
              <w:tc>
                <w:tcPr>
                  <w:tcW w:w="152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val="en-US" w:eastAsia="zh-CN"/>
                    </w:rPr>
                    <w:t>2</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9</w:t>
                  </w:r>
                </w:p>
              </w:tc>
              <w:tc>
                <w:tcPr>
                  <w:tcW w:w="165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更换周期</w:t>
                  </w:r>
                </w:p>
              </w:tc>
              <w:tc>
                <w:tcPr>
                  <w:tcW w:w="1070"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eastAsia="zh-CN"/>
                    </w:rPr>
                    <w:t>—</w:t>
                  </w:r>
                </w:p>
              </w:tc>
              <w:tc>
                <w:tcPr>
                  <w:tcW w:w="1525"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每</w:t>
                  </w:r>
                  <w:r>
                    <w:rPr>
                      <w:rFonts w:hint="eastAsia" w:cs="Times New Roman"/>
                      <w:color w:val="auto"/>
                      <w:szCs w:val="21"/>
                      <w:highlight w:val="none"/>
                      <w:lang w:val="en-US" w:eastAsia="zh-CN"/>
                    </w:rPr>
                    <w:t>3个月</w:t>
                  </w:r>
                  <w:r>
                    <w:rPr>
                      <w:rFonts w:hint="default" w:ascii="Times New Roman" w:hAnsi="Times New Roman" w:eastAsia="宋体" w:cs="Times New Roman"/>
                      <w:color w:val="auto"/>
                      <w:szCs w:val="21"/>
                      <w:highlight w:val="none"/>
                    </w:rPr>
                    <w:t>更换</w:t>
                  </w:r>
                  <w:r>
                    <w:rPr>
                      <w:rFonts w:hint="default" w:ascii="Times New Roman" w:hAnsi="Times New Roman" w:eastAsia="宋体" w:cs="Times New Roman"/>
                      <w:color w:val="auto"/>
                      <w:szCs w:val="21"/>
                      <w:highlight w:val="none"/>
                      <w:lang w:val="en-US" w:eastAsia="zh-CN"/>
                    </w:rPr>
                    <w:t>1</w:t>
                  </w:r>
                  <w:r>
                    <w:rPr>
                      <w:rFonts w:hint="default" w:ascii="Times New Roman" w:hAnsi="Times New Roman" w:eastAsia="宋体" w:cs="Times New Roman"/>
                      <w:color w:val="auto"/>
                      <w:szCs w:val="21"/>
                      <w:highlight w:val="none"/>
                    </w:rPr>
                    <w:t>次</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val="en-US" w:eastAsia="zh-CN"/>
                    </w:rPr>
                    <w:t>10</w:t>
                  </w:r>
                </w:p>
              </w:tc>
              <w:tc>
                <w:tcPr>
                  <w:tcW w:w="1655" w:type="pct"/>
                  <w:vMerge w:val="restar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b w:val="0"/>
                      <w:bCs w:val="0"/>
                      <w:color w:val="auto"/>
                      <w:sz w:val="21"/>
                      <w:szCs w:val="21"/>
                      <w:highlight w:val="none"/>
                      <w:vertAlign w:val="baseline"/>
                      <w:lang w:eastAsia="zh-CN"/>
                    </w:rPr>
                    <w:t>排气筒参数</w:t>
                  </w:r>
                </w:p>
              </w:tc>
              <w:tc>
                <w:tcPr>
                  <w:tcW w:w="1070" w:type="pct"/>
                  <w:tcBorders>
                    <w:tl2br w:val="nil"/>
                    <w:tr2bl w:val="nil"/>
                  </w:tcBorders>
                  <w:noWrap w:val="0"/>
                  <w:tcMar>
                    <w:top w:w="0" w:type="dxa"/>
                    <w:left w:w="0" w:type="dxa"/>
                    <w:bottom w:w="0" w:type="dxa"/>
                    <w:right w:w="0" w:type="dxa"/>
                  </w:tcMar>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val="0"/>
                      <w:bCs w:val="0"/>
                      <w:color w:val="auto"/>
                      <w:kern w:val="2"/>
                      <w:sz w:val="21"/>
                      <w:szCs w:val="21"/>
                      <w:highlight w:val="none"/>
                      <w:vertAlign w:val="baseline"/>
                      <w:lang w:val="en-US" w:eastAsia="zh-CN" w:bidi="ar-SA"/>
                    </w:rPr>
                  </w:pPr>
                  <w:r>
                    <w:rPr>
                      <w:rFonts w:hint="default" w:ascii="Times New Roman" w:hAnsi="Times New Roman" w:eastAsia="宋体" w:cs="Times New Roman"/>
                      <w:b w:val="0"/>
                      <w:bCs w:val="0"/>
                      <w:color w:val="auto"/>
                      <w:sz w:val="21"/>
                      <w:szCs w:val="21"/>
                      <w:highlight w:val="none"/>
                      <w:vertAlign w:val="baseline"/>
                      <w:lang w:val="en-US" w:eastAsia="zh-CN"/>
                    </w:rPr>
                    <w:t>高度</w:t>
                  </w:r>
                </w:p>
              </w:tc>
              <w:tc>
                <w:tcPr>
                  <w:tcW w:w="1525" w:type="pct"/>
                  <w:tcBorders>
                    <w:tl2br w:val="nil"/>
                    <w:tr2bl w:val="nil"/>
                  </w:tcBorders>
                  <w:noWrap w:val="0"/>
                  <w:tcMar>
                    <w:top w:w="0" w:type="dxa"/>
                    <w:left w:w="0" w:type="dxa"/>
                    <w:bottom w:w="0" w:type="dxa"/>
                    <w:right w:w="0" w:type="dxa"/>
                  </w:tcMar>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val="0"/>
                      <w:bCs w:val="0"/>
                      <w:color w:val="auto"/>
                      <w:kern w:val="2"/>
                      <w:sz w:val="21"/>
                      <w:szCs w:val="21"/>
                      <w:highlight w:val="none"/>
                      <w:vertAlign w:val="baseline"/>
                      <w:lang w:val="en-US" w:eastAsia="zh-CN" w:bidi="ar-SA"/>
                    </w:rPr>
                  </w:pPr>
                  <w:r>
                    <w:rPr>
                      <w:rFonts w:hint="eastAsia" w:ascii="Times New Roman" w:hAnsi="Times New Roman" w:eastAsia="宋体" w:cs="Times New Roman"/>
                      <w:b w:val="0"/>
                      <w:bCs w:val="0"/>
                      <w:color w:val="auto"/>
                      <w:sz w:val="21"/>
                      <w:szCs w:val="21"/>
                      <w:highlight w:val="none"/>
                      <w:vertAlign w:val="baseline"/>
                      <w:lang w:val="en-US" w:eastAsia="zh-CN"/>
                    </w:rPr>
                    <w:t>18m</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val="en-US" w:eastAsia="zh-CN"/>
                    </w:rPr>
                    <w:t>11</w:t>
                  </w:r>
                </w:p>
              </w:tc>
              <w:tc>
                <w:tcPr>
                  <w:tcW w:w="1655" w:type="pct"/>
                  <w:vMerge w:val="continue"/>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p>
              </w:tc>
              <w:tc>
                <w:tcPr>
                  <w:tcW w:w="1070" w:type="pct"/>
                  <w:tcBorders>
                    <w:tl2br w:val="nil"/>
                    <w:tr2bl w:val="nil"/>
                  </w:tcBorders>
                  <w:noWrap w:val="0"/>
                  <w:tcMar>
                    <w:top w:w="0" w:type="dxa"/>
                    <w:left w:w="0" w:type="dxa"/>
                    <w:bottom w:w="0" w:type="dxa"/>
                    <w:right w:w="0" w:type="dxa"/>
                  </w:tcMar>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val="0"/>
                      <w:bCs w:val="0"/>
                      <w:color w:val="auto"/>
                      <w:kern w:val="2"/>
                      <w:sz w:val="21"/>
                      <w:szCs w:val="21"/>
                      <w:highlight w:val="none"/>
                      <w:vertAlign w:val="baseline"/>
                      <w:lang w:val="en-US" w:eastAsia="zh-CN" w:bidi="ar-SA"/>
                    </w:rPr>
                  </w:pPr>
                  <w:r>
                    <w:rPr>
                      <w:rFonts w:hint="default" w:ascii="Times New Roman" w:hAnsi="Times New Roman" w:eastAsia="宋体" w:cs="Times New Roman"/>
                      <w:b w:val="0"/>
                      <w:bCs w:val="0"/>
                      <w:color w:val="auto"/>
                      <w:sz w:val="21"/>
                      <w:szCs w:val="21"/>
                      <w:highlight w:val="none"/>
                      <w:vertAlign w:val="baseline"/>
                      <w:lang w:val="en-US" w:eastAsia="zh-CN"/>
                    </w:rPr>
                    <w:t>直径</w:t>
                  </w:r>
                </w:p>
              </w:tc>
              <w:tc>
                <w:tcPr>
                  <w:tcW w:w="1525" w:type="pct"/>
                  <w:tcBorders>
                    <w:tl2br w:val="nil"/>
                    <w:tr2bl w:val="nil"/>
                  </w:tcBorders>
                  <w:noWrap w:val="0"/>
                  <w:tcMar>
                    <w:top w:w="0" w:type="dxa"/>
                    <w:left w:w="0" w:type="dxa"/>
                    <w:bottom w:w="0" w:type="dxa"/>
                    <w:right w:w="0" w:type="dxa"/>
                  </w:tcMar>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val="0"/>
                      <w:bCs w:val="0"/>
                      <w:color w:val="auto"/>
                      <w:kern w:val="2"/>
                      <w:sz w:val="21"/>
                      <w:szCs w:val="21"/>
                      <w:highlight w:val="none"/>
                      <w:vertAlign w:val="baseline"/>
                      <w:lang w:val="en-US" w:eastAsia="zh-CN" w:bidi="ar-SA"/>
                    </w:rPr>
                  </w:pPr>
                  <w:r>
                    <w:rPr>
                      <w:rFonts w:hint="eastAsia" w:cs="Times New Roman"/>
                      <w:b w:val="0"/>
                      <w:bCs w:val="0"/>
                      <w:color w:val="auto"/>
                      <w:sz w:val="21"/>
                      <w:szCs w:val="21"/>
                      <w:highlight w:val="none"/>
                      <w:vertAlign w:val="baseline"/>
                      <w:lang w:val="en-US" w:eastAsia="zh-CN"/>
                    </w:rPr>
                    <w:t>0.45</w:t>
                  </w:r>
                  <w:r>
                    <w:rPr>
                      <w:rFonts w:hint="default" w:ascii="Times New Roman" w:hAnsi="Times New Roman" w:eastAsia="宋体" w:cs="Times New Roman"/>
                      <w:b w:val="0"/>
                      <w:bCs w:val="0"/>
                      <w:color w:val="auto"/>
                      <w:sz w:val="21"/>
                      <w:szCs w:val="21"/>
                      <w:highlight w:val="none"/>
                      <w:vertAlign w:val="baseline"/>
                      <w:lang w:val="en-US" w:eastAsia="zh-CN"/>
                    </w:rPr>
                    <w:t>m</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748" w:type="pct"/>
                  <w:tcBorders>
                    <w:tl2br w:val="nil"/>
                    <w:tr2bl w:val="nil"/>
                  </w:tcBorders>
                  <w:noWrap w:val="0"/>
                  <w:tcMar>
                    <w:top w:w="0" w:type="dxa"/>
                    <w:left w:w="0" w:type="dxa"/>
                    <w:bottom w:w="0" w:type="dxa"/>
                    <w:right w:w="0" w:type="dxa"/>
                  </w:tcMar>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lang w:val="en-US" w:eastAsia="zh-CN"/>
                    </w:rPr>
                    <w:t>12</w:t>
                  </w:r>
                </w:p>
              </w:tc>
              <w:tc>
                <w:tcPr>
                  <w:tcW w:w="1655" w:type="pct"/>
                  <w:vMerge w:val="continue"/>
                  <w:tcBorders>
                    <w:tl2br w:val="nil"/>
                    <w:tr2bl w:val="nil"/>
                  </w:tcBorders>
                  <w:noWrap w:val="0"/>
                  <w:tcMar>
                    <w:top w:w="0" w:type="dxa"/>
                    <w:left w:w="0" w:type="dxa"/>
                    <w:bottom w:w="0" w:type="dxa"/>
                    <w:right w:w="0" w:type="dxa"/>
                  </w:tcMar>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val="0"/>
                      <w:bCs w:val="0"/>
                      <w:color w:val="auto"/>
                      <w:kern w:val="2"/>
                      <w:sz w:val="21"/>
                      <w:szCs w:val="21"/>
                      <w:highlight w:val="none"/>
                      <w:lang w:val="en-US" w:eastAsia="zh-CN" w:bidi="ar-SA"/>
                    </w:rPr>
                  </w:pPr>
                </w:p>
              </w:tc>
              <w:tc>
                <w:tcPr>
                  <w:tcW w:w="1070" w:type="pct"/>
                  <w:tcBorders>
                    <w:tl2br w:val="nil"/>
                    <w:tr2bl w:val="nil"/>
                  </w:tcBorders>
                  <w:noWrap w:val="0"/>
                  <w:tcMar>
                    <w:top w:w="0" w:type="dxa"/>
                    <w:left w:w="0" w:type="dxa"/>
                    <w:bottom w:w="0" w:type="dxa"/>
                    <w:right w:w="0" w:type="dxa"/>
                  </w:tcMar>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color w:val="auto"/>
                      <w:sz w:val="21"/>
                      <w:szCs w:val="21"/>
                      <w:highlight w:val="none"/>
                      <w:vertAlign w:val="baseline"/>
                      <w:lang w:eastAsia="zh-CN"/>
                    </w:rPr>
                    <w:t>风量</w:t>
                  </w:r>
                </w:p>
              </w:tc>
              <w:tc>
                <w:tcPr>
                  <w:tcW w:w="1525" w:type="pct"/>
                  <w:tcBorders>
                    <w:tl2br w:val="nil"/>
                    <w:tr2bl w:val="nil"/>
                  </w:tcBorders>
                  <w:noWrap w:val="0"/>
                  <w:tcMar>
                    <w:top w:w="0" w:type="dxa"/>
                    <w:left w:w="0" w:type="dxa"/>
                    <w:bottom w:w="0" w:type="dxa"/>
                    <w:right w:w="0" w:type="dxa"/>
                  </w:tcMar>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val="0"/>
                      <w:bCs w:val="0"/>
                      <w:color w:val="auto"/>
                      <w:kern w:val="2"/>
                      <w:sz w:val="21"/>
                      <w:szCs w:val="21"/>
                      <w:highlight w:val="none"/>
                      <w:vertAlign w:val="baseline"/>
                      <w:lang w:val="en-US" w:eastAsia="zh-CN" w:bidi="ar-SA"/>
                    </w:rPr>
                  </w:pPr>
                  <w:r>
                    <w:rPr>
                      <w:rFonts w:hint="eastAsia" w:cs="Times New Roman"/>
                      <w:b w:val="0"/>
                      <w:bCs w:val="0"/>
                      <w:color w:val="auto"/>
                      <w:sz w:val="21"/>
                      <w:szCs w:val="21"/>
                      <w:highlight w:val="none"/>
                      <w:vertAlign w:val="baseline"/>
                      <w:lang w:val="en-US" w:eastAsia="zh-CN"/>
                    </w:rPr>
                    <w:t>8000</w:t>
                  </w:r>
                  <w:r>
                    <w:rPr>
                      <w:rFonts w:hint="default" w:ascii="Times New Roman" w:hAnsi="Times New Roman" w:eastAsia="宋体" w:cs="Times New Roman"/>
                      <w:b w:val="0"/>
                      <w:bCs w:val="0"/>
                      <w:color w:val="auto"/>
                      <w:sz w:val="21"/>
                      <w:szCs w:val="21"/>
                      <w:highlight w:val="none"/>
                      <w:vertAlign w:val="baseline"/>
                      <w:lang w:val="en-US" w:eastAsia="zh-CN"/>
                    </w:rPr>
                    <w:t>m</w:t>
                  </w:r>
                  <w:r>
                    <w:rPr>
                      <w:rFonts w:hint="default" w:ascii="Times New Roman" w:hAnsi="Times New Roman" w:eastAsia="宋体" w:cs="Times New Roman"/>
                      <w:b w:val="0"/>
                      <w:bCs w:val="0"/>
                      <w:color w:val="auto"/>
                      <w:sz w:val="21"/>
                      <w:szCs w:val="21"/>
                      <w:highlight w:val="none"/>
                      <w:vertAlign w:val="superscript"/>
                      <w:lang w:val="en-US" w:eastAsia="zh-CN"/>
                    </w:rPr>
                    <w:t>3</w:t>
                  </w:r>
                  <w:r>
                    <w:rPr>
                      <w:rFonts w:hint="default" w:ascii="Times New Roman" w:hAnsi="Times New Roman" w:eastAsia="宋体" w:cs="Times New Roman"/>
                      <w:b w:val="0"/>
                      <w:bCs w:val="0"/>
                      <w:color w:val="auto"/>
                      <w:sz w:val="21"/>
                      <w:szCs w:val="21"/>
                      <w:highlight w:val="none"/>
                      <w:vertAlign w:val="baseline"/>
                      <w:lang w:val="en-US" w:eastAsia="zh-CN"/>
                    </w:rPr>
                    <w:t>/h</w:t>
                  </w:r>
                </w:p>
              </w:tc>
            </w:tr>
          </w:tbl>
          <w:p>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420" w:firstLineChars="200"/>
              <w:textAlignment w:val="auto"/>
              <w:rPr>
                <w:bCs/>
                <w:color w:val="auto"/>
                <w:szCs w:val="21"/>
                <w:highlight w:val="none"/>
              </w:rPr>
            </w:pPr>
            <w:r>
              <w:rPr>
                <w:rFonts w:hint="default" w:ascii="Times New Roman" w:hAnsi="Times New Roman" w:eastAsia="宋体" w:cs="Times New Roman"/>
                <w:bCs/>
                <w:color w:val="auto"/>
                <w:sz w:val="21"/>
                <w:szCs w:val="21"/>
                <w:highlight w:val="none"/>
              </w:rPr>
              <w:t>根据《材料研究与应用》2010年12月第4卷第4期，余倩等人《活性炭吸附技术对VOCs净化处理的研究进展》一文，采用吸附法能够使VOCs的去除率高达90-95%，本项目非甲烷总烃去除率保守估计取</w:t>
            </w:r>
            <w:r>
              <w:rPr>
                <w:rFonts w:hint="eastAsia" w:ascii="Times New Roman" w:hAnsi="Times New Roman" w:eastAsia="宋体" w:cs="Times New Roman"/>
                <w:bCs/>
                <w:color w:val="auto"/>
                <w:sz w:val="21"/>
                <w:szCs w:val="21"/>
                <w:highlight w:val="none"/>
                <w:lang w:val="en-US" w:eastAsia="zh-CN"/>
              </w:rPr>
              <w:t>90</w:t>
            </w:r>
            <w:r>
              <w:rPr>
                <w:rFonts w:hint="default" w:ascii="Times New Roman" w:hAnsi="Times New Roman" w:eastAsia="宋体" w:cs="Times New Roman"/>
                <w:bCs/>
                <w:color w:val="auto"/>
                <w:sz w:val="21"/>
                <w:szCs w:val="21"/>
                <w:highlight w:val="none"/>
              </w:rPr>
              <w:t>%。</w:t>
            </w:r>
            <w:r>
              <w:rPr>
                <w:rFonts w:hint="default" w:ascii="Times New Roman" w:hAnsi="Times New Roman" w:eastAsia="宋体" w:cs="Times New Roman"/>
                <w:bCs/>
                <w:color w:val="auto"/>
                <w:sz w:val="21"/>
                <w:szCs w:val="21"/>
                <w:highlight w:val="none"/>
                <w:lang w:val="en-US" w:eastAsia="zh-CN"/>
              </w:rPr>
              <w:t>根据</w:t>
            </w:r>
            <w:r>
              <w:rPr>
                <w:rFonts w:hint="default" w:ascii="Times New Roman" w:hAnsi="Times New Roman" w:eastAsia="宋体" w:cs="Times New Roman"/>
                <w:color w:val="auto"/>
                <w:sz w:val="21"/>
                <w:szCs w:val="21"/>
                <w:highlight w:val="none"/>
              </w:rPr>
              <w:t>《省生态环境厅关于深入开展涉VOCs治理重点工作核查的通知》（苏环办【2022】218号）</w:t>
            </w:r>
            <w:r>
              <w:rPr>
                <w:rFonts w:hint="default" w:ascii="Times New Roman" w:hAnsi="Times New Roman" w:eastAsia="宋体" w:cs="Times New Roman"/>
                <w:color w:val="auto"/>
                <w:sz w:val="21"/>
                <w:szCs w:val="21"/>
                <w:highlight w:val="none"/>
                <w:lang w:val="en-US" w:eastAsia="zh-CN"/>
              </w:rPr>
              <w:t>相关要求，采用蜂窝活性炭时，气体流速宜低于1.20m/s</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i w:val="0"/>
                <w:iCs w:val="0"/>
                <w:caps w:val="0"/>
                <w:color w:val="auto"/>
                <w:spacing w:val="0"/>
                <w:sz w:val="21"/>
                <w:szCs w:val="21"/>
                <w:highlight w:val="none"/>
                <w:shd w:val="clear" w:fill="FFFFFF"/>
              </w:rPr>
              <w:t>蜂窝活性炭碘吸附值≥</w:t>
            </w:r>
            <w:r>
              <w:rPr>
                <w:rFonts w:hint="default" w:ascii="Times New Roman" w:hAnsi="Times New Roman" w:eastAsia="宋体" w:cs="Times New Roman"/>
                <w:i w:val="0"/>
                <w:iCs w:val="0"/>
                <w:caps w:val="0"/>
                <w:color w:val="auto"/>
                <w:spacing w:val="0"/>
                <w:sz w:val="21"/>
                <w:szCs w:val="21"/>
                <w:highlight w:val="none"/>
                <w:shd w:val="clear" w:fill="FFFFFF"/>
                <w:lang w:val="en-US" w:eastAsia="zh-CN"/>
              </w:rPr>
              <w:t>650</w:t>
            </w:r>
            <w:r>
              <w:rPr>
                <w:rFonts w:hint="default" w:ascii="Times New Roman" w:hAnsi="Times New Roman" w:eastAsia="宋体" w:cs="Times New Roman"/>
                <w:i w:val="0"/>
                <w:iCs w:val="0"/>
                <w:caps w:val="0"/>
                <w:color w:val="auto"/>
                <w:spacing w:val="0"/>
                <w:sz w:val="21"/>
                <w:szCs w:val="21"/>
                <w:highlight w:val="none"/>
                <w:shd w:val="clear" w:fill="FFFFFF"/>
              </w:rPr>
              <w:t>mg/g</w:t>
            </w:r>
            <w:r>
              <w:rPr>
                <w:rFonts w:hint="default" w:ascii="Times New Roman" w:hAnsi="Times New Roman" w:eastAsia="宋体" w:cs="Times New Roman"/>
                <w:i w:val="0"/>
                <w:iCs w:val="0"/>
                <w:caps w:val="0"/>
                <w:color w:val="auto"/>
                <w:spacing w:val="0"/>
                <w:sz w:val="21"/>
                <w:szCs w:val="21"/>
                <w:highlight w:val="none"/>
                <w:shd w:val="clear" w:fill="FFFFFF"/>
                <w:lang w:eastAsia="zh-CN"/>
              </w:rPr>
              <w:t>，</w:t>
            </w:r>
            <w:r>
              <w:rPr>
                <w:rFonts w:hint="default" w:ascii="Times New Roman" w:hAnsi="Times New Roman" w:eastAsia="宋体" w:cs="Times New Roman"/>
                <w:i w:val="0"/>
                <w:iCs w:val="0"/>
                <w:caps w:val="0"/>
                <w:color w:val="auto"/>
                <w:spacing w:val="0"/>
                <w:sz w:val="21"/>
                <w:szCs w:val="21"/>
                <w:highlight w:val="none"/>
                <w:shd w:val="clear" w:fill="FFFFFF"/>
              </w:rPr>
              <w:t>活性炭更换周期一般不应超过累计运行500小时或3个月</w:t>
            </w:r>
            <w:r>
              <w:rPr>
                <w:rFonts w:hint="default" w:ascii="Times New Roman" w:hAnsi="Times New Roman" w:eastAsia="宋体" w:cs="Times New Roman"/>
                <w:i w:val="0"/>
                <w:iCs w:val="0"/>
                <w:caps w:val="0"/>
                <w:color w:val="auto"/>
                <w:spacing w:val="0"/>
                <w:sz w:val="21"/>
                <w:szCs w:val="21"/>
                <w:highlight w:val="none"/>
                <w:shd w:val="clear" w:fill="FFFFFF"/>
                <w:lang w:eastAsia="zh-CN"/>
              </w:rPr>
              <w:t>，进入吸附设备的废气温度应低于40℃，</w:t>
            </w:r>
            <w:r>
              <w:rPr>
                <w:rFonts w:hint="default" w:ascii="Times New Roman" w:hAnsi="Times New Roman" w:eastAsia="宋体" w:cs="Times New Roman"/>
                <w:color w:val="auto"/>
                <w:sz w:val="21"/>
                <w:szCs w:val="21"/>
                <w:highlight w:val="none"/>
                <w:lang w:val="en-US" w:eastAsia="zh-CN"/>
              </w:rPr>
              <w:t>本项目设计活性炭过滤风速为0.</w:t>
            </w:r>
            <w:r>
              <w:rPr>
                <w:rFonts w:hint="eastAsia" w:cs="Times New Roman"/>
                <w:color w:val="auto"/>
                <w:sz w:val="21"/>
                <w:szCs w:val="21"/>
                <w:highlight w:val="none"/>
                <w:lang w:val="en-US" w:eastAsia="zh-CN"/>
              </w:rPr>
              <w:t>99</w:t>
            </w:r>
            <w:r>
              <w:rPr>
                <w:rFonts w:hint="default" w:ascii="Times New Roman" w:hAnsi="Times New Roman" w:eastAsia="宋体" w:cs="Times New Roman"/>
                <w:color w:val="auto"/>
                <w:sz w:val="21"/>
                <w:szCs w:val="21"/>
                <w:highlight w:val="none"/>
                <w:lang w:val="en-US" w:eastAsia="zh-CN"/>
              </w:rPr>
              <w:t>m/s，</w:t>
            </w:r>
            <w:r>
              <w:rPr>
                <w:rFonts w:hint="default" w:ascii="Times New Roman" w:hAnsi="Times New Roman" w:eastAsia="宋体" w:cs="Times New Roman"/>
                <w:i w:val="0"/>
                <w:iCs w:val="0"/>
                <w:caps w:val="0"/>
                <w:color w:val="auto"/>
                <w:spacing w:val="0"/>
                <w:sz w:val="21"/>
                <w:szCs w:val="21"/>
                <w:highlight w:val="none"/>
                <w:shd w:val="clear" w:fill="FFFFFF"/>
              </w:rPr>
              <w:t>碘吸附值</w:t>
            </w:r>
            <w:r>
              <w:rPr>
                <w:rFonts w:hint="default" w:ascii="Times New Roman" w:hAnsi="Times New Roman" w:eastAsia="宋体" w:cs="Times New Roman"/>
                <w:i w:val="0"/>
                <w:iCs w:val="0"/>
                <w:caps w:val="0"/>
                <w:color w:val="auto"/>
                <w:spacing w:val="0"/>
                <w:sz w:val="21"/>
                <w:szCs w:val="21"/>
                <w:highlight w:val="none"/>
                <w:shd w:val="clear" w:fill="FFFFFF"/>
                <w:lang w:val="en-US" w:eastAsia="zh-CN"/>
              </w:rPr>
              <w:t>为650</w:t>
            </w:r>
            <w:r>
              <w:rPr>
                <w:rFonts w:hint="default" w:ascii="Times New Roman" w:hAnsi="Times New Roman" w:eastAsia="宋体" w:cs="Times New Roman"/>
                <w:i w:val="0"/>
                <w:iCs w:val="0"/>
                <w:caps w:val="0"/>
                <w:color w:val="auto"/>
                <w:spacing w:val="0"/>
                <w:sz w:val="21"/>
                <w:szCs w:val="21"/>
                <w:highlight w:val="none"/>
                <w:shd w:val="clear" w:fill="FFFFFF"/>
              </w:rPr>
              <w:t>mg/g</w:t>
            </w:r>
            <w:r>
              <w:rPr>
                <w:rFonts w:hint="default" w:ascii="Times New Roman" w:hAnsi="Times New Roman" w:eastAsia="宋体" w:cs="Times New Roman"/>
                <w:i w:val="0"/>
                <w:iCs w:val="0"/>
                <w:caps w:val="0"/>
                <w:color w:val="auto"/>
                <w:spacing w:val="0"/>
                <w:sz w:val="21"/>
                <w:szCs w:val="21"/>
                <w:highlight w:val="none"/>
                <w:shd w:val="clear" w:fill="FFFFFF"/>
                <w:lang w:eastAsia="zh-CN"/>
              </w:rPr>
              <w:t>，</w:t>
            </w:r>
            <w:r>
              <w:rPr>
                <w:rFonts w:hint="default" w:ascii="Times New Roman" w:hAnsi="Times New Roman" w:eastAsia="宋体" w:cs="Times New Roman"/>
                <w:i w:val="0"/>
                <w:iCs w:val="0"/>
                <w:caps w:val="0"/>
                <w:color w:val="auto"/>
                <w:spacing w:val="0"/>
                <w:sz w:val="21"/>
                <w:szCs w:val="21"/>
                <w:highlight w:val="none"/>
                <w:shd w:val="clear" w:fill="FFFFFF"/>
                <w:lang w:val="en-US" w:eastAsia="zh-CN"/>
              </w:rPr>
              <w:t>活性炭设计</w:t>
            </w:r>
            <w:r>
              <w:rPr>
                <w:rFonts w:hint="eastAsia" w:cs="Times New Roman"/>
                <w:i w:val="0"/>
                <w:iCs w:val="0"/>
                <w:caps w:val="0"/>
                <w:color w:val="auto"/>
                <w:spacing w:val="0"/>
                <w:sz w:val="21"/>
                <w:szCs w:val="21"/>
                <w:highlight w:val="none"/>
                <w:shd w:val="clear" w:fill="FFFFFF"/>
                <w:lang w:val="en-US" w:eastAsia="zh-CN"/>
              </w:rPr>
              <w:t>2</w:t>
            </w:r>
            <w:r>
              <w:rPr>
                <w:rFonts w:hint="default" w:ascii="Times New Roman" w:hAnsi="Times New Roman" w:eastAsia="宋体" w:cs="Times New Roman"/>
                <w:i w:val="0"/>
                <w:iCs w:val="0"/>
                <w:caps w:val="0"/>
                <w:color w:val="auto"/>
                <w:spacing w:val="0"/>
                <w:sz w:val="21"/>
                <w:szCs w:val="21"/>
                <w:highlight w:val="none"/>
                <w:shd w:val="clear" w:fill="FFFFFF"/>
                <w:lang w:val="en-US" w:eastAsia="zh-CN"/>
              </w:rPr>
              <w:t>个月更换一次，项目有机废气产生温度较低，经过风机管道等</w:t>
            </w:r>
            <w:r>
              <w:rPr>
                <w:rFonts w:hint="eastAsia" w:ascii="Times New Roman" w:hAnsi="Times New Roman" w:eastAsia="宋体" w:cs="Times New Roman"/>
                <w:i w:val="0"/>
                <w:iCs w:val="0"/>
                <w:caps w:val="0"/>
                <w:color w:val="auto"/>
                <w:spacing w:val="0"/>
                <w:sz w:val="21"/>
                <w:szCs w:val="21"/>
                <w:highlight w:val="none"/>
                <w:shd w:val="clear" w:fill="FFFFFF"/>
                <w:lang w:val="en-US" w:eastAsia="zh-CN"/>
              </w:rPr>
              <w:t>冷却后</w:t>
            </w:r>
            <w:r>
              <w:rPr>
                <w:rFonts w:hint="default" w:ascii="Times New Roman" w:hAnsi="Times New Roman" w:eastAsia="宋体" w:cs="Times New Roman"/>
                <w:i w:val="0"/>
                <w:iCs w:val="0"/>
                <w:caps w:val="0"/>
                <w:color w:val="auto"/>
                <w:spacing w:val="0"/>
                <w:sz w:val="21"/>
                <w:szCs w:val="21"/>
                <w:highlight w:val="none"/>
                <w:shd w:val="clear" w:fill="FFFFFF"/>
                <w:lang w:val="en-US" w:eastAsia="zh-CN"/>
              </w:rPr>
              <w:t>，进入活性炭箱的温度低于40℃，因此本项目有机废气经过二级活性炭处理</w:t>
            </w:r>
            <w:r>
              <w:rPr>
                <w:rFonts w:hint="default" w:ascii="Times New Roman" w:hAnsi="Times New Roman" w:eastAsia="宋体" w:cs="Times New Roman"/>
                <w:color w:val="auto"/>
                <w:sz w:val="21"/>
                <w:szCs w:val="21"/>
                <w:highlight w:val="none"/>
                <w:lang w:val="en-US" w:eastAsia="zh-CN"/>
              </w:rPr>
              <w:t>满足要求。</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eastAsia="宋体"/>
                <w:bCs/>
                <w:color w:val="auto"/>
                <w:szCs w:val="21"/>
                <w:highlight w:val="none"/>
                <w:lang w:val="en-US" w:eastAsia="zh-CN"/>
              </w:rPr>
            </w:pPr>
            <w:r>
              <w:rPr>
                <w:rFonts w:hint="eastAsia"/>
                <w:bCs/>
                <w:color w:val="auto"/>
                <w:szCs w:val="21"/>
                <w:highlight w:val="none"/>
                <w:lang w:val="en-US" w:eastAsia="zh-CN"/>
              </w:rPr>
              <w:t>2）废气处理设施技术可行性分析</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bCs/>
                <w:color w:val="auto"/>
                <w:szCs w:val="21"/>
                <w:highlight w:val="none"/>
              </w:rPr>
            </w:pPr>
            <w:r>
              <w:rPr>
                <w:bCs/>
                <w:color w:val="auto"/>
                <w:szCs w:val="21"/>
                <w:highlight w:val="none"/>
              </w:rPr>
              <w:t>参考《排污许可证申请与核发技术规范 橡胶和塑料制品工业》HJ1122-2020中附录A.2，塑料制品工业废气污染防治可行性技术中：吸附为有机废气污染防治可行性技术</w:t>
            </w:r>
            <w:r>
              <w:rPr>
                <w:rFonts w:hint="eastAsia"/>
                <w:bCs/>
                <w:color w:val="auto"/>
                <w:szCs w:val="21"/>
                <w:highlight w:val="none"/>
              </w:rPr>
              <w:t>，</w:t>
            </w:r>
            <w:r>
              <w:rPr>
                <w:rFonts w:hint="eastAsia"/>
                <w:bCs/>
                <w:color w:val="auto"/>
                <w:szCs w:val="21"/>
                <w:highlight w:val="none"/>
                <w:lang w:eastAsia="zh-CN"/>
              </w:rPr>
              <w:t>布袋除尘器</w:t>
            </w:r>
            <w:r>
              <w:rPr>
                <w:rFonts w:hint="eastAsia"/>
                <w:bCs/>
                <w:color w:val="auto"/>
                <w:szCs w:val="21"/>
                <w:highlight w:val="none"/>
              </w:rPr>
              <w:t>为颗粒物污染防治可行性技术。</w:t>
            </w:r>
          </w:p>
          <w:p>
            <w:pPr>
              <w:autoSpaceDE w:val="0"/>
              <w:autoSpaceDN w:val="0"/>
              <w:adjustRightInd w:val="0"/>
              <w:spacing w:line="360" w:lineRule="auto"/>
              <w:ind w:firstLine="420" w:firstLineChars="200"/>
              <w:rPr>
                <w:bCs/>
                <w:color w:val="auto"/>
                <w:szCs w:val="21"/>
                <w:highlight w:val="yellow"/>
              </w:rPr>
            </w:pPr>
            <w:r>
              <w:rPr>
                <w:bCs/>
                <w:color w:val="auto"/>
                <w:szCs w:val="21"/>
                <w:highlight w:val="none"/>
              </w:rPr>
              <w:t>因此本项目采用</w:t>
            </w:r>
            <w:r>
              <w:rPr>
                <w:rFonts w:hint="eastAsia" w:ascii="宋体" w:hAnsi="宋体" w:cs="宋体"/>
                <w:bCs/>
                <w:color w:val="auto"/>
                <w:szCs w:val="21"/>
                <w:highlight w:val="none"/>
              </w:rPr>
              <w:t>“</w:t>
            </w:r>
            <w:r>
              <w:rPr>
                <w:bCs/>
                <w:color w:val="auto"/>
                <w:szCs w:val="21"/>
                <w:highlight w:val="none"/>
              </w:rPr>
              <w:t>二级活性炭吸附装置</w:t>
            </w:r>
            <w:r>
              <w:rPr>
                <w:rFonts w:hint="eastAsia" w:ascii="宋体" w:hAnsi="宋体" w:cs="宋体"/>
                <w:bCs/>
                <w:color w:val="auto"/>
                <w:szCs w:val="21"/>
                <w:highlight w:val="none"/>
              </w:rPr>
              <w:t>”</w:t>
            </w:r>
            <w:r>
              <w:rPr>
                <w:bCs/>
                <w:color w:val="auto"/>
                <w:szCs w:val="21"/>
                <w:highlight w:val="none"/>
              </w:rPr>
              <w:t>处理有机废气</w:t>
            </w:r>
            <w:r>
              <w:rPr>
                <w:rFonts w:hint="eastAsia"/>
                <w:bCs/>
                <w:color w:val="auto"/>
                <w:szCs w:val="21"/>
                <w:highlight w:val="none"/>
              </w:rPr>
              <w:t>以及布袋除尘器处理</w:t>
            </w:r>
            <w:r>
              <w:rPr>
                <w:rFonts w:hint="eastAsia"/>
                <w:bCs/>
                <w:color w:val="auto"/>
                <w:szCs w:val="21"/>
                <w:highlight w:val="none"/>
                <w:lang w:val="en-US" w:eastAsia="zh-CN"/>
              </w:rPr>
              <w:t>破碎及投料</w:t>
            </w:r>
            <w:r>
              <w:rPr>
                <w:rFonts w:hint="eastAsia"/>
                <w:bCs/>
                <w:color w:val="auto"/>
                <w:szCs w:val="21"/>
                <w:highlight w:val="none"/>
              </w:rPr>
              <w:t>粉尘</w:t>
            </w:r>
            <w:r>
              <w:rPr>
                <w:bCs/>
                <w:color w:val="auto"/>
                <w:szCs w:val="21"/>
                <w:highlight w:val="none"/>
              </w:rPr>
              <w:t>是可行的。</w:t>
            </w:r>
          </w:p>
          <w:p>
            <w:pPr>
              <w:pStyle w:val="6"/>
              <w:spacing w:line="360" w:lineRule="auto"/>
              <w:ind w:firstLine="482"/>
              <w:rPr>
                <w:b/>
                <w:bCs/>
                <w:color w:val="auto"/>
                <w:sz w:val="21"/>
                <w:szCs w:val="21"/>
                <w:highlight w:val="none"/>
              </w:rPr>
            </w:pPr>
            <w:r>
              <w:rPr>
                <w:b/>
                <w:bCs/>
                <w:color w:val="auto"/>
                <w:sz w:val="21"/>
                <w:szCs w:val="21"/>
                <w:highlight w:val="none"/>
              </w:rPr>
              <w:t>（</w:t>
            </w:r>
            <w:r>
              <w:rPr>
                <w:rFonts w:hint="eastAsia"/>
                <w:b/>
                <w:bCs/>
                <w:color w:val="auto"/>
                <w:sz w:val="21"/>
                <w:szCs w:val="21"/>
                <w:highlight w:val="none"/>
                <w:lang w:val="en-US" w:eastAsia="zh-CN"/>
              </w:rPr>
              <w:t>4</w:t>
            </w:r>
            <w:r>
              <w:rPr>
                <w:b/>
                <w:bCs/>
                <w:color w:val="auto"/>
                <w:sz w:val="21"/>
                <w:szCs w:val="21"/>
                <w:highlight w:val="none"/>
              </w:rPr>
              <w:t>）排气筒设置合理性分析</w:t>
            </w:r>
          </w:p>
          <w:p>
            <w:pPr>
              <w:autoSpaceDE w:val="0"/>
              <w:autoSpaceDN w:val="0"/>
              <w:adjustRightInd w:val="0"/>
              <w:spacing w:line="360" w:lineRule="auto"/>
              <w:ind w:firstLine="420" w:firstLineChars="200"/>
              <w:rPr>
                <w:bCs/>
                <w:color w:val="auto"/>
                <w:sz w:val="21"/>
                <w:szCs w:val="21"/>
                <w:highlight w:val="none"/>
                <w:lang w:val="zh-CN"/>
              </w:rPr>
            </w:pPr>
            <w:r>
              <w:rPr>
                <w:bCs/>
                <w:color w:val="auto"/>
                <w:sz w:val="21"/>
                <w:szCs w:val="21"/>
                <w:highlight w:val="none"/>
                <w:lang w:val="zh-CN"/>
              </w:rPr>
              <w:t>现从车间生产线布局和大气环境影响角度进行排气筒布置、排气筒高度确定及合理性论证，排气筒设置合理性分析如下：</w:t>
            </w:r>
          </w:p>
          <w:p>
            <w:pPr>
              <w:autoSpaceDE w:val="0"/>
              <w:autoSpaceDN w:val="0"/>
              <w:adjustRightInd w:val="0"/>
              <w:spacing w:line="360" w:lineRule="auto"/>
              <w:ind w:firstLine="422" w:firstLineChars="200"/>
              <w:rPr>
                <w:b/>
                <w:color w:val="auto"/>
                <w:sz w:val="21"/>
                <w:szCs w:val="21"/>
                <w:highlight w:val="none"/>
                <w:lang w:val="zh-CN"/>
              </w:rPr>
            </w:pPr>
            <w:r>
              <w:rPr>
                <w:b/>
                <w:color w:val="auto"/>
                <w:sz w:val="21"/>
                <w:szCs w:val="21"/>
                <w:highlight w:val="none"/>
              </w:rPr>
              <w:t>①</w:t>
            </w:r>
            <w:r>
              <w:rPr>
                <w:b/>
                <w:color w:val="auto"/>
                <w:sz w:val="21"/>
                <w:szCs w:val="21"/>
                <w:highlight w:val="none"/>
                <w:lang w:val="zh-CN"/>
              </w:rPr>
              <w:t>排气筒高度规定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bCs/>
                <w:color w:val="auto"/>
                <w:sz w:val="21"/>
                <w:szCs w:val="21"/>
                <w:highlight w:val="none"/>
                <w:lang w:val="zh-CN"/>
              </w:rPr>
            </w:pPr>
            <w:r>
              <w:rPr>
                <w:bCs/>
                <w:color w:val="auto"/>
                <w:sz w:val="21"/>
                <w:szCs w:val="21"/>
                <w:highlight w:val="none"/>
                <w:lang w:val="zh-CN"/>
              </w:rPr>
              <w:t>根据《大气污染物综合排放标准》（DB32/4041-2021）要求，排气筒的高度应遵守排放速率标准值，建设项目设置排气筒高度均能满足排放速率标准要求；新建污染物的排气筒一般不能低于</w:t>
            </w:r>
            <w:r>
              <w:rPr>
                <w:bCs/>
                <w:color w:val="auto"/>
                <w:sz w:val="21"/>
                <w:szCs w:val="21"/>
                <w:highlight w:val="none"/>
              </w:rPr>
              <w:t>15</w:t>
            </w:r>
            <w:r>
              <w:rPr>
                <w:bCs/>
                <w:color w:val="auto"/>
                <w:sz w:val="21"/>
                <w:szCs w:val="21"/>
                <w:highlight w:val="none"/>
                <w:lang w:val="zh-CN"/>
              </w:rPr>
              <w:t>m，建设项目设置的排气筒高度</w:t>
            </w:r>
            <w:r>
              <w:rPr>
                <w:rFonts w:hint="eastAsia"/>
                <w:bCs/>
                <w:color w:val="auto"/>
                <w:sz w:val="21"/>
                <w:szCs w:val="21"/>
                <w:highlight w:val="none"/>
              </w:rPr>
              <w:t>约</w:t>
            </w:r>
            <w:r>
              <w:rPr>
                <w:bCs/>
                <w:color w:val="auto"/>
                <w:sz w:val="21"/>
                <w:szCs w:val="21"/>
                <w:highlight w:val="none"/>
                <w:lang w:val="zh-CN"/>
              </w:rPr>
              <w:t>为</w:t>
            </w:r>
            <w:r>
              <w:rPr>
                <w:rFonts w:hint="eastAsia"/>
                <w:bCs/>
                <w:color w:val="auto"/>
                <w:sz w:val="21"/>
                <w:szCs w:val="21"/>
                <w:highlight w:val="none"/>
              </w:rPr>
              <w:t>18</w:t>
            </w:r>
            <w:r>
              <w:rPr>
                <w:bCs/>
                <w:color w:val="auto"/>
                <w:sz w:val="21"/>
                <w:szCs w:val="21"/>
                <w:highlight w:val="none"/>
                <w:lang w:val="zh-CN"/>
              </w:rPr>
              <w:t>m</w:t>
            </w:r>
            <w:r>
              <w:rPr>
                <w:rFonts w:hint="eastAsia"/>
                <w:bCs/>
                <w:color w:val="auto"/>
                <w:sz w:val="21"/>
                <w:szCs w:val="21"/>
                <w:highlight w:val="none"/>
                <w:lang w:val="zh-CN"/>
              </w:rPr>
              <w:t>（</w:t>
            </w:r>
            <w:r>
              <w:rPr>
                <w:rFonts w:hint="eastAsia"/>
                <w:bCs/>
                <w:color w:val="auto"/>
                <w:sz w:val="21"/>
                <w:szCs w:val="21"/>
                <w:highlight w:val="none"/>
              </w:rPr>
              <w:t>楼顶</w:t>
            </w:r>
            <w:r>
              <w:rPr>
                <w:rFonts w:hint="eastAsia"/>
                <w:bCs/>
                <w:color w:val="auto"/>
                <w:sz w:val="21"/>
                <w:szCs w:val="21"/>
                <w:highlight w:val="none"/>
                <w:lang w:val="zh-CN"/>
              </w:rPr>
              <w:t>）</w:t>
            </w:r>
            <w:r>
              <w:rPr>
                <w:rFonts w:hint="eastAsia"/>
                <w:bCs/>
                <w:color w:val="auto"/>
                <w:sz w:val="21"/>
                <w:szCs w:val="21"/>
                <w:highlight w:val="none"/>
              </w:rPr>
              <w:t>且高于周边200m范围内建筑物5m以上，</w:t>
            </w:r>
            <w:r>
              <w:rPr>
                <w:bCs/>
                <w:color w:val="auto"/>
                <w:sz w:val="21"/>
                <w:szCs w:val="21"/>
                <w:highlight w:val="none"/>
                <w:lang w:val="zh-CN"/>
              </w:rPr>
              <w:t>并设置了采样平台及采样孔。因此，项目排气筒高度设置是合理可行的。</w:t>
            </w:r>
          </w:p>
          <w:p>
            <w:pPr>
              <w:autoSpaceDE w:val="0"/>
              <w:autoSpaceDN w:val="0"/>
              <w:adjustRightInd w:val="0"/>
              <w:spacing w:line="360" w:lineRule="auto"/>
              <w:ind w:firstLine="422" w:firstLineChars="200"/>
              <w:rPr>
                <w:b/>
                <w:color w:val="auto"/>
                <w:sz w:val="21"/>
                <w:szCs w:val="21"/>
                <w:highlight w:val="none"/>
                <w:lang w:val="zh-CN"/>
              </w:rPr>
            </w:pPr>
            <w:r>
              <w:rPr>
                <w:b/>
                <w:color w:val="auto"/>
                <w:sz w:val="21"/>
                <w:szCs w:val="21"/>
                <w:highlight w:val="none"/>
              </w:rPr>
              <w:t>②</w:t>
            </w:r>
            <w:r>
              <w:rPr>
                <w:b/>
                <w:color w:val="auto"/>
                <w:sz w:val="21"/>
                <w:szCs w:val="21"/>
                <w:highlight w:val="none"/>
                <w:lang w:val="zh-CN"/>
              </w:rPr>
              <w:t>排气筒数量可行性分析</w:t>
            </w:r>
          </w:p>
          <w:p>
            <w:pPr>
              <w:autoSpaceDE w:val="0"/>
              <w:autoSpaceDN w:val="0"/>
              <w:adjustRightInd w:val="0"/>
              <w:spacing w:line="360" w:lineRule="auto"/>
              <w:ind w:firstLine="420" w:firstLineChars="200"/>
              <w:rPr>
                <w:bCs/>
                <w:color w:val="auto"/>
                <w:sz w:val="21"/>
                <w:szCs w:val="21"/>
                <w:highlight w:val="none"/>
                <w:lang w:val="zh-CN"/>
              </w:rPr>
            </w:pPr>
            <w:r>
              <w:rPr>
                <w:bCs/>
                <w:color w:val="auto"/>
                <w:sz w:val="21"/>
                <w:szCs w:val="21"/>
                <w:highlight w:val="none"/>
                <w:lang w:val="zh-CN"/>
              </w:rPr>
              <w:t>本项目排气筒的设置数量严格按照车间和工段分布来布置，为减少排气筒数量，项目按照“分类收集处理，统一排放”的原则布置排气筒。项目有组织排放废气为</w:t>
            </w:r>
            <w:r>
              <w:rPr>
                <w:bCs/>
                <w:color w:val="auto"/>
                <w:sz w:val="21"/>
                <w:szCs w:val="21"/>
                <w:highlight w:val="none"/>
              </w:rPr>
              <w:t>有机废气，</w:t>
            </w:r>
            <w:r>
              <w:rPr>
                <w:bCs/>
                <w:color w:val="auto"/>
                <w:sz w:val="21"/>
                <w:szCs w:val="21"/>
                <w:highlight w:val="none"/>
                <w:lang w:val="zh-CN"/>
              </w:rPr>
              <w:t>根据废气排放污染因子</w:t>
            </w:r>
            <w:r>
              <w:rPr>
                <w:bCs/>
                <w:color w:val="auto"/>
                <w:sz w:val="21"/>
                <w:szCs w:val="21"/>
                <w:highlight w:val="none"/>
              </w:rPr>
              <w:t>和设备布置情况</w:t>
            </w:r>
            <w:r>
              <w:rPr>
                <w:bCs/>
                <w:color w:val="auto"/>
                <w:sz w:val="21"/>
                <w:szCs w:val="21"/>
                <w:highlight w:val="none"/>
                <w:lang w:val="zh-CN"/>
              </w:rPr>
              <w:t>，设置</w:t>
            </w:r>
            <w:r>
              <w:rPr>
                <w:bCs/>
                <w:color w:val="auto"/>
                <w:sz w:val="21"/>
                <w:szCs w:val="21"/>
                <w:highlight w:val="none"/>
              </w:rPr>
              <w:t>了</w:t>
            </w:r>
            <w:r>
              <w:rPr>
                <w:rFonts w:hint="eastAsia"/>
                <w:bCs/>
                <w:color w:val="auto"/>
                <w:sz w:val="21"/>
                <w:szCs w:val="21"/>
                <w:highlight w:val="none"/>
                <w:lang w:val="en-US" w:eastAsia="zh-CN"/>
              </w:rPr>
              <w:t>1</w:t>
            </w:r>
            <w:r>
              <w:rPr>
                <w:bCs/>
                <w:color w:val="auto"/>
                <w:sz w:val="21"/>
                <w:szCs w:val="21"/>
                <w:highlight w:val="none"/>
                <w:lang w:val="zh-CN"/>
              </w:rPr>
              <w:t>根排气筒。排气筒布置时综合考虑了风量大小、排气筒检修对生产装置带来的影响大小等因素。</w:t>
            </w:r>
          </w:p>
          <w:p>
            <w:pPr>
              <w:autoSpaceDE w:val="0"/>
              <w:autoSpaceDN w:val="0"/>
              <w:adjustRightInd w:val="0"/>
              <w:spacing w:line="360" w:lineRule="auto"/>
              <w:ind w:firstLine="422" w:firstLineChars="200"/>
              <w:rPr>
                <w:bCs/>
                <w:color w:val="auto"/>
                <w:sz w:val="21"/>
                <w:szCs w:val="21"/>
                <w:highlight w:val="none"/>
                <w:lang w:val="zh-CN"/>
              </w:rPr>
            </w:pPr>
            <w:r>
              <w:rPr>
                <w:b/>
                <w:color w:val="auto"/>
                <w:sz w:val="21"/>
                <w:szCs w:val="21"/>
                <w:highlight w:val="none"/>
              </w:rPr>
              <w:t>③</w:t>
            </w:r>
            <w:r>
              <w:rPr>
                <w:b/>
                <w:color w:val="auto"/>
                <w:sz w:val="21"/>
                <w:szCs w:val="21"/>
                <w:highlight w:val="none"/>
                <w:lang w:val="zh-CN"/>
              </w:rPr>
              <w:t>风量合理性分析</w:t>
            </w:r>
          </w:p>
          <w:p>
            <w:pPr>
              <w:autoSpaceDE w:val="0"/>
              <w:autoSpaceDN w:val="0"/>
              <w:adjustRightInd w:val="0"/>
              <w:spacing w:line="360" w:lineRule="auto"/>
              <w:ind w:firstLine="420" w:firstLineChars="200"/>
              <w:rPr>
                <w:bCs/>
                <w:color w:val="auto"/>
                <w:sz w:val="21"/>
                <w:szCs w:val="21"/>
                <w:highlight w:val="none"/>
                <w:lang w:val="zh-CN"/>
              </w:rPr>
            </w:pPr>
            <w:r>
              <w:rPr>
                <w:bCs/>
                <w:color w:val="auto"/>
                <w:sz w:val="21"/>
                <w:szCs w:val="21"/>
                <w:highlight w:val="none"/>
                <w:lang w:val="zh-CN"/>
              </w:rPr>
              <w:t>经计算，本项目DA001排气筒烟气排放速度为</w:t>
            </w:r>
            <w:r>
              <w:rPr>
                <w:rFonts w:hint="eastAsia"/>
                <w:bCs/>
                <w:color w:val="auto"/>
                <w:sz w:val="21"/>
                <w:szCs w:val="21"/>
                <w:highlight w:val="none"/>
              </w:rPr>
              <w:t>15.25</w:t>
            </w:r>
            <w:r>
              <w:rPr>
                <w:bCs/>
                <w:color w:val="auto"/>
                <w:sz w:val="21"/>
                <w:szCs w:val="21"/>
                <w:highlight w:val="none"/>
                <w:lang w:val="zh-CN"/>
              </w:rPr>
              <w:t>m/s</w:t>
            </w:r>
            <w:r>
              <w:rPr>
                <w:rFonts w:hint="eastAsia"/>
                <w:bCs/>
                <w:color w:val="auto"/>
                <w:sz w:val="21"/>
                <w:szCs w:val="21"/>
                <w:highlight w:val="none"/>
                <w:lang w:val="zh-CN"/>
              </w:rPr>
              <w:t>，</w:t>
            </w:r>
            <w:r>
              <w:rPr>
                <w:bCs/>
                <w:color w:val="auto"/>
                <w:sz w:val="21"/>
                <w:szCs w:val="21"/>
                <w:highlight w:val="none"/>
                <w:lang w:val="zh-CN"/>
              </w:rPr>
              <w:t>在15m/s左右，满足《大气污染治理工程技术导则》（HJ2000-2010）第5.3.5节“排气筒的出口直径应根据出口流速确定，流速宜取15m/s左右”的通用技术要求。</w:t>
            </w:r>
          </w:p>
          <w:p>
            <w:pPr>
              <w:spacing w:line="360" w:lineRule="auto"/>
              <w:ind w:firstLine="420" w:firstLineChars="200"/>
              <w:rPr>
                <w:bCs/>
                <w:color w:val="auto"/>
                <w:sz w:val="21"/>
                <w:szCs w:val="21"/>
                <w:highlight w:val="none"/>
                <w:lang w:val="zh-CN"/>
              </w:rPr>
            </w:pPr>
            <w:r>
              <w:rPr>
                <w:bCs/>
                <w:color w:val="auto"/>
                <w:sz w:val="21"/>
                <w:szCs w:val="21"/>
                <w:highlight w:val="none"/>
                <w:lang w:val="zh-CN"/>
              </w:rPr>
              <w:t>综上所述，建设项目排气筒位置设置是合理的。</w:t>
            </w:r>
          </w:p>
          <w:p>
            <w:pPr>
              <w:pStyle w:val="6"/>
              <w:spacing w:line="360" w:lineRule="auto"/>
              <w:ind w:firstLine="482"/>
              <w:rPr>
                <w:b/>
                <w:bCs/>
                <w:color w:val="auto"/>
                <w:sz w:val="21"/>
                <w:szCs w:val="21"/>
                <w:highlight w:val="none"/>
              </w:rPr>
            </w:pPr>
            <w:r>
              <w:rPr>
                <w:b/>
                <w:bCs/>
                <w:color w:val="auto"/>
                <w:sz w:val="21"/>
                <w:szCs w:val="21"/>
                <w:highlight w:val="none"/>
              </w:rPr>
              <w:t>3.2无组织废气</w:t>
            </w:r>
          </w:p>
          <w:p>
            <w:pPr>
              <w:autoSpaceDE w:val="0"/>
              <w:autoSpaceDN w:val="0"/>
              <w:adjustRightInd w:val="0"/>
              <w:spacing w:line="360" w:lineRule="auto"/>
              <w:ind w:firstLine="420" w:firstLineChars="200"/>
              <w:rPr>
                <w:bCs/>
                <w:color w:val="auto"/>
                <w:sz w:val="21"/>
                <w:szCs w:val="21"/>
                <w:highlight w:val="none"/>
              </w:rPr>
            </w:pPr>
            <w:r>
              <w:rPr>
                <w:bCs/>
                <w:color w:val="auto"/>
                <w:sz w:val="21"/>
                <w:szCs w:val="21"/>
                <w:highlight w:val="none"/>
              </w:rPr>
              <w:t>本项目无组织废气主要为未捕集废气</w:t>
            </w:r>
            <w:r>
              <w:rPr>
                <w:rFonts w:hint="eastAsia"/>
                <w:bCs/>
                <w:color w:val="auto"/>
                <w:sz w:val="21"/>
                <w:szCs w:val="21"/>
                <w:highlight w:val="none"/>
              </w:rPr>
              <w:t>非甲烷总烃</w:t>
            </w:r>
            <w:r>
              <w:rPr>
                <w:rFonts w:hint="eastAsia"/>
                <w:bCs/>
                <w:color w:val="auto"/>
                <w:sz w:val="21"/>
                <w:szCs w:val="21"/>
                <w:highlight w:val="none"/>
                <w:lang w:val="en-US" w:eastAsia="zh-CN"/>
              </w:rPr>
              <w:t>及颗粒物</w:t>
            </w:r>
            <w:r>
              <w:rPr>
                <w:bCs/>
                <w:color w:val="auto"/>
                <w:sz w:val="21"/>
                <w:szCs w:val="21"/>
                <w:highlight w:val="none"/>
              </w:rPr>
              <w:t>，无组织控制措施为：</w:t>
            </w:r>
          </w:p>
          <w:p>
            <w:pPr>
              <w:autoSpaceDE w:val="0"/>
              <w:autoSpaceDN w:val="0"/>
              <w:adjustRightInd w:val="0"/>
              <w:spacing w:line="360" w:lineRule="auto"/>
              <w:ind w:firstLine="420" w:firstLineChars="200"/>
              <w:rPr>
                <w:bCs/>
                <w:color w:val="auto"/>
                <w:sz w:val="21"/>
                <w:szCs w:val="21"/>
                <w:highlight w:val="none"/>
              </w:rPr>
            </w:pPr>
            <w:r>
              <w:rPr>
                <w:bCs/>
                <w:color w:val="auto"/>
                <w:sz w:val="21"/>
                <w:szCs w:val="21"/>
                <w:highlight w:val="none"/>
              </w:rPr>
              <w:t>A、尽量保持废气产生车间和操作间（室）的密闭，合理设计排风系统，提高废气捕集率，尽量将废气收集集中处理；</w:t>
            </w:r>
          </w:p>
          <w:p>
            <w:pPr>
              <w:autoSpaceDE w:val="0"/>
              <w:autoSpaceDN w:val="0"/>
              <w:adjustRightInd w:val="0"/>
              <w:spacing w:line="360" w:lineRule="auto"/>
              <w:ind w:firstLine="420" w:firstLineChars="200"/>
              <w:rPr>
                <w:bCs/>
                <w:color w:val="auto"/>
                <w:sz w:val="21"/>
                <w:szCs w:val="21"/>
                <w:highlight w:val="none"/>
              </w:rPr>
            </w:pPr>
            <w:r>
              <w:rPr>
                <w:bCs/>
                <w:color w:val="auto"/>
                <w:sz w:val="21"/>
                <w:szCs w:val="21"/>
                <w:highlight w:val="none"/>
              </w:rPr>
              <w:t>B、加强生产管理，规范操作，使设备设施处于正常工作状态，减少生产、控制、输送等过程中的废气散发；</w:t>
            </w:r>
          </w:p>
          <w:p>
            <w:pPr>
              <w:autoSpaceDE w:val="0"/>
              <w:autoSpaceDN w:val="0"/>
              <w:adjustRightInd w:val="0"/>
              <w:spacing w:line="360" w:lineRule="auto"/>
              <w:ind w:firstLine="420" w:firstLineChars="200"/>
              <w:rPr>
                <w:bCs/>
                <w:color w:val="auto"/>
                <w:sz w:val="21"/>
                <w:szCs w:val="21"/>
                <w:highlight w:val="none"/>
              </w:rPr>
            </w:pPr>
            <w:r>
              <w:rPr>
                <w:bCs/>
                <w:color w:val="auto"/>
                <w:sz w:val="21"/>
                <w:szCs w:val="21"/>
                <w:highlight w:val="none"/>
              </w:rPr>
              <w:t>C、合理设计废气捕集系统，加大捕集面积，减少废气的无组织排放。</w:t>
            </w:r>
          </w:p>
          <w:p>
            <w:pPr>
              <w:pStyle w:val="6"/>
              <w:spacing w:line="360" w:lineRule="auto"/>
              <w:ind w:firstLine="482"/>
              <w:rPr>
                <w:b/>
                <w:bCs/>
                <w:color w:val="auto"/>
                <w:sz w:val="21"/>
                <w:szCs w:val="21"/>
                <w:highlight w:val="none"/>
              </w:rPr>
            </w:pPr>
            <w:r>
              <w:rPr>
                <w:b/>
                <w:bCs/>
                <w:color w:val="auto"/>
                <w:sz w:val="21"/>
                <w:szCs w:val="21"/>
                <w:highlight w:val="none"/>
              </w:rPr>
              <w:t>4、废气达标判定</w:t>
            </w:r>
          </w:p>
          <w:p>
            <w:pPr>
              <w:pStyle w:val="48"/>
              <w:spacing w:before="0" w:beforeLines="0" w:after="0" w:afterLines="0" w:line="240" w:lineRule="auto"/>
              <w:rPr>
                <w:rFonts w:eastAsia="宋体"/>
                <w:bCs/>
                <w:color w:val="auto"/>
                <w:sz w:val="21"/>
                <w:szCs w:val="21"/>
                <w:highlight w:val="none"/>
              </w:rPr>
            </w:pPr>
            <w:r>
              <w:rPr>
                <w:rFonts w:eastAsia="宋体"/>
                <w:bCs/>
                <w:color w:val="auto"/>
                <w:sz w:val="21"/>
                <w:szCs w:val="21"/>
                <w:highlight w:val="none"/>
              </w:rPr>
              <w:t>表4-</w:t>
            </w:r>
            <w:r>
              <w:rPr>
                <w:rFonts w:hint="eastAsia" w:eastAsia="宋体"/>
                <w:bCs/>
                <w:color w:val="auto"/>
                <w:sz w:val="21"/>
                <w:szCs w:val="21"/>
                <w:highlight w:val="none"/>
                <w:lang w:val="en-US" w:eastAsia="zh-CN"/>
              </w:rPr>
              <w:t xml:space="preserve">7 </w:t>
            </w:r>
            <w:r>
              <w:rPr>
                <w:rFonts w:eastAsia="宋体"/>
                <w:bCs/>
                <w:color w:val="auto"/>
                <w:sz w:val="21"/>
                <w:szCs w:val="21"/>
                <w:highlight w:val="none"/>
              </w:rPr>
              <w:t>本项目废气达标排放情况</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720"/>
              <w:gridCol w:w="857"/>
              <w:gridCol w:w="806"/>
              <w:gridCol w:w="845"/>
              <w:gridCol w:w="740"/>
              <w:gridCol w:w="881"/>
              <w:gridCol w:w="870"/>
              <w:gridCol w:w="2109"/>
              <w:gridCol w:w="65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5" w:type="pct"/>
                  <w:vMerge w:val="restart"/>
                  <w:tcMar>
                    <w:left w:w="0" w:type="dxa"/>
                    <w:right w:w="0" w:type="dxa"/>
                  </w:tcMar>
                  <w:vAlign w:val="center"/>
                </w:tcPr>
                <w:p>
                  <w:pPr>
                    <w:snapToGrid w:val="0"/>
                    <w:jc w:val="center"/>
                    <w:rPr>
                      <w:b/>
                      <w:bCs/>
                      <w:color w:val="auto"/>
                      <w:sz w:val="21"/>
                      <w:szCs w:val="21"/>
                      <w:highlight w:val="none"/>
                    </w:rPr>
                  </w:pPr>
                  <w:r>
                    <w:rPr>
                      <w:b/>
                      <w:bCs/>
                      <w:color w:val="auto"/>
                      <w:sz w:val="21"/>
                      <w:szCs w:val="21"/>
                      <w:highlight w:val="none"/>
                    </w:rPr>
                    <w:t>排气筒</w:t>
                  </w:r>
                </w:p>
                <w:p>
                  <w:pPr>
                    <w:snapToGrid w:val="0"/>
                    <w:jc w:val="center"/>
                    <w:rPr>
                      <w:b/>
                      <w:bCs/>
                      <w:color w:val="auto"/>
                      <w:sz w:val="21"/>
                      <w:szCs w:val="21"/>
                      <w:highlight w:val="none"/>
                    </w:rPr>
                  </w:pPr>
                  <w:r>
                    <w:rPr>
                      <w:b/>
                      <w:bCs/>
                      <w:color w:val="auto"/>
                      <w:sz w:val="21"/>
                      <w:szCs w:val="21"/>
                      <w:highlight w:val="none"/>
                    </w:rPr>
                    <w:t>编号</w:t>
                  </w:r>
                </w:p>
              </w:tc>
              <w:tc>
                <w:tcPr>
                  <w:tcW w:w="505" w:type="pct"/>
                  <w:vMerge w:val="restart"/>
                  <w:tcMar>
                    <w:left w:w="0" w:type="dxa"/>
                    <w:right w:w="0" w:type="dxa"/>
                  </w:tcMar>
                  <w:vAlign w:val="center"/>
                </w:tcPr>
                <w:p>
                  <w:pPr>
                    <w:snapToGrid w:val="0"/>
                    <w:jc w:val="center"/>
                    <w:rPr>
                      <w:b/>
                      <w:bCs/>
                      <w:color w:val="auto"/>
                      <w:sz w:val="21"/>
                      <w:szCs w:val="21"/>
                      <w:highlight w:val="none"/>
                    </w:rPr>
                  </w:pPr>
                  <w:r>
                    <w:rPr>
                      <w:b/>
                      <w:bCs/>
                      <w:color w:val="auto"/>
                      <w:sz w:val="21"/>
                      <w:szCs w:val="21"/>
                      <w:highlight w:val="none"/>
                    </w:rPr>
                    <w:t>排气量</w:t>
                  </w:r>
                </w:p>
                <w:p>
                  <w:pPr>
                    <w:snapToGrid w:val="0"/>
                    <w:jc w:val="center"/>
                    <w:rPr>
                      <w:b/>
                      <w:bCs/>
                      <w:color w:val="auto"/>
                      <w:sz w:val="21"/>
                      <w:szCs w:val="21"/>
                      <w:highlight w:val="none"/>
                    </w:rPr>
                  </w:pPr>
                  <w:r>
                    <w:rPr>
                      <w:b/>
                      <w:bCs/>
                      <w:color w:val="auto"/>
                      <w:sz w:val="21"/>
                      <w:szCs w:val="21"/>
                      <w:highlight w:val="none"/>
                    </w:rPr>
                    <w:t>m</w:t>
                  </w:r>
                  <w:r>
                    <w:rPr>
                      <w:b/>
                      <w:bCs/>
                      <w:color w:val="auto"/>
                      <w:sz w:val="21"/>
                      <w:szCs w:val="21"/>
                      <w:highlight w:val="none"/>
                      <w:vertAlign w:val="superscript"/>
                    </w:rPr>
                    <w:t>3</w:t>
                  </w:r>
                  <w:r>
                    <w:rPr>
                      <w:b/>
                      <w:bCs/>
                      <w:color w:val="auto"/>
                      <w:sz w:val="21"/>
                      <w:szCs w:val="21"/>
                      <w:highlight w:val="none"/>
                    </w:rPr>
                    <w:t>/h</w:t>
                  </w:r>
                </w:p>
              </w:tc>
              <w:tc>
                <w:tcPr>
                  <w:tcW w:w="475" w:type="pct"/>
                  <w:vMerge w:val="restart"/>
                  <w:tcMar>
                    <w:left w:w="0" w:type="dxa"/>
                    <w:right w:w="0" w:type="dxa"/>
                  </w:tcMar>
                  <w:vAlign w:val="center"/>
                </w:tcPr>
                <w:p>
                  <w:pPr>
                    <w:snapToGrid w:val="0"/>
                    <w:jc w:val="center"/>
                    <w:rPr>
                      <w:b/>
                      <w:bCs/>
                      <w:color w:val="auto"/>
                      <w:sz w:val="21"/>
                      <w:szCs w:val="21"/>
                      <w:highlight w:val="none"/>
                    </w:rPr>
                  </w:pPr>
                  <w:r>
                    <w:rPr>
                      <w:b/>
                      <w:bCs/>
                      <w:color w:val="auto"/>
                      <w:sz w:val="21"/>
                      <w:szCs w:val="21"/>
                      <w:highlight w:val="none"/>
                    </w:rPr>
                    <w:t>污染物名称</w:t>
                  </w:r>
                </w:p>
              </w:tc>
              <w:tc>
                <w:tcPr>
                  <w:tcW w:w="934" w:type="pct"/>
                  <w:gridSpan w:val="2"/>
                  <w:tcMar>
                    <w:left w:w="0" w:type="dxa"/>
                    <w:right w:w="0" w:type="dxa"/>
                  </w:tcMar>
                  <w:vAlign w:val="center"/>
                </w:tcPr>
                <w:p>
                  <w:pPr>
                    <w:snapToGrid w:val="0"/>
                    <w:jc w:val="center"/>
                    <w:rPr>
                      <w:b/>
                      <w:bCs/>
                      <w:color w:val="auto"/>
                      <w:sz w:val="21"/>
                      <w:szCs w:val="21"/>
                      <w:highlight w:val="none"/>
                    </w:rPr>
                  </w:pPr>
                  <w:r>
                    <w:rPr>
                      <w:b/>
                      <w:bCs/>
                      <w:color w:val="auto"/>
                      <w:sz w:val="21"/>
                      <w:szCs w:val="21"/>
                      <w:highlight w:val="none"/>
                    </w:rPr>
                    <w:t>排放情况</w:t>
                  </w:r>
                </w:p>
              </w:tc>
              <w:tc>
                <w:tcPr>
                  <w:tcW w:w="1032" w:type="pct"/>
                  <w:gridSpan w:val="2"/>
                  <w:tcMar>
                    <w:left w:w="0" w:type="dxa"/>
                    <w:right w:w="0" w:type="dxa"/>
                  </w:tcMar>
                  <w:vAlign w:val="center"/>
                </w:tcPr>
                <w:p>
                  <w:pPr>
                    <w:snapToGrid w:val="0"/>
                    <w:jc w:val="center"/>
                    <w:rPr>
                      <w:b/>
                      <w:bCs/>
                      <w:color w:val="auto"/>
                      <w:sz w:val="21"/>
                      <w:szCs w:val="21"/>
                      <w:highlight w:val="none"/>
                    </w:rPr>
                  </w:pPr>
                  <w:r>
                    <w:rPr>
                      <w:b/>
                      <w:bCs/>
                      <w:color w:val="auto"/>
                      <w:sz w:val="21"/>
                      <w:szCs w:val="21"/>
                      <w:highlight w:val="none"/>
                    </w:rPr>
                    <w:t>执行标准</w:t>
                  </w:r>
                </w:p>
              </w:tc>
              <w:tc>
                <w:tcPr>
                  <w:tcW w:w="1243" w:type="pct"/>
                  <w:vMerge w:val="restart"/>
                  <w:vAlign w:val="center"/>
                </w:tcPr>
                <w:p>
                  <w:pPr>
                    <w:snapToGrid w:val="0"/>
                    <w:jc w:val="center"/>
                    <w:rPr>
                      <w:b/>
                      <w:bCs/>
                      <w:color w:val="auto"/>
                      <w:sz w:val="21"/>
                      <w:szCs w:val="21"/>
                      <w:highlight w:val="none"/>
                    </w:rPr>
                  </w:pPr>
                  <w:r>
                    <w:rPr>
                      <w:b/>
                      <w:bCs/>
                      <w:color w:val="auto"/>
                      <w:sz w:val="21"/>
                      <w:szCs w:val="21"/>
                      <w:highlight w:val="none"/>
                    </w:rPr>
                    <w:t>标准名称</w:t>
                  </w:r>
                </w:p>
              </w:tc>
              <w:tc>
                <w:tcPr>
                  <w:tcW w:w="383" w:type="pct"/>
                  <w:vMerge w:val="restart"/>
                  <w:tcMar>
                    <w:left w:w="0" w:type="dxa"/>
                    <w:right w:w="0" w:type="dxa"/>
                  </w:tcMar>
                  <w:vAlign w:val="center"/>
                </w:tcPr>
                <w:p>
                  <w:pPr>
                    <w:snapToGrid w:val="0"/>
                    <w:jc w:val="center"/>
                    <w:rPr>
                      <w:b/>
                      <w:bCs/>
                      <w:color w:val="auto"/>
                      <w:sz w:val="21"/>
                      <w:szCs w:val="21"/>
                      <w:highlight w:val="none"/>
                    </w:rPr>
                  </w:pPr>
                  <w:r>
                    <w:rPr>
                      <w:b/>
                      <w:bCs/>
                      <w:color w:val="auto"/>
                      <w:sz w:val="21"/>
                      <w:szCs w:val="21"/>
                      <w:highlight w:val="none"/>
                    </w:rPr>
                    <w:t>达标判定</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5" w:type="pct"/>
                  <w:vMerge w:val="continue"/>
                  <w:tcMar>
                    <w:left w:w="0" w:type="dxa"/>
                    <w:right w:w="0" w:type="dxa"/>
                  </w:tcMar>
                  <w:vAlign w:val="center"/>
                </w:tcPr>
                <w:p>
                  <w:pPr>
                    <w:snapToGrid w:val="0"/>
                    <w:jc w:val="center"/>
                    <w:rPr>
                      <w:b/>
                      <w:bCs/>
                      <w:color w:val="auto"/>
                      <w:sz w:val="21"/>
                      <w:szCs w:val="21"/>
                      <w:highlight w:val="none"/>
                    </w:rPr>
                  </w:pPr>
                </w:p>
              </w:tc>
              <w:tc>
                <w:tcPr>
                  <w:tcW w:w="505" w:type="pct"/>
                  <w:vMerge w:val="continue"/>
                  <w:tcMar>
                    <w:left w:w="0" w:type="dxa"/>
                    <w:right w:w="0" w:type="dxa"/>
                  </w:tcMar>
                  <w:vAlign w:val="center"/>
                </w:tcPr>
                <w:p>
                  <w:pPr>
                    <w:snapToGrid w:val="0"/>
                    <w:jc w:val="center"/>
                    <w:rPr>
                      <w:b/>
                      <w:bCs/>
                      <w:color w:val="auto"/>
                      <w:sz w:val="21"/>
                      <w:szCs w:val="21"/>
                      <w:highlight w:val="none"/>
                    </w:rPr>
                  </w:pPr>
                </w:p>
              </w:tc>
              <w:tc>
                <w:tcPr>
                  <w:tcW w:w="475" w:type="pct"/>
                  <w:vMerge w:val="continue"/>
                  <w:tcMar>
                    <w:left w:w="0" w:type="dxa"/>
                    <w:right w:w="0" w:type="dxa"/>
                  </w:tcMar>
                  <w:vAlign w:val="center"/>
                </w:tcPr>
                <w:p>
                  <w:pPr>
                    <w:snapToGrid w:val="0"/>
                    <w:jc w:val="center"/>
                    <w:rPr>
                      <w:b/>
                      <w:bCs/>
                      <w:color w:val="auto"/>
                      <w:sz w:val="21"/>
                      <w:szCs w:val="21"/>
                      <w:highlight w:val="none"/>
                    </w:rPr>
                  </w:pPr>
                </w:p>
              </w:tc>
              <w:tc>
                <w:tcPr>
                  <w:tcW w:w="498" w:type="pct"/>
                  <w:tcMar>
                    <w:left w:w="0" w:type="dxa"/>
                    <w:right w:w="0" w:type="dxa"/>
                  </w:tcMar>
                  <w:vAlign w:val="center"/>
                </w:tcPr>
                <w:p>
                  <w:pPr>
                    <w:snapToGrid w:val="0"/>
                    <w:jc w:val="center"/>
                    <w:rPr>
                      <w:b/>
                      <w:bCs/>
                      <w:color w:val="auto"/>
                      <w:sz w:val="21"/>
                      <w:szCs w:val="21"/>
                      <w:highlight w:val="none"/>
                    </w:rPr>
                  </w:pPr>
                  <w:r>
                    <w:rPr>
                      <w:b/>
                      <w:bCs/>
                      <w:color w:val="auto"/>
                      <w:sz w:val="21"/>
                      <w:szCs w:val="21"/>
                      <w:highlight w:val="none"/>
                    </w:rPr>
                    <w:t>浓度</w:t>
                  </w:r>
                </w:p>
                <w:p>
                  <w:pPr>
                    <w:snapToGrid w:val="0"/>
                    <w:jc w:val="center"/>
                    <w:rPr>
                      <w:b/>
                      <w:bCs/>
                      <w:color w:val="auto"/>
                      <w:sz w:val="21"/>
                      <w:szCs w:val="21"/>
                      <w:highlight w:val="none"/>
                    </w:rPr>
                  </w:pPr>
                  <w:r>
                    <w:rPr>
                      <w:b/>
                      <w:bCs/>
                      <w:color w:val="auto"/>
                      <w:sz w:val="21"/>
                      <w:szCs w:val="21"/>
                      <w:highlight w:val="none"/>
                    </w:rPr>
                    <w:t>mg/m</w:t>
                  </w:r>
                  <w:r>
                    <w:rPr>
                      <w:b/>
                      <w:bCs/>
                      <w:color w:val="auto"/>
                      <w:sz w:val="21"/>
                      <w:szCs w:val="21"/>
                      <w:highlight w:val="none"/>
                      <w:vertAlign w:val="superscript"/>
                    </w:rPr>
                    <w:t>3</w:t>
                  </w:r>
                </w:p>
              </w:tc>
              <w:tc>
                <w:tcPr>
                  <w:tcW w:w="436" w:type="pct"/>
                  <w:tcMar>
                    <w:left w:w="0" w:type="dxa"/>
                    <w:right w:w="0" w:type="dxa"/>
                  </w:tcMar>
                  <w:vAlign w:val="center"/>
                </w:tcPr>
                <w:p>
                  <w:pPr>
                    <w:snapToGrid w:val="0"/>
                    <w:jc w:val="center"/>
                    <w:rPr>
                      <w:b/>
                      <w:bCs/>
                      <w:color w:val="auto"/>
                      <w:sz w:val="21"/>
                      <w:szCs w:val="21"/>
                      <w:highlight w:val="none"/>
                    </w:rPr>
                  </w:pPr>
                  <w:r>
                    <w:rPr>
                      <w:b/>
                      <w:bCs/>
                      <w:color w:val="auto"/>
                      <w:sz w:val="21"/>
                      <w:szCs w:val="21"/>
                      <w:highlight w:val="none"/>
                    </w:rPr>
                    <w:t>速率</w:t>
                  </w:r>
                </w:p>
                <w:p>
                  <w:pPr>
                    <w:snapToGrid w:val="0"/>
                    <w:jc w:val="center"/>
                    <w:rPr>
                      <w:b/>
                      <w:bCs/>
                      <w:color w:val="auto"/>
                      <w:sz w:val="21"/>
                      <w:szCs w:val="21"/>
                      <w:highlight w:val="none"/>
                    </w:rPr>
                  </w:pPr>
                  <w:r>
                    <w:rPr>
                      <w:b/>
                      <w:bCs/>
                      <w:color w:val="auto"/>
                      <w:sz w:val="21"/>
                      <w:szCs w:val="21"/>
                      <w:highlight w:val="none"/>
                    </w:rPr>
                    <w:t>kg/h</w:t>
                  </w:r>
                </w:p>
              </w:tc>
              <w:tc>
                <w:tcPr>
                  <w:tcW w:w="519" w:type="pct"/>
                  <w:tcMar>
                    <w:left w:w="0" w:type="dxa"/>
                    <w:right w:w="0" w:type="dxa"/>
                  </w:tcMar>
                  <w:vAlign w:val="center"/>
                </w:tcPr>
                <w:p>
                  <w:pPr>
                    <w:snapToGrid w:val="0"/>
                    <w:jc w:val="center"/>
                    <w:rPr>
                      <w:b/>
                      <w:bCs/>
                      <w:color w:val="auto"/>
                      <w:sz w:val="21"/>
                      <w:szCs w:val="21"/>
                      <w:highlight w:val="none"/>
                    </w:rPr>
                  </w:pPr>
                  <w:r>
                    <w:rPr>
                      <w:b/>
                      <w:bCs/>
                      <w:color w:val="auto"/>
                      <w:sz w:val="21"/>
                      <w:szCs w:val="21"/>
                      <w:highlight w:val="none"/>
                    </w:rPr>
                    <w:t>浓度mg/m</w:t>
                  </w:r>
                  <w:r>
                    <w:rPr>
                      <w:b/>
                      <w:bCs/>
                      <w:color w:val="auto"/>
                      <w:sz w:val="21"/>
                      <w:szCs w:val="21"/>
                      <w:highlight w:val="none"/>
                      <w:vertAlign w:val="superscript"/>
                    </w:rPr>
                    <w:t>3</w:t>
                  </w:r>
                </w:p>
              </w:tc>
              <w:tc>
                <w:tcPr>
                  <w:tcW w:w="513" w:type="pct"/>
                  <w:tcMar>
                    <w:left w:w="0" w:type="dxa"/>
                    <w:right w:w="0" w:type="dxa"/>
                  </w:tcMar>
                  <w:vAlign w:val="center"/>
                </w:tcPr>
                <w:p>
                  <w:pPr>
                    <w:snapToGrid w:val="0"/>
                    <w:jc w:val="center"/>
                    <w:rPr>
                      <w:b/>
                      <w:bCs/>
                      <w:color w:val="auto"/>
                      <w:sz w:val="21"/>
                      <w:szCs w:val="21"/>
                      <w:highlight w:val="none"/>
                    </w:rPr>
                  </w:pPr>
                  <w:r>
                    <w:rPr>
                      <w:b/>
                      <w:bCs/>
                      <w:color w:val="auto"/>
                      <w:sz w:val="21"/>
                      <w:szCs w:val="21"/>
                      <w:highlight w:val="none"/>
                    </w:rPr>
                    <w:t>速率</w:t>
                  </w:r>
                </w:p>
                <w:p>
                  <w:pPr>
                    <w:snapToGrid w:val="0"/>
                    <w:jc w:val="center"/>
                    <w:rPr>
                      <w:b/>
                      <w:bCs/>
                      <w:color w:val="auto"/>
                      <w:sz w:val="21"/>
                      <w:szCs w:val="21"/>
                      <w:highlight w:val="none"/>
                    </w:rPr>
                  </w:pPr>
                  <w:r>
                    <w:rPr>
                      <w:b/>
                      <w:bCs/>
                      <w:color w:val="auto"/>
                      <w:sz w:val="21"/>
                      <w:szCs w:val="21"/>
                      <w:highlight w:val="none"/>
                    </w:rPr>
                    <w:t>kg/h</w:t>
                  </w:r>
                </w:p>
              </w:tc>
              <w:tc>
                <w:tcPr>
                  <w:tcW w:w="1243" w:type="pct"/>
                  <w:vMerge w:val="continue"/>
                  <w:vAlign w:val="center"/>
                </w:tcPr>
                <w:p>
                  <w:pPr>
                    <w:snapToGrid w:val="0"/>
                    <w:jc w:val="center"/>
                    <w:rPr>
                      <w:b/>
                      <w:bCs/>
                      <w:color w:val="auto"/>
                      <w:sz w:val="21"/>
                      <w:szCs w:val="21"/>
                      <w:highlight w:val="none"/>
                    </w:rPr>
                  </w:pPr>
                </w:p>
              </w:tc>
              <w:tc>
                <w:tcPr>
                  <w:tcW w:w="383" w:type="pct"/>
                  <w:vMerge w:val="continue"/>
                  <w:tcMar>
                    <w:left w:w="0" w:type="dxa"/>
                    <w:right w:w="0" w:type="dxa"/>
                  </w:tcMar>
                  <w:vAlign w:val="center"/>
                </w:tcPr>
                <w:p>
                  <w:pPr>
                    <w:snapToGrid w:val="0"/>
                    <w:jc w:val="center"/>
                    <w:rPr>
                      <w:b/>
                      <w:bCs/>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25" w:type="pct"/>
                  <w:tcMar>
                    <w:left w:w="0" w:type="dxa"/>
                    <w:right w:w="0" w:type="dxa"/>
                  </w:tcMar>
                  <w:vAlign w:val="center"/>
                </w:tcPr>
                <w:p>
                  <w:pPr>
                    <w:spacing w:line="240" w:lineRule="auto"/>
                    <w:jc w:val="center"/>
                    <w:textAlignment w:val="bottom"/>
                    <w:rPr>
                      <w:color w:val="auto"/>
                      <w:sz w:val="21"/>
                      <w:szCs w:val="21"/>
                      <w:highlight w:val="none"/>
                    </w:rPr>
                  </w:pPr>
                  <w:r>
                    <w:rPr>
                      <w:color w:val="auto"/>
                      <w:sz w:val="21"/>
                      <w:szCs w:val="21"/>
                      <w:highlight w:val="none"/>
                    </w:rPr>
                    <w:t>DA001</w:t>
                  </w:r>
                </w:p>
              </w:tc>
              <w:tc>
                <w:tcPr>
                  <w:tcW w:w="505" w:type="pct"/>
                  <w:tcMar>
                    <w:left w:w="0" w:type="dxa"/>
                    <w:right w:w="0" w:type="dxa"/>
                  </w:tcMar>
                  <w:vAlign w:val="center"/>
                </w:tcPr>
                <w:p>
                  <w:pPr>
                    <w:spacing w:line="240" w:lineRule="auto"/>
                    <w:jc w:val="center"/>
                    <w:textAlignment w:val="bottom"/>
                    <w:rPr>
                      <w:color w:val="auto"/>
                      <w:sz w:val="21"/>
                      <w:szCs w:val="21"/>
                      <w:highlight w:val="none"/>
                    </w:rPr>
                  </w:pPr>
                  <w:r>
                    <w:rPr>
                      <w:rFonts w:hint="eastAsia"/>
                      <w:color w:val="auto"/>
                      <w:sz w:val="21"/>
                      <w:szCs w:val="21"/>
                      <w:highlight w:val="none"/>
                    </w:rPr>
                    <w:t>8000</w:t>
                  </w:r>
                </w:p>
              </w:tc>
              <w:tc>
                <w:tcPr>
                  <w:tcW w:w="475" w:type="pct"/>
                  <w:tcMar>
                    <w:left w:w="0" w:type="dxa"/>
                    <w:right w:w="0" w:type="dxa"/>
                  </w:tcMar>
                  <w:vAlign w:val="center"/>
                </w:tcPr>
                <w:p>
                  <w:pPr>
                    <w:pStyle w:val="55"/>
                    <w:spacing w:line="240" w:lineRule="auto"/>
                    <w:rPr>
                      <w:color w:val="auto"/>
                      <w:sz w:val="21"/>
                      <w:szCs w:val="21"/>
                      <w:highlight w:val="none"/>
                    </w:rPr>
                  </w:pPr>
                  <w:r>
                    <w:rPr>
                      <w:rFonts w:hint="eastAsia"/>
                      <w:color w:val="auto"/>
                      <w:spacing w:val="-2"/>
                      <w:kern w:val="28"/>
                      <w:sz w:val="21"/>
                      <w:szCs w:val="21"/>
                      <w:highlight w:val="none"/>
                    </w:rPr>
                    <w:t>非甲烷总烃</w:t>
                  </w:r>
                </w:p>
              </w:tc>
              <w:tc>
                <w:tcPr>
                  <w:tcW w:w="498" w:type="pct"/>
                  <w:tcMar>
                    <w:left w:w="0" w:type="dxa"/>
                    <w:right w:w="0" w:type="dxa"/>
                  </w:tcMar>
                  <w:vAlign w:val="center"/>
                </w:tcPr>
                <w:p>
                  <w:pPr>
                    <w:spacing w:line="240" w:lineRule="auto"/>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0.677</w:t>
                  </w:r>
                </w:p>
              </w:tc>
              <w:tc>
                <w:tcPr>
                  <w:tcW w:w="436" w:type="pct"/>
                  <w:tcMar>
                    <w:left w:w="0" w:type="dxa"/>
                    <w:right w:w="0" w:type="dxa"/>
                  </w:tcMar>
                  <w:vAlign w:val="center"/>
                </w:tcPr>
                <w:p>
                  <w:pPr>
                    <w:spacing w:line="240" w:lineRule="auto"/>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0.0054</w:t>
                  </w:r>
                </w:p>
              </w:tc>
              <w:tc>
                <w:tcPr>
                  <w:tcW w:w="519" w:type="pct"/>
                  <w:tcMar>
                    <w:left w:w="0" w:type="dxa"/>
                    <w:right w:w="0" w:type="dxa"/>
                  </w:tcMar>
                  <w:vAlign w:val="center"/>
                </w:tcPr>
                <w:p>
                  <w:pPr>
                    <w:spacing w:line="240" w:lineRule="auto"/>
                    <w:jc w:val="center"/>
                    <w:textAlignment w:val="bottom"/>
                    <w:rPr>
                      <w:color w:val="auto"/>
                      <w:sz w:val="21"/>
                      <w:szCs w:val="21"/>
                      <w:highlight w:val="none"/>
                    </w:rPr>
                  </w:pPr>
                  <w:r>
                    <w:rPr>
                      <w:color w:val="auto"/>
                      <w:sz w:val="21"/>
                      <w:szCs w:val="21"/>
                      <w:highlight w:val="none"/>
                    </w:rPr>
                    <w:t>60</w:t>
                  </w:r>
                </w:p>
              </w:tc>
              <w:tc>
                <w:tcPr>
                  <w:tcW w:w="513" w:type="pct"/>
                  <w:tcMar>
                    <w:left w:w="0" w:type="dxa"/>
                    <w:right w:w="0" w:type="dxa"/>
                  </w:tcMar>
                  <w:vAlign w:val="center"/>
                </w:tcPr>
                <w:p>
                  <w:pPr>
                    <w:spacing w:line="240" w:lineRule="auto"/>
                    <w:jc w:val="center"/>
                    <w:rPr>
                      <w:color w:val="auto"/>
                      <w:sz w:val="21"/>
                      <w:szCs w:val="21"/>
                      <w:highlight w:val="none"/>
                    </w:rPr>
                  </w:pPr>
                  <w:r>
                    <w:rPr>
                      <w:color w:val="auto"/>
                      <w:sz w:val="21"/>
                      <w:szCs w:val="21"/>
                      <w:highlight w:val="none"/>
                    </w:rPr>
                    <w:t>3</w:t>
                  </w:r>
                </w:p>
              </w:tc>
              <w:tc>
                <w:tcPr>
                  <w:tcW w:w="1243" w:type="pct"/>
                  <w:vAlign w:val="center"/>
                </w:tcPr>
                <w:p>
                  <w:pPr>
                    <w:spacing w:line="240" w:lineRule="auto"/>
                    <w:jc w:val="center"/>
                    <w:rPr>
                      <w:color w:val="auto"/>
                      <w:sz w:val="21"/>
                      <w:szCs w:val="21"/>
                      <w:highlight w:val="none"/>
                    </w:rPr>
                  </w:pPr>
                  <w:r>
                    <w:rPr>
                      <w:rStyle w:val="30"/>
                      <w:rFonts w:hint="eastAsia"/>
                      <w:color w:val="auto"/>
                      <w:sz w:val="21"/>
                      <w:szCs w:val="21"/>
                      <w:highlight w:val="none"/>
                    </w:rPr>
                    <w:t>《合成树脂工业污染物排放标准》（GB31572-2015）</w:t>
                  </w:r>
                </w:p>
              </w:tc>
              <w:tc>
                <w:tcPr>
                  <w:tcW w:w="383" w:type="pct"/>
                  <w:tcMar>
                    <w:left w:w="0" w:type="dxa"/>
                    <w:right w:w="0" w:type="dxa"/>
                  </w:tcMar>
                  <w:vAlign w:val="center"/>
                </w:tcPr>
                <w:p>
                  <w:pPr>
                    <w:spacing w:line="240" w:lineRule="auto"/>
                    <w:jc w:val="center"/>
                    <w:rPr>
                      <w:color w:val="auto"/>
                      <w:sz w:val="21"/>
                      <w:szCs w:val="21"/>
                      <w:highlight w:val="none"/>
                    </w:rPr>
                  </w:pPr>
                  <w:r>
                    <w:rPr>
                      <w:color w:val="auto"/>
                      <w:sz w:val="21"/>
                      <w:szCs w:val="21"/>
                      <w:highlight w:val="none"/>
                    </w:rPr>
                    <w:t>达标</w:t>
                  </w:r>
                </w:p>
              </w:tc>
            </w:tr>
          </w:tbl>
          <w:p>
            <w:pPr>
              <w:pStyle w:val="37"/>
              <w:keepNext w:val="0"/>
              <w:keepLines w:val="0"/>
              <w:pageBreakBefore w:val="0"/>
              <w:widowControl w:val="0"/>
              <w:kinsoku/>
              <w:wordWrap/>
              <w:overflowPunct/>
              <w:topLinePunct w:val="0"/>
              <w:autoSpaceDE/>
              <w:autoSpaceDN/>
              <w:bidi w:val="0"/>
              <w:adjustRightInd/>
              <w:snapToGrid/>
              <w:spacing w:before="157" w:beforeLines="50" w:line="360" w:lineRule="auto"/>
              <w:ind w:firstLine="480"/>
              <w:textAlignment w:val="auto"/>
              <w:rPr>
                <w:rFonts w:eastAsia="宋体"/>
                <w:color w:val="auto"/>
                <w:sz w:val="21"/>
                <w:szCs w:val="21"/>
                <w:highlight w:val="none"/>
              </w:rPr>
            </w:pPr>
            <w:r>
              <w:rPr>
                <w:rFonts w:eastAsia="宋体"/>
                <w:color w:val="auto"/>
                <w:sz w:val="21"/>
                <w:szCs w:val="21"/>
                <w:highlight w:val="none"/>
              </w:rPr>
              <w:t>根据上表，项目有组织污染物可达标排放。</w:t>
            </w:r>
          </w:p>
          <w:p>
            <w:pPr>
              <w:pStyle w:val="37"/>
              <w:spacing w:line="360" w:lineRule="auto"/>
              <w:ind w:firstLine="480"/>
              <w:rPr>
                <w:rFonts w:eastAsia="宋体"/>
                <w:color w:val="auto"/>
                <w:sz w:val="21"/>
                <w:szCs w:val="21"/>
                <w:highlight w:val="none"/>
              </w:rPr>
            </w:pPr>
            <w:r>
              <w:rPr>
                <w:rFonts w:eastAsia="宋体"/>
                <w:color w:val="auto"/>
                <w:sz w:val="21"/>
                <w:szCs w:val="21"/>
                <w:highlight w:val="none"/>
              </w:rPr>
              <w:t>项目无组织废气经治理后排放量较低，企业应加强生产管理，增加员工意识，规范操作，定期检查集气设施的密闭情况，确保无组织排放废气厂界达标。</w:t>
            </w:r>
          </w:p>
          <w:p>
            <w:pPr>
              <w:pStyle w:val="37"/>
              <w:numPr>
                <w:ilvl w:val="0"/>
                <w:numId w:val="6"/>
              </w:numPr>
              <w:spacing w:line="360" w:lineRule="auto"/>
              <w:ind w:firstLine="482"/>
              <w:rPr>
                <w:rFonts w:eastAsia="宋体"/>
                <w:b/>
                <w:color w:val="auto"/>
                <w:sz w:val="21"/>
                <w:szCs w:val="21"/>
                <w:highlight w:val="none"/>
              </w:rPr>
            </w:pPr>
            <w:r>
              <w:rPr>
                <w:rFonts w:eastAsia="宋体"/>
                <w:b/>
                <w:color w:val="auto"/>
                <w:sz w:val="21"/>
                <w:szCs w:val="21"/>
                <w:highlight w:val="none"/>
              </w:rPr>
              <w:t>污染物排放量核算</w:t>
            </w:r>
          </w:p>
          <w:p>
            <w:pPr>
              <w:pStyle w:val="48"/>
              <w:spacing w:before="0" w:beforeLines="0" w:after="0" w:afterLines="0"/>
              <w:rPr>
                <w:rFonts w:eastAsia="宋体"/>
                <w:bCs/>
                <w:color w:val="auto"/>
                <w:sz w:val="21"/>
                <w:szCs w:val="21"/>
                <w:highlight w:val="none"/>
              </w:rPr>
            </w:pPr>
            <w:r>
              <w:rPr>
                <w:rFonts w:eastAsia="宋体"/>
                <w:bCs/>
                <w:color w:val="auto"/>
                <w:sz w:val="21"/>
                <w:szCs w:val="21"/>
                <w:highlight w:val="none"/>
              </w:rPr>
              <w:t>表4-</w:t>
            </w:r>
            <w:r>
              <w:rPr>
                <w:rFonts w:hint="eastAsia" w:eastAsia="宋体"/>
                <w:bCs/>
                <w:color w:val="auto"/>
                <w:sz w:val="21"/>
                <w:szCs w:val="21"/>
                <w:highlight w:val="none"/>
                <w:lang w:val="en-US" w:eastAsia="zh-CN"/>
              </w:rPr>
              <w:t xml:space="preserve">8 </w:t>
            </w:r>
            <w:r>
              <w:rPr>
                <w:rFonts w:eastAsia="宋体"/>
                <w:bCs/>
                <w:color w:val="auto"/>
                <w:sz w:val="21"/>
                <w:szCs w:val="21"/>
                <w:highlight w:val="none"/>
              </w:rPr>
              <w:t>本项目大气污染物有组织排放量核算表</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782"/>
              <w:gridCol w:w="1471"/>
              <w:gridCol w:w="1321"/>
              <w:gridCol w:w="1418"/>
              <w:gridCol w:w="1413"/>
              <w:gridCol w:w="207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461"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序号</w:t>
                  </w:r>
                </w:p>
              </w:tc>
              <w:tc>
                <w:tcPr>
                  <w:tcW w:w="866"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排放口编号</w:t>
                  </w:r>
                </w:p>
              </w:tc>
              <w:tc>
                <w:tcPr>
                  <w:tcW w:w="779"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污染物</w:t>
                  </w:r>
                </w:p>
              </w:tc>
              <w:tc>
                <w:tcPr>
                  <w:tcW w:w="836"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核算排放浓度/（mg/m</w:t>
                  </w:r>
                  <w:r>
                    <w:rPr>
                      <w:rFonts w:eastAsia="宋体"/>
                      <w:color w:val="auto"/>
                      <w:sz w:val="21"/>
                      <w:szCs w:val="21"/>
                      <w:highlight w:val="none"/>
                      <w:vertAlign w:val="superscript"/>
                    </w:rPr>
                    <w:t>3</w:t>
                  </w:r>
                  <w:r>
                    <w:rPr>
                      <w:rFonts w:eastAsia="宋体"/>
                      <w:color w:val="auto"/>
                      <w:sz w:val="21"/>
                      <w:szCs w:val="21"/>
                      <w:highlight w:val="none"/>
                    </w:rPr>
                    <w:t>）</w:t>
                  </w:r>
                </w:p>
              </w:tc>
              <w:tc>
                <w:tcPr>
                  <w:tcW w:w="832"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核算排放速率/（kg/h）</w:t>
                  </w:r>
                </w:p>
              </w:tc>
              <w:tc>
                <w:tcPr>
                  <w:tcW w:w="1223" w:type="pct"/>
                  <w:vAlign w:val="center"/>
                </w:tcPr>
                <w:p>
                  <w:pPr>
                    <w:pStyle w:val="49"/>
                    <w:spacing w:line="240" w:lineRule="auto"/>
                    <w:rPr>
                      <w:rFonts w:eastAsia="宋体"/>
                      <w:color w:val="auto"/>
                      <w:sz w:val="21"/>
                      <w:szCs w:val="21"/>
                      <w:highlight w:val="none"/>
                    </w:rPr>
                  </w:pPr>
                  <w:r>
                    <w:rPr>
                      <w:rFonts w:eastAsia="宋体"/>
                      <w:color w:val="auto"/>
                      <w:sz w:val="21"/>
                      <w:szCs w:val="21"/>
                      <w:highlight w:val="none"/>
                    </w:rPr>
                    <w:t>核算年排放量/（t/a）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5000" w:type="pct"/>
                  <w:gridSpan w:val="6"/>
                  <w:vAlign w:val="center"/>
                </w:tcPr>
                <w:p>
                  <w:pPr>
                    <w:pStyle w:val="46"/>
                    <w:spacing w:line="240" w:lineRule="auto"/>
                    <w:rPr>
                      <w:rFonts w:eastAsia="宋体"/>
                      <w:color w:val="auto"/>
                      <w:sz w:val="21"/>
                      <w:szCs w:val="21"/>
                      <w:highlight w:val="none"/>
                    </w:rPr>
                  </w:pPr>
                  <w:r>
                    <w:rPr>
                      <w:rFonts w:eastAsia="宋体"/>
                      <w:color w:val="auto"/>
                      <w:sz w:val="21"/>
                      <w:szCs w:val="21"/>
                      <w:highlight w:val="none"/>
                    </w:rPr>
                    <w:t>一般排放口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461" w:type="pct"/>
                  <w:vAlign w:val="center"/>
                </w:tcPr>
                <w:p>
                  <w:pPr>
                    <w:pStyle w:val="49"/>
                    <w:spacing w:line="240" w:lineRule="auto"/>
                    <w:rPr>
                      <w:rFonts w:eastAsia="宋体"/>
                      <w:b w:val="0"/>
                      <w:bCs/>
                      <w:color w:val="auto"/>
                      <w:sz w:val="21"/>
                      <w:szCs w:val="21"/>
                      <w:highlight w:val="none"/>
                    </w:rPr>
                  </w:pPr>
                  <w:r>
                    <w:rPr>
                      <w:rFonts w:eastAsia="宋体"/>
                      <w:b w:val="0"/>
                      <w:bCs/>
                      <w:color w:val="auto"/>
                      <w:sz w:val="21"/>
                      <w:szCs w:val="21"/>
                      <w:highlight w:val="none"/>
                    </w:rPr>
                    <w:t>1</w:t>
                  </w:r>
                </w:p>
              </w:tc>
              <w:tc>
                <w:tcPr>
                  <w:tcW w:w="866" w:type="pct"/>
                  <w:vAlign w:val="center"/>
                </w:tcPr>
                <w:p>
                  <w:pPr>
                    <w:pStyle w:val="46"/>
                    <w:spacing w:line="240" w:lineRule="auto"/>
                    <w:rPr>
                      <w:rFonts w:eastAsia="宋体"/>
                      <w:color w:val="auto"/>
                      <w:sz w:val="21"/>
                      <w:szCs w:val="21"/>
                      <w:highlight w:val="none"/>
                    </w:rPr>
                  </w:pPr>
                  <w:r>
                    <w:rPr>
                      <w:rFonts w:eastAsia="宋体"/>
                      <w:color w:val="auto"/>
                      <w:sz w:val="21"/>
                      <w:szCs w:val="21"/>
                      <w:highlight w:val="none"/>
                    </w:rPr>
                    <w:t>DA001</w:t>
                  </w:r>
                </w:p>
              </w:tc>
              <w:tc>
                <w:tcPr>
                  <w:tcW w:w="779" w:type="pct"/>
                  <w:vAlign w:val="center"/>
                </w:tcPr>
                <w:p>
                  <w:pPr>
                    <w:spacing w:line="240" w:lineRule="auto"/>
                    <w:jc w:val="center"/>
                    <w:textAlignment w:val="bottom"/>
                    <w:rPr>
                      <w:color w:val="auto"/>
                      <w:sz w:val="21"/>
                      <w:szCs w:val="21"/>
                      <w:highlight w:val="none"/>
                    </w:rPr>
                  </w:pPr>
                  <w:r>
                    <w:rPr>
                      <w:rFonts w:hint="eastAsia"/>
                      <w:color w:val="auto"/>
                      <w:sz w:val="21"/>
                      <w:szCs w:val="21"/>
                      <w:highlight w:val="none"/>
                    </w:rPr>
                    <w:t>非甲烷总烃</w:t>
                  </w:r>
                </w:p>
              </w:tc>
              <w:tc>
                <w:tcPr>
                  <w:tcW w:w="836" w:type="pct"/>
                  <w:vAlign w:val="center"/>
                </w:tcPr>
                <w:p>
                  <w:pPr>
                    <w:spacing w:line="240" w:lineRule="auto"/>
                    <w:jc w:val="center"/>
                    <w:rPr>
                      <w:rFonts w:hint="default"/>
                      <w:color w:val="auto"/>
                      <w:sz w:val="21"/>
                      <w:szCs w:val="21"/>
                      <w:highlight w:val="none"/>
                      <w:lang w:val="en-US"/>
                    </w:rPr>
                  </w:pPr>
                  <w:r>
                    <w:rPr>
                      <w:rFonts w:hint="eastAsia"/>
                      <w:color w:val="auto"/>
                      <w:spacing w:val="-2"/>
                      <w:kern w:val="28"/>
                      <w:sz w:val="21"/>
                      <w:szCs w:val="21"/>
                      <w:highlight w:val="none"/>
                      <w:lang w:val="en-US" w:eastAsia="zh-CN"/>
                    </w:rPr>
                    <w:t>0.677</w:t>
                  </w:r>
                </w:p>
              </w:tc>
              <w:tc>
                <w:tcPr>
                  <w:tcW w:w="832" w:type="pct"/>
                  <w:vAlign w:val="center"/>
                </w:tcPr>
                <w:p>
                  <w:pPr>
                    <w:spacing w:line="240" w:lineRule="auto"/>
                    <w:jc w:val="center"/>
                    <w:rPr>
                      <w:rFonts w:hint="default"/>
                      <w:color w:val="auto"/>
                      <w:sz w:val="21"/>
                      <w:szCs w:val="21"/>
                      <w:highlight w:val="none"/>
                      <w:lang w:val="en-US"/>
                    </w:rPr>
                  </w:pPr>
                  <w:r>
                    <w:rPr>
                      <w:rFonts w:hint="eastAsia"/>
                      <w:color w:val="auto"/>
                      <w:spacing w:val="-2"/>
                      <w:kern w:val="28"/>
                      <w:sz w:val="21"/>
                      <w:szCs w:val="21"/>
                      <w:highlight w:val="none"/>
                      <w:lang w:val="en-US" w:eastAsia="zh-CN"/>
                    </w:rPr>
                    <w:t>0.0054</w:t>
                  </w:r>
                </w:p>
              </w:tc>
              <w:tc>
                <w:tcPr>
                  <w:tcW w:w="1223" w:type="pct"/>
                  <w:vAlign w:val="center"/>
                </w:tcPr>
                <w:p>
                  <w:pPr>
                    <w:widowControl/>
                    <w:spacing w:line="240" w:lineRule="auto"/>
                    <w:jc w:val="center"/>
                    <w:textAlignment w:val="center"/>
                    <w:rPr>
                      <w:rFonts w:hint="default" w:eastAsia="宋体"/>
                      <w:color w:val="auto"/>
                      <w:sz w:val="21"/>
                      <w:szCs w:val="21"/>
                      <w:highlight w:val="none"/>
                      <w:lang w:val="en-US" w:eastAsia="zh-CN"/>
                    </w:rPr>
                  </w:pPr>
                  <w:r>
                    <w:rPr>
                      <w:rFonts w:hint="eastAsia"/>
                      <w:color w:val="auto"/>
                      <w:sz w:val="21"/>
                      <w:szCs w:val="21"/>
                      <w:highlight w:val="none"/>
                      <w:lang w:val="en-US" w:eastAsia="zh-CN"/>
                    </w:rPr>
                    <w:t>0.039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8" w:type="pct"/>
                  <w:gridSpan w:val="2"/>
                  <w:vAlign w:val="center"/>
                </w:tcPr>
                <w:p>
                  <w:pPr>
                    <w:pStyle w:val="46"/>
                    <w:spacing w:line="240" w:lineRule="auto"/>
                    <w:rPr>
                      <w:rFonts w:eastAsia="宋体"/>
                      <w:color w:val="auto"/>
                      <w:sz w:val="21"/>
                      <w:szCs w:val="21"/>
                      <w:highlight w:val="none"/>
                    </w:rPr>
                  </w:pPr>
                  <w:r>
                    <w:rPr>
                      <w:rFonts w:eastAsia="宋体"/>
                      <w:color w:val="auto"/>
                      <w:sz w:val="21"/>
                      <w:szCs w:val="21"/>
                      <w:highlight w:val="none"/>
                    </w:rPr>
                    <w:t>一般排放口合计</w:t>
                  </w:r>
                </w:p>
              </w:tc>
              <w:tc>
                <w:tcPr>
                  <w:tcW w:w="2448" w:type="pct"/>
                  <w:gridSpan w:val="3"/>
                  <w:vAlign w:val="center"/>
                </w:tcPr>
                <w:p>
                  <w:pPr>
                    <w:spacing w:line="240" w:lineRule="auto"/>
                    <w:jc w:val="center"/>
                    <w:textAlignment w:val="bottom"/>
                    <w:rPr>
                      <w:color w:val="auto"/>
                      <w:kern w:val="0"/>
                      <w:sz w:val="21"/>
                      <w:szCs w:val="21"/>
                      <w:highlight w:val="none"/>
                      <w:lang w:bidi="ar"/>
                    </w:rPr>
                  </w:pPr>
                  <w:r>
                    <w:rPr>
                      <w:rFonts w:hint="eastAsia"/>
                      <w:color w:val="auto"/>
                      <w:sz w:val="21"/>
                      <w:szCs w:val="21"/>
                      <w:highlight w:val="none"/>
                    </w:rPr>
                    <w:t>非甲烷总烃</w:t>
                  </w:r>
                </w:p>
              </w:tc>
              <w:tc>
                <w:tcPr>
                  <w:tcW w:w="1223" w:type="pct"/>
                  <w:vAlign w:val="center"/>
                </w:tcPr>
                <w:p>
                  <w:pPr>
                    <w:widowControl/>
                    <w:spacing w:line="240" w:lineRule="auto"/>
                    <w:jc w:val="center"/>
                    <w:textAlignment w:val="center"/>
                    <w:rPr>
                      <w:rFonts w:hint="default" w:eastAsia="宋体"/>
                      <w:color w:val="auto"/>
                      <w:kern w:val="0"/>
                      <w:sz w:val="21"/>
                      <w:szCs w:val="21"/>
                      <w:highlight w:val="none"/>
                      <w:lang w:val="en-US" w:eastAsia="zh-CN" w:bidi="ar"/>
                    </w:rPr>
                  </w:pPr>
                  <w:r>
                    <w:rPr>
                      <w:rFonts w:hint="eastAsia"/>
                      <w:color w:val="auto"/>
                      <w:kern w:val="0"/>
                      <w:sz w:val="21"/>
                      <w:szCs w:val="21"/>
                      <w:highlight w:val="none"/>
                      <w:lang w:val="en-US" w:eastAsia="zh-CN" w:bidi="ar"/>
                    </w:rPr>
                    <w:t>0.039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00" w:type="pct"/>
                  <w:gridSpan w:val="6"/>
                  <w:vAlign w:val="center"/>
                </w:tcPr>
                <w:p>
                  <w:pPr>
                    <w:pStyle w:val="46"/>
                    <w:spacing w:line="240" w:lineRule="auto"/>
                    <w:rPr>
                      <w:rFonts w:eastAsia="宋体"/>
                      <w:color w:val="auto"/>
                      <w:sz w:val="21"/>
                      <w:szCs w:val="21"/>
                      <w:highlight w:val="none"/>
                    </w:rPr>
                  </w:pPr>
                  <w:r>
                    <w:rPr>
                      <w:rFonts w:eastAsia="宋体"/>
                      <w:color w:val="auto"/>
                      <w:sz w:val="21"/>
                      <w:szCs w:val="21"/>
                      <w:highlight w:val="none"/>
                    </w:rPr>
                    <w:t>有组织排放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8" w:type="pct"/>
                  <w:gridSpan w:val="2"/>
                  <w:vAlign w:val="center"/>
                </w:tcPr>
                <w:p>
                  <w:pPr>
                    <w:pStyle w:val="46"/>
                    <w:spacing w:line="240" w:lineRule="auto"/>
                    <w:rPr>
                      <w:rFonts w:eastAsia="宋体"/>
                      <w:color w:val="auto"/>
                      <w:sz w:val="21"/>
                      <w:szCs w:val="21"/>
                      <w:highlight w:val="none"/>
                    </w:rPr>
                  </w:pPr>
                  <w:r>
                    <w:rPr>
                      <w:rFonts w:eastAsia="宋体"/>
                      <w:color w:val="auto"/>
                      <w:sz w:val="21"/>
                      <w:szCs w:val="21"/>
                      <w:highlight w:val="none"/>
                    </w:rPr>
                    <w:t>有组织排放总计</w:t>
                  </w:r>
                </w:p>
              </w:tc>
              <w:tc>
                <w:tcPr>
                  <w:tcW w:w="2448" w:type="pct"/>
                  <w:gridSpan w:val="3"/>
                  <w:vAlign w:val="center"/>
                </w:tcPr>
                <w:p>
                  <w:pPr>
                    <w:spacing w:line="240" w:lineRule="auto"/>
                    <w:jc w:val="center"/>
                    <w:textAlignment w:val="bottom"/>
                    <w:rPr>
                      <w:color w:val="auto"/>
                      <w:sz w:val="21"/>
                      <w:szCs w:val="21"/>
                      <w:highlight w:val="none"/>
                    </w:rPr>
                  </w:pPr>
                  <w:r>
                    <w:rPr>
                      <w:rFonts w:hint="eastAsia"/>
                      <w:color w:val="auto"/>
                      <w:sz w:val="21"/>
                      <w:szCs w:val="21"/>
                      <w:highlight w:val="none"/>
                    </w:rPr>
                    <w:t>非甲烷总烃</w:t>
                  </w:r>
                </w:p>
              </w:tc>
              <w:tc>
                <w:tcPr>
                  <w:tcW w:w="1223" w:type="pct"/>
                  <w:vAlign w:val="center"/>
                </w:tcPr>
                <w:p>
                  <w:pPr>
                    <w:widowControl/>
                    <w:spacing w:line="240" w:lineRule="auto"/>
                    <w:jc w:val="center"/>
                    <w:textAlignment w:val="center"/>
                    <w:rPr>
                      <w:rFonts w:hint="default" w:eastAsia="宋体"/>
                      <w:color w:val="auto"/>
                      <w:sz w:val="21"/>
                      <w:szCs w:val="21"/>
                      <w:highlight w:val="none"/>
                      <w:lang w:val="en-US" w:eastAsia="zh-CN"/>
                    </w:rPr>
                  </w:pPr>
                  <w:r>
                    <w:rPr>
                      <w:rFonts w:hint="eastAsia"/>
                      <w:color w:val="auto"/>
                      <w:sz w:val="21"/>
                      <w:szCs w:val="21"/>
                      <w:highlight w:val="none"/>
                      <w:lang w:val="en-US" w:eastAsia="zh-CN"/>
                    </w:rPr>
                    <w:t>0.039</w:t>
                  </w:r>
                </w:p>
              </w:tc>
            </w:tr>
          </w:tbl>
          <w:p>
            <w:pPr>
              <w:pStyle w:val="44"/>
              <w:keepNext w:val="0"/>
              <w:keepLines w:val="0"/>
              <w:pageBreakBefore w:val="0"/>
              <w:widowControl w:val="0"/>
              <w:kinsoku/>
              <w:wordWrap/>
              <w:overflowPunct/>
              <w:topLinePunct w:val="0"/>
              <w:autoSpaceDE/>
              <w:autoSpaceDN/>
              <w:bidi w:val="0"/>
              <w:adjustRightInd/>
              <w:snapToGrid/>
              <w:spacing w:before="157" w:beforeLines="50" w:afterLines="0"/>
              <w:textAlignment w:val="auto"/>
              <w:rPr>
                <w:rFonts w:eastAsia="宋体"/>
                <w:color w:val="auto"/>
                <w:sz w:val="21"/>
                <w:szCs w:val="21"/>
                <w:highlight w:val="none"/>
              </w:rPr>
            </w:pPr>
            <w:r>
              <w:rPr>
                <w:rFonts w:eastAsia="宋体"/>
                <w:color w:val="auto"/>
                <w:sz w:val="21"/>
                <w:szCs w:val="21"/>
                <w:highlight w:val="none"/>
              </w:rPr>
              <w:t>表4</w:t>
            </w:r>
            <w:r>
              <w:rPr>
                <w:rFonts w:hint="eastAsia" w:eastAsia="宋体"/>
                <w:color w:val="auto"/>
                <w:sz w:val="21"/>
                <w:szCs w:val="21"/>
                <w:highlight w:val="none"/>
                <w:lang w:val="en-US" w:eastAsia="zh-CN"/>
              </w:rPr>
              <w:t xml:space="preserve">-9 </w:t>
            </w:r>
            <w:r>
              <w:rPr>
                <w:rFonts w:eastAsia="宋体"/>
                <w:color w:val="auto"/>
                <w:sz w:val="21"/>
                <w:szCs w:val="21"/>
                <w:highlight w:val="none"/>
              </w:rPr>
              <w:t>建设项目大气污染物无组织排放核算表</w:t>
            </w:r>
          </w:p>
          <w:tbl>
            <w:tblPr>
              <w:tblStyle w:val="25"/>
              <w:tblpPr w:leftFromText="180" w:rightFromText="180" w:vertAnchor="text" w:tblpXSpec="center" w:tblpY="1"/>
              <w:tblOverlap w:val="never"/>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862"/>
              <w:gridCol w:w="889"/>
              <w:gridCol w:w="906"/>
              <w:gridCol w:w="950"/>
              <w:gridCol w:w="2454"/>
              <w:gridCol w:w="1238"/>
              <w:gridCol w:w="118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8" w:type="pct"/>
                  <w:vMerge w:val="restart"/>
                  <w:vAlign w:val="center"/>
                </w:tcPr>
                <w:p>
                  <w:pPr>
                    <w:pStyle w:val="49"/>
                    <w:rPr>
                      <w:rFonts w:eastAsia="宋体"/>
                      <w:color w:val="auto"/>
                      <w:sz w:val="21"/>
                      <w:szCs w:val="21"/>
                      <w:highlight w:val="none"/>
                    </w:rPr>
                  </w:pPr>
                  <w:r>
                    <w:rPr>
                      <w:rFonts w:eastAsia="宋体"/>
                      <w:color w:val="auto"/>
                      <w:sz w:val="21"/>
                      <w:szCs w:val="21"/>
                      <w:highlight w:val="none"/>
                    </w:rPr>
                    <w:t>排放口编号</w:t>
                  </w:r>
                </w:p>
              </w:tc>
              <w:tc>
                <w:tcPr>
                  <w:tcW w:w="524" w:type="pct"/>
                  <w:vMerge w:val="restart"/>
                  <w:vAlign w:val="center"/>
                </w:tcPr>
                <w:p>
                  <w:pPr>
                    <w:pStyle w:val="49"/>
                    <w:rPr>
                      <w:rFonts w:eastAsia="宋体"/>
                      <w:color w:val="auto"/>
                      <w:sz w:val="21"/>
                      <w:szCs w:val="21"/>
                      <w:highlight w:val="none"/>
                    </w:rPr>
                  </w:pPr>
                  <w:r>
                    <w:rPr>
                      <w:rFonts w:eastAsia="宋体"/>
                      <w:color w:val="auto"/>
                      <w:sz w:val="21"/>
                      <w:szCs w:val="21"/>
                      <w:highlight w:val="none"/>
                    </w:rPr>
                    <w:t>产污环节</w:t>
                  </w:r>
                </w:p>
              </w:tc>
              <w:tc>
                <w:tcPr>
                  <w:tcW w:w="533" w:type="pct"/>
                  <w:vMerge w:val="restart"/>
                  <w:vAlign w:val="center"/>
                </w:tcPr>
                <w:p>
                  <w:pPr>
                    <w:pStyle w:val="46"/>
                    <w:rPr>
                      <w:rFonts w:eastAsia="宋体"/>
                      <w:b/>
                      <w:bCs/>
                      <w:color w:val="auto"/>
                      <w:sz w:val="21"/>
                      <w:szCs w:val="21"/>
                      <w:highlight w:val="none"/>
                    </w:rPr>
                  </w:pPr>
                  <w:r>
                    <w:rPr>
                      <w:rFonts w:eastAsia="宋体"/>
                      <w:b/>
                      <w:bCs/>
                      <w:color w:val="auto"/>
                      <w:sz w:val="21"/>
                      <w:szCs w:val="21"/>
                      <w:highlight w:val="none"/>
                    </w:rPr>
                    <w:t>污染物</w:t>
                  </w:r>
                </w:p>
              </w:tc>
              <w:tc>
                <w:tcPr>
                  <w:tcW w:w="560" w:type="pct"/>
                  <w:vMerge w:val="restart"/>
                  <w:vAlign w:val="center"/>
                </w:tcPr>
                <w:p>
                  <w:pPr>
                    <w:pStyle w:val="46"/>
                    <w:rPr>
                      <w:rFonts w:eastAsia="宋体"/>
                      <w:b/>
                      <w:bCs/>
                      <w:color w:val="auto"/>
                      <w:sz w:val="21"/>
                      <w:szCs w:val="21"/>
                      <w:highlight w:val="none"/>
                    </w:rPr>
                  </w:pPr>
                  <w:r>
                    <w:rPr>
                      <w:rFonts w:eastAsia="宋体"/>
                      <w:b/>
                      <w:bCs/>
                      <w:color w:val="auto"/>
                      <w:sz w:val="21"/>
                      <w:szCs w:val="21"/>
                      <w:highlight w:val="none"/>
                    </w:rPr>
                    <w:t>主要污染防治措施</w:t>
                  </w:r>
                </w:p>
              </w:tc>
              <w:tc>
                <w:tcPr>
                  <w:tcW w:w="2176" w:type="pct"/>
                  <w:gridSpan w:val="2"/>
                  <w:vAlign w:val="center"/>
                </w:tcPr>
                <w:p>
                  <w:pPr>
                    <w:pStyle w:val="46"/>
                    <w:rPr>
                      <w:rFonts w:eastAsia="宋体"/>
                      <w:b/>
                      <w:bCs/>
                      <w:color w:val="auto"/>
                      <w:sz w:val="21"/>
                      <w:szCs w:val="21"/>
                      <w:highlight w:val="none"/>
                    </w:rPr>
                  </w:pPr>
                  <w:r>
                    <w:rPr>
                      <w:rFonts w:eastAsia="宋体"/>
                      <w:b/>
                      <w:bCs/>
                      <w:color w:val="auto"/>
                      <w:sz w:val="21"/>
                      <w:szCs w:val="21"/>
                      <w:highlight w:val="none"/>
                    </w:rPr>
                    <w:t>国家或地方污染物排放标准</w:t>
                  </w:r>
                </w:p>
              </w:tc>
              <w:tc>
                <w:tcPr>
                  <w:tcW w:w="696" w:type="pct"/>
                  <w:vMerge w:val="restart"/>
                  <w:vAlign w:val="center"/>
                </w:tcPr>
                <w:p>
                  <w:pPr>
                    <w:pStyle w:val="49"/>
                    <w:rPr>
                      <w:rFonts w:eastAsia="宋体"/>
                      <w:color w:val="auto"/>
                      <w:sz w:val="21"/>
                      <w:szCs w:val="21"/>
                      <w:highlight w:val="none"/>
                    </w:rPr>
                  </w:pPr>
                  <w:r>
                    <w:rPr>
                      <w:rFonts w:eastAsia="宋体"/>
                      <w:color w:val="auto"/>
                      <w:sz w:val="21"/>
                      <w:szCs w:val="21"/>
                      <w:highlight w:val="none"/>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8" w:type="pct"/>
                  <w:vMerge w:val="continue"/>
                  <w:vAlign w:val="center"/>
                </w:tcPr>
                <w:p>
                  <w:pPr>
                    <w:pStyle w:val="46"/>
                    <w:rPr>
                      <w:rFonts w:eastAsia="宋体"/>
                      <w:color w:val="auto"/>
                      <w:sz w:val="21"/>
                      <w:szCs w:val="21"/>
                      <w:highlight w:val="none"/>
                    </w:rPr>
                  </w:pPr>
                </w:p>
              </w:tc>
              <w:tc>
                <w:tcPr>
                  <w:tcW w:w="524" w:type="pct"/>
                  <w:vMerge w:val="continue"/>
                  <w:vAlign w:val="center"/>
                </w:tcPr>
                <w:p>
                  <w:pPr>
                    <w:pStyle w:val="46"/>
                    <w:rPr>
                      <w:rFonts w:eastAsia="宋体"/>
                      <w:color w:val="auto"/>
                      <w:sz w:val="21"/>
                      <w:szCs w:val="21"/>
                      <w:highlight w:val="none"/>
                    </w:rPr>
                  </w:pPr>
                </w:p>
              </w:tc>
              <w:tc>
                <w:tcPr>
                  <w:tcW w:w="533" w:type="pct"/>
                  <w:vMerge w:val="continue"/>
                  <w:vAlign w:val="center"/>
                </w:tcPr>
                <w:p>
                  <w:pPr>
                    <w:pStyle w:val="46"/>
                    <w:rPr>
                      <w:rFonts w:eastAsia="宋体"/>
                      <w:b/>
                      <w:bCs/>
                      <w:color w:val="auto"/>
                      <w:sz w:val="21"/>
                      <w:szCs w:val="21"/>
                      <w:highlight w:val="none"/>
                    </w:rPr>
                  </w:pPr>
                </w:p>
              </w:tc>
              <w:tc>
                <w:tcPr>
                  <w:tcW w:w="560" w:type="pct"/>
                  <w:vMerge w:val="continue"/>
                  <w:vAlign w:val="center"/>
                </w:tcPr>
                <w:p>
                  <w:pPr>
                    <w:pStyle w:val="46"/>
                    <w:rPr>
                      <w:rFonts w:eastAsia="宋体"/>
                      <w:b/>
                      <w:bCs/>
                      <w:color w:val="auto"/>
                      <w:sz w:val="21"/>
                      <w:szCs w:val="21"/>
                      <w:highlight w:val="none"/>
                    </w:rPr>
                  </w:pPr>
                </w:p>
              </w:tc>
              <w:tc>
                <w:tcPr>
                  <w:tcW w:w="1447" w:type="pct"/>
                  <w:vAlign w:val="center"/>
                </w:tcPr>
                <w:p>
                  <w:pPr>
                    <w:pStyle w:val="46"/>
                    <w:rPr>
                      <w:rFonts w:eastAsia="宋体"/>
                      <w:b/>
                      <w:bCs/>
                      <w:color w:val="auto"/>
                      <w:sz w:val="21"/>
                      <w:szCs w:val="21"/>
                      <w:highlight w:val="none"/>
                    </w:rPr>
                  </w:pPr>
                  <w:r>
                    <w:rPr>
                      <w:rFonts w:eastAsia="宋体"/>
                      <w:b/>
                      <w:bCs/>
                      <w:color w:val="auto"/>
                      <w:sz w:val="21"/>
                      <w:szCs w:val="21"/>
                      <w:highlight w:val="none"/>
                    </w:rPr>
                    <w:t>标准名称</w:t>
                  </w:r>
                </w:p>
              </w:tc>
              <w:tc>
                <w:tcPr>
                  <w:tcW w:w="729" w:type="pct"/>
                  <w:vAlign w:val="center"/>
                </w:tcPr>
                <w:p>
                  <w:pPr>
                    <w:pStyle w:val="49"/>
                    <w:rPr>
                      <w:rFonts w:eastAsia="宋体"/>
                      <w:color w:val="auto"/>
                      <w:sz w:val="21"/>
                      <w:szCs w:val="21"/>
                      <w:highlight w:val="none"/>
                    </w:rPr>
                  </w:pPr>
                  <w:r>
                    <w:rPr>
                      <w:rFonts w:eastAsia="宋体"/>
                      <w:color w:val="auto"/>
                      <w:sz w:val="21"/>
                      <w:szCs w:val="21"/>
                      <w:highlight w:val="none"/>
                    </w:rPr>
                    <w:t>浓度限值/（mg/m</w:t>
                  </w:r>
                  <w:r>
                    <w:rPr>
                      <w:rFonts w:eastAsia="宋体"/>
                      <w:color w:val="auto"/>
                      <w:sz w:val="21"/>
                      <w:szCs w:val="21"/>
                      <w:highlight w:val="none"/>
                      <w:vertAlign w:val="superscript"/>
                    </w:rPr>
                    <w:t>3</w:t>
                  </w:r>
                  <w:r>
                    <w:rPr>
                      <w:rFonts w:eastAsia="宋体"/>
                      <w:color w:val="auto"/>
                      <w:sz w:val="21"/>
                      <w:szCs w:val="21"/>
                      <w:highlight w:val="none"/>
                    </w:rPr>
                    <w:t>）</w:t>
                  </w:r>
                </w:p>
              </w:tc>
              <w:tc>
                <w:tcPr>
                  <w:tcW w:w="696" w:type="pct"/>
                  <w:vMerge w:val="continue"/>
                  <w:vAlign w:val="center"/>
                </w:tcPr>
                <w:p>
                  <w:pPr>
                    <w:pStyle w:val="46"/>
                    <w:rPr>
                      <w:rFonts w:eastAsia="宋体"/>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8" w:type="pct"/>
                  <w:vMerge w:val="restart"/>
                  <w:vAlign w:val="center"/>
                </w:tcPr>
                <w:p>
                  <w:pPr>
                    <w:pStyle w:val="46"/>
                    <w:rPr>
                      <w:rFonts w:eastAsia="宋体"/>
                      <w:color w:val="auto"/>
                      <w:sz w:val="21"/>
                      <w:szCs w:val="21"/>
                      <w:highlight w:val="none"/>
                    </w:rPr>
                  </w:pPr>
                  <w:r>
                    <w:rPr>
                      <w:rFonts w:eastAsia="宋体"/>
                      <w:color w:val="auto"/>
                      <w:sz w:val="21"/>
                      <w:szCs w:val="21"/>
                      <w:highlight w:val="none"/>
                    </w:rPr>
                    <w:t>1</w:t>
                  </w:r>
                </w:p>
              </w:tc>
              <w:tc>
                <w:tcPr>
                  <w:tcW w:w="524" w:type="pct"/>
                  <w:vMerge w:val="restart"/>
                  <w:vAlign w:val="center"/>
                </w:tcPr>
                <w:p>
                  <w:pPr>
                    <w:pStyle w:val="46"/>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eastAsia="宋体"/>
                      <w:color w:val="auto"/>
                      <w:sz w:val="21"/>
                      <w:szCs w:val="21"/>
                      <w:highlight w:val="none"/>
                      <w:lang w:val="en-US" w:eastAsia="zh-CN"/>
                    </w:rPr>
                    <w:t>车间</w:t>
                  </w:r>
                </w:p>
              </w:tc>
              <w:tc>
                <w:tcPr>
                  <w:tcW w:w="533" w:type="pct"/>
                  <w:vAlign w:val="center"/>
                </w:tcPr>
                <w:p>
                  <w:pPr>
                    <w:pStyle w:val="46"/>
                    <w:rPr>
                      <w:rFonts w:eastAsia="宋体"/>
                      <w:color w:val="auto"/>
                      <w:sz w:val="21"/>
                      <w:szCs w:val="21"/>
                      <w:highlight w:val="none"/>
                    </w:rPr>
                  </w:pPr>
                  <w:r>
                    <w:rPr>
                      <w:rFonts w:eastAsia="宋体"/>
                      <w:color w:val="auto"/>
                      <w:spacing w:val="-2"/>
                      <w:kern w:val="28"/>
                      <w:sz w:val="21"/>
                      <w:szCs w:val="21"/>
                      <w:highlight w:val="none"/>
                    </w:rPr>
                    <w:t>非甲烷总烃</w:t>
                  </w:r>
                </w:p>
              </w:tc>
              <w:tc>
                <w:tcPr>
                  <w:tcW w:w="560" w:type="pct"/>
                  <w:vAlign w:val="center"/>
                </w:tcPr>
                <w:p>
                  <w:pPr>
                    <w:pStyle w:val="46"/>
                    <w:rPr>
                      <w:rFonts w:eastAsia="宋体"/>
                      <w:color w:val="auto"/>
                      <w:sz w:val="21"/>
                      <w:szCs w:val="21"/>
                      <w:highlight w:val="none"/>
                    </w:rPr>
                  </w:pPr>
                  <w:r>
                    <w:rPr>
                      <w:rFonts w:eastAsia="宋体"/>
                      <w:color w:val="auto"/>
                      <w:sz w:val="21"/>
                      <w:szCs w:val="21"/>
                      <w:highlight w:val="none"/>
                    </w:rPr>
                    <w:t>/</w:t>
                  </w:r>
                </w:p>
              </w:tc>
              <w:tc>
                <w:tcPr>
                  <w:tcW w:w="1447" w:type="pct"/>
                  <w:vAlign w:val="center"/>
                </w:tcPr>
                <w:p>
                  <w:pPr>
                    <w:pStyle w:val="46"/>
                    <w:rPr>
                      <w:rFonts w:eastAsia="宋体"/>
                      <w:color w:val="auto"/>
                      <w:sz w:val="21"/>
                      <w:szCs w:val="21"/>
                      <w:highlight w:val="none"/>
                    </w:rPr>
                  </w:pPr>
                  <w:r>
                    <w:rPr>
                      <w:rStyle w:val="30"/>
                      <w:rFonts w:eastAsia="宋体"/>
                      <w:color w:val="auto"/>
                      <w:sz w:val="21"/>
                      <w:szCs w:val="21"/>
                      <w:highlight w:val="none"/>
                    </w:rPr>
                    <w:t>《合成树脂工业污染物排放标准》（GB31572-2015）</w:t>
                  </w:r>
                </w:p>
              </w:tc>
              <w:tc>
                <w:tcPr>
                  <w:tcW w:w="729" w:type="pct"/>
                  <w:vAlign w:val="center"/>
                </w:tcPr>
                <w:p>
                  <w:pPr>
                    <w:pStyle w:val="46"/>
                    <w:rPr>
                      <w:rFonts w:eastAsia="宋体"/>
                      <w:color w:val="auto"/>
                      <w:sz w:val="21"/>
                      <w:szCs w:val="21"/>
                      <w:highlight w:val="none"/>
                    </w:rPr>
                  </w:pPr>
                  <w:r>
                    <w:rPr>
                      <w:rFonts w:eastAsia="宋体"/>
                      <w:color w:val="auto"/>
                      <w:sz w:val="21"/>
                      <w:szCs w:val="21"/>
                      <w:highlight w:val="none"/>
                    </w:rPr>
                    <w:t>4.0</w:t>
                  </w:r>
                </w:p>
              </w:tc>
              <w:tc>
                <w:tcPr>
                  <w:tcW w:w="696" w:type="pct"/>
                  <w:vAlign w:val="center"/>
                </w:tcPr>
                <w:p>
                  <w:pPr>
                    <w:widowControl/>
                    <w:jc w:val="center"/>
                    <w:textAlignment w:val="center"/>
                    <w:rPr>
                      <w:rFonts w:hint="default" w:eastAsia="宋体"/>
                      <w:color w:val="auto"/>
                      <w:sz w:val="21"/>
                      <w:szCs w:val="21"/>
                      <w:highlight w:val="none"/>
                      <w:lang w:val="en-US" w:eastAsia="zh-CN"/>
                    </w:rPr>
                  </w:pPr>
                  <w:r>
                    <w:rPr>
                      <w:rFonts w:hint="eastAsia"/>
                      <w:color w:val="auto"/>
                      <w:kern w:val="0"/>
                      <w:sz w:val="21"/>
                      <w:szCs w:val="21"/>
                      <w:highlight w:val="none"/>
                      <w:lang w:val="en-US" w:eastAsia="zh-CN" w:bidi="ar"/>
                    </w:rPr>
                    <w:t>0.043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8" w:type="pct"/>
                  <w:vMerge w:val="continue"/>
                  <w:vAlign w:val="center"/>
                </w:tcPr>
                <w:p>
                  <w:pPr>
                    <w:pStyle w:val="46"/>
                    <w:rPr>
                      <w:rFonts w:eastAsia="宋体"/>
                      <w:color w:val="auto"/>
                      <w:sz w:val="21"/>
                      <w:szCs w:val="21"/>
                      <w:highlight w:val="none"/>
                    </w:rPr>
                  </w:pPr>
                </w:p>
              </w:tc>
              <w:tc>
                <w:tcPr>
                  <w:tcW w:w="524" w:type="pct"/>
                  <w:vMerge w:val="continue"/>
                  <w:vAlign w:val="center"/>
                </w:tcPr>
                <w:p>
                  <w:pPr>
                    <w:pStyle w:val="46"/>
                    <w:rPr>
                      <w:rFonts w:eastAsia="宋体"/>
                      <w:color w:val="auto"/>
                      <w:sz w:val="21"/>
                      <w:szCs w:val="21"/>
                      <w:highlight w:val="none"/>
                    </w:rPr>
                  </w:pPr>
                </w:p>
              </w:tc>
              <w:tc>
                <w:tcPr>
                  <w:tcW w:w="533" w:type="pct"/>
                  <w:vAlign w:val="center"/>
                </w:tcPr>
                <w:p>
                  <w:pPr>
                    <w:pStyle w:val="46"/>
                    <w:rPr>
                      <w:rFonts w:hint="eastAsia" w:eastAsia="宋体"/>
                      <w:color w:val="auto"/>
                      <w:spacing w:val="-2"/>
                      <w:kern w:val="28"/>
                      <w:sz w:val="21"/>
                      <w:szCs w:val="21"/>
                      <w:highlight w:val="none"/>
                      <w:lang w:val="en-US" w:eastAsia="zh-CN"/>
                    </w:rPr>
                  </w:pPr>
                  <w:r>
                    <w:rPr>
                      <w:rFonts w:hint="eastAsia" w:eastAsia="宋体"/>
                      <w:color w:val="auto"/>
                      <w:spacing w:val="-2"/>
                      <w:kern w:val="28"/>
                      <w:sz w:val="21"/>
                      <w:szCs w:val="21"/>
                      <w:highlight w:val="none"/>
                      <w:lang w:val="en-US" w:eastAsia="zh-CN"/>
                    </w:rPr>
                    <w:t>颗粒物</w:t>
                  </w:r>
                </w:p>
              </w:tc>
              <w:tc>
                <w:tcPr>
                  <w:tcW w:w="560" w:type="pct"/>
                  <w:vAlign w:val="center"/>
                </w:tcPr>
                <w:p>
                  <w:pPr>
                    <w:pStyle w:val="46"/>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移动式布袋除尘器</w:t>
                  </w:r>
                </w:p>
              </w:tc>
              <w:tc>
                <w:tcPr>
                  <w:tcW w:w="1447" w:type="pct"/>
                  <w:vAlign w:val="center"/>
                </w:tcPr>
                <w:p>
                  <w:pPr>
                    <w:pStyle w:val="46"/>
                    <w:rPr>
                      <w:rStyle w:val="30"/>
                      <w:rFonts w:eastAsia="宋体"/>
                      <w:color w:val="auto"/>
                      <w:sz w:val="21"/>
                      <w:szCs w:val="21"/>
                      <w:highlight w:val="none"/>
                    </w:rPr>
                  </w:pPr>
                  <w:r>
                    <w:rPr>
                      <w:rFonts w:hint="eastAsia" w:ascii="Times New Roman" w:hAnsi="Times New Roman" w:eastAsia="宋体"/>
                      <w:snapToGrid w:val="0"/>
                      <w:color w:val="auto"/>
                      <w:kern w:val="0"/>
                      <w:sz w:val="21"/>
                      <w:szCs w:val="21"/>
                      <w:highlight w:val="none"/>
                    </w:rPr>
                    <w:t>《大气污染物综合排放标准》（DB32/4041-2021）</w:t>
                  </w:r>
                </w:p>
              </w:tc>
              <w:tc>
                <w:tcPr>
                  <w:tcW w:w="729" w:type="pct"/>
                  <w:vAlign w:val="center"/>
                </w:tcPr>
                <w:p>
                  <w:pPr>
                    <w:pStyle w:val="46"/>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0.5</w:t>
                  </w:r>
                </w:p>
              </w:tc>
              <w:tc>
                <w:tcPr>
                  <w:tcW w:w="696" w:type="pct"/>
                  <w:vAlign w:val="center"/>
                </w:tcPr>
                <w:p>
                  <w:pPr>
                    <w:widowControl/>
                    <w:jc w:val="center"/>
                    <w:textAlignment w:val="center"/>
                    <w:rPr>
                      <w:rFonts w:hint="default"/>
                      <w:color w:val="auto"/>
                      <w:kern w:val="0"/>
                      <w:sz w:val="21"/>
                      <w:szCs w:val="21"/>
                      <w:highlight w:val="none"/>
                      <w:lang w:val="en-US" w:eastAsia="zh-CN" w:bidi="ar"/>
                    </w:rPr>
                  </w:pPr>
                  <w:r>
                    <w:rPr>
                      <w:rFonts w:hint="eastAsia"/>
                      <w:color w:val="auto"/>
                      <w:kern w:val="0"/>
                      <w:sz w:val="21"/>
                      <w:szCs w:val="21"/>
                      <w:highlight w:val="none"/>
                      <w:lang w:val="en-US" w:eastAsia="zh-CN" w:bidi="ar"/>
                    </w:rPr>
                    <w:t>0.0013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00" w:type="pct"/>
                  <w:gridSpan w:val="7"/>
                  <w:vAlign w:val="center"/>
                </w:tcPr>
                <w:p>
                  <w:pPr>
                    <w:pStyle w:val="46"/>
                    <w:rPr>
                      <w:rFonts w:eastAsia="宋体"/>
                      <w:color w:val="auto"/>
                      <w:sz w:val="21"/>
                      <w:szCs w:val="21"/>
                      <w:highlight w:val="none"/>
                    </w:rPr>
                  </w:pPr>
                  <w:r>
                    <w:rPr>
                      <w:rFonts w:eastAsia="宋体"/>
                      <w:color w:val="auto"/>
                      <w:sz w:val="21"/>
                      <w:szCs w:val="21"/>
                      <w:highlight w:val="none"/>
                    </w:rPr>
                    <w:t>无组织排放</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566" w:type="pct"/>
                  <w:gridSpan w:val="3"/>
                  <w:vMerge w:val="restart"/>
                  <w:vAlign w:val="center"/>
                </w:tcPr>
                <w:p>
                  <w:pPr>
                    <w:pStyle w:val="46"/>
                    <w:rPr>
                      <w:rFonts w:eastAsia="宋体"/>
                      <w:color w:val="auto"/>
                      <w:sz w:val="21"/>
                      <w:szCs w:val="21"/>
                      <w:highlight w:val="none"/>
                    </w:rPr>
                  </w:pPr>
                  <w:r>
                    <w:rPr>
                      <w:rFonts w:eastAsia="宋体"/>
                      <w:color w:val="auto"/>
                      <w:sz w:val="21"/>
                      <w:szCs w:val="21"/>
                      <w:highlight w:val="none"/>
                    </w:rPr>
                    <w:t>无组织排放总计</w:t>
                  </w:r>
                </w:p>
              </w:tc>
              <w:tc>
                <w:tcPr>
                  <w:tcW w:w="2737" w:type="pct"/>
                  <w:gridSpan w:val="3"/>
                  <w:vAlign w:val="center"/>
                </w:tcPr>
                <w:p>
                  <w:pPr>
                    <w:pStyle w:val="46"/>
                    <w:rPr>
                      <w:rFonts w:eastAsia="宋体"/>
                      <w:color w:val="auto"/>
                      <w:sz w:val="21"/>
                      <w:szCs w:val="21"/>
                      <w:highlight w:val="none"/>
                    </w:rPr>
                  </w:pPr>
                  <w:r>
                    <w:rPr>
                      <w:rFonts w:eastAsia="宋体"/>
                      <w:color w:val="auto"/>
                      <w:sz w:val="21"/>
                      <w:szCs w:val="21"/>
                      <w:highlight w:val="none"/>
                    </w:rPr>
                    <w:t>非甲烷总烃</w:t>
                  </w:r>
                </w:p>
              </w:tc>
              <w:tc>
                <w:tcPr>
                  <w:tcW w:w="1179" w:type="dxa"/>
                  <w:vAlign w:val="center"/>
                </w:tcPr>
                <w:p>
                  <w:pPr>
                    <w:widowControl/>
                    <w:jc w:val="center"/>
                    <w:textAlignment w:val="center"/>
                    <w:rPr>
                      <w:rFonts w:hint="default" w:eastAsia="宋体"/>
                      <w:color w:val="auto"/>
                      <w:sz w:val="21"/>
                      <w:szCs w:val="21"/>
                      <w:highlight w:val="none"/>
                      <w:lang w:val="en-US" w:eastAsia="zh-CN"/>
                    </w:rPr>
                  </w:pPr>
                  <w:r>
                    <w:rPr>
                      <w:rFonts w:hint="eastAsia"/>
                      <w:color w:val="auto"/>
                      <w:kern w:val="0"/>
                      <w:sz w:val="21"/>
                      <w:szCs w:val="21"/>
                      <w:highlight w:val="none"/>
                      <w:lang w:val="en-US" w:eastAsia="zh-CN" w:bidi="ar"/>
                    </w:rPr>
                    <w:t>0.043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566" w:type="pct"/>
                  <w:gridSpan w:val="3"/>
                  <w:vMerge w:val="continue"/>
                  <w:vAlign w:val="center"/>
                </w:tcPr>
                <w:p>
                  <w:pPr>
                    <w:pStyle w:val="46"/>
                    <w:rPr>
                      <w:rFonts w:eastAsia="宋体"/>
                      <w:color w:val="auto"/>
                      <w:sz w:val="21"/>
                      <w:szCs w:val="21"/>
                      <w:highlight w:val="none"/>
                    </w:rPr>
                  </w:pPr>
                </w:p>
              </w:tc>
              <w:tc>
                <w:tcPr>
                  <w:tcW w:w="2737" w:type="pct"/>
                  <w:gridSpan w:val="3"/>
                  <w:vAlign w:val="center"/>
                </w:tcPr>
                <w:p>
                  <w:pPr>
                    <w:pStyle w:val="46"/>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颗粒物</w:t>
                  </w:r>
                </w:p>
              </w:tc>
              <w:tc>
                <w:tcPr>
                  <w:tcW w:w="1179" w:type="dxa"/>
                  <w:vAlign w:val="center"/>
                </w:tcPr>
                <w:p>
                  <w:pPr>
                    <w:widowControl/>
                    <w:jc w:val="center"/>
                    <w:textAlignment w:val="center"/>
                    <w:rPr>
                      <w:rFonts w:hint="default"/>
                      <w:color w:val="auto"/>
                      <w:kern w:val="0"/>
                      <w:sz w:val="21"/>
                      <w:szCs w:val="21"/>
                      <w:highlight w:val="none"/>
                      <w:lang w:val="en-US" w:eastAsia="zh-CN" w:bidi="ar"/>
                    </w:rPr>
                  </w:pPr>
                  <w:r>
                    <w:rPr>
                      <w:rFonts w:hint="eastAsia"/>
                      <w:color w:val="auto"/>
                      <w:kern w:val="0"/>
                      <w:sz w:val="21"/>
                      <w:szCs w:val="21"/>
                      <w:highlight w:val="none"/>
                      <w:lang w:val="en-US" w:eastAsia="zh-CN" w:bidi="ar"/>
                    </w:rPr>
                    <w:t>0.0013</w:t>
                  </w:r>
                </w:p>
              </w:tc>
            </w:tr>
          </w:tbl>
          <w:p>
            <w:pPr>
              <w:pStyle w:val="44"/>
              <w:keepNext w:val="0"/>
              <w:keepLines w:val="0"/>
              <w:pageBreakBefore w:val="0"/>
              <w:widowControl w:val="0"/>
              <w:kinsoku/>
              <w:wordWrap/>
              <w:overflowPunct/>
              <w:topLinePunct w:val="0"/>
              <w:autoSpaceDE/>
              <w:autoSpaceDN/>
              <w:bidi w:val="0"/>
              <w:adjustRightInd/>
              <w:snapToGrid/>
              <w:spacing w:before="157" w:beforeLines="50" w:afterLines="0"/>
              <w:textAlignment w:val="auto"/>
              <w:rPr>
                <w:rFonts w:eastAsia="宋体"/>
                <w:color w:val="auto"/>
                <w:sz w:val="21"/>
                <w:szCs w:val="21"/>
                <w:highlight w:val="none"/>
              </w:rPr>
            </w:pPr>
            <w:r>
              <w:rPr>
                <w:rFonts w:eastAsia="宋体"/>
                <w:color w:val="auto"/>
                <w:sz w:val="21"/>
                <w:szCs w:val="21"/>
                <w:highlight w:val="none"/>
              </w:rPr>
              <w:t>表4-</w:t>
            </w:r>
            <w:r>
              <w:rPr>
                <w:rFonts w:hint="eastAsia" w:eastAsia="宋体"/>
                <w:color w:val="auto"/>
                <w:sz w:val="21"/>
                <w:szCs w:val="21"/>
                <w:highlight w:val="none"/>
                <w:lang w:val="en-US" w:eastAsia="zh-CN"/>
              </w:rPr>
              <w:t>10</w:t>
            </w:r>
            <w:r>
              <w:rPr>
                <w:rFonts w:eastAsia="宋体"/>
                <w:color w:val="auto"/>
                <w:sz w:val="21"/>
                <w:szCs w:val="21"/>
                <w:highlight w:val="none"/>
              </w:rPr>
              <w:t xml:space="preserve"> 本项目大气污染物年排放量核算表</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2141"/>
              <w:gridCol w:w="3317"/>
              <w:gridCol w:w="302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62" w:type="pct"/>
                  <w:vAlign w:val="center"/>
                </w:tcPr>
                <w:p>
                  <w:pPr>
                    <w:pStyle w:val="45"/>
                    <w:rPr>
                      <w:rFonts w:eastAsia="宋体"/>
                      <w:color w:val="auto"/>
                      <w:sz w:val="21"/>
                      <w:szCs w:val="21"/>
                      <w:highlight w:val="none"/>
                    </w:rPr>
                  </w:pPr>
                  <w:r>
                    <w:rPr>
                      <w:rFonts w:eastAsia="宋体"/>
                      <w:color w:val="auto"/>
                      <w:sz w:val="21"/>
                      <w:szCs w:val="21"/>
                      <w:highlight w:val="none"/>
                    </w:rPr>
                    <w:t>序号</w:t>
                  </w:r>
                </w:p>
              </w:tc>
              <w:tc>
                <w:tcPr>
                  <w:tcW w:w="1955" w:type="pct"/>
                  <w:vAlign w:val="center"/>
                </w:tcPr>
                <w:p>
                  <w:pPr>
                    <w:pStyle w:val="45"/>
                    <w:rPr>
                      <w:rFonts w:eastAsia="宋体"/>
                      <w:color w:val="auto"/>
                      <w:sz w:val="21"/>
                      <w:szCs w:val="21"/>
                      <w:highlight w:val="none"/>
                    </w:rPr>
                  </w:pPr>
                  <w:r>
                    <w:rPr>
                      <w:rFonts w:eastAsia="宋体"/>
                      <w:color w:val="auto"/>
                      <w:sz w:val="21"/>
                      <w:szCs w:val="21"/>
                      <w:highlight w:val="none"/>
                    </w:rPr>
                    <w:t>污染物</w:t>
                  </w:r>
                </w:p>
              </w:tc>
              <w:tc>
                <w:tcPr>
                  <w:tcW w:w="1782" w:type="pct"/>
                  <w:vAlign w:val="center"/>
                </w:tcPr>
                <w:p>
                  <w:pPr>
                    <w:pStyle w:val="45"/>
                    <w:rPr>
                      <w:rFonts w:eastAsia="宋体"/>
                      <w:color w:val="auto"/>
                      <w:sz w:val="21"/>
                      <w:szCs w:val="21"/>
                      <w:highlight w:val="none"/>
                    </w:rPr>
                  </w:pPr>
                  <w:r>
                    <w:rPr>
                      <w:rFonts w:eastAsia="宋体"/>
                      <w:color w:val="auto"/>
                      <w:sz w:val="21"/>
                      <w:szCs w:val="21"/>
                      <w:highlight w:val="none"/>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62" w:type="pct"/>
                  <w:vAlign w:val="center"/>
                </w:tcPr>
                <w:p>
                  <w:pPr>
                    <w:pStyle w:val="46"/>
                    <w:rPr>
                      <w:rFonts w:eastAsia="宋体"/>
                      <w:color w:val="auto"/>
                      <w:sz w:val="21"/>
                      <w:szCs w:val="21"/>
                      <w:highlight w:val="none"/>
                    </w:rPr>
                  </w:pPr>
                  <w:r>
                    <w:rPr>
                      <w:rFonts w:eastAsia="宋体"/>
                      <w:color w:val="auto"/>
                      <w:sz w:val="21"/>
                      <w:szCs w:val="21"/>
                      <w:highlight w:val="none"/>
                    </w:rPr>
                    <w:t>1</w:t>
                  </w:r>
                </w:p>
              </w:tc>
              <w:tc>
                <w:tcPr>
                  <w:tcW w:w="1955" w:type="pct"/>
                  <w:vAlign w:val="center"/>
                </w:tcPr>
                <w:p>
                  <w:pPr>
                    <w:pStyle w:val="46"/>
                    <w:rPr>
                      <w:rFonts w:eastAsia="宋体"/>
                      <w:color w:val="auto"/>
                      <w:sz w:val="21"/>
                      <w:szCs w:val="21"/>
                      <w:highlight w:val="none"/>
                    </w:rPr>
                  </w:pPr>
                  <w:r>
                    <w:rPr>
                      <w:rFonts w:eastAsia="宋体"/>
                      <w:color w:val="auto"/>
                      <w:sz w:val="21"/>
                      <w:szCs w:val="21"/>
                      <w:highlight w:val="none"/>
                    </w:rPr>
                    <w:t>非甲烷总烃</w:t>
                  </w:r>
                </w:p>
              </w:tc>
              <w:tc>
                <w:tcPr>
                  <w:tcW w:w="3020" w:type="dxa"/>
                  <w:vAlign w:val="center"/>
                </w:tcPr>
                <w:p>
                  <w:pPr>
                    <w:widowControl/>
                    <w:jc w:val="center"/>
                    <w:textAlignment w:val="center"/>
                    <w:rPr>
                      <w:rFonts w:hint="default" w:eastAsia="宋体"/>
                      <w:color w:val="auto"/>
                      <w:sz w:val="21"/>
                      <w:szCs w:val="21"/>
                      <w:highlight w:val="none"/>
                      <w:lang w:val="en-US" w:eastAsia="zh-CN"/>
                    </w:rPr>
                  </w:pPr>
                  <w:r>
                    <w:rPr>
                      <w:rFonts w:hint="eastAsia"/>
                      <w:color w:val="auto"/>
                      <w:kern w:val="0"/>
                      <w:sz w:val="21"/>
                      <w:szCs w:val="21"/>
                      <w:highlight w:val="none"/>
                      <w:lang w:val="en-US" w:eastAsia="zh-CN" w:bidi="ar"/>
                    </w:rPr>
                    <w:t>0.082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62" w:type="pct"/>
                  <w:vAlign w:val="center"/>
                </w:tcPr>
                <w:p>
                  <w:pPr>
                    <w:pStyle w:val="46"/>
                    <w:rPr>
                      <w:rFonts w:eastAsia="宋体"/>
                      <w:color w:val="auto"/>
                      <w:sz w:val="21"/>
                      <w:szCs w:val="21"/>
                      <w:highlight w:val="none"/>
                    </w:rPr>
                  </w:pPr>
                  <w:r>
                    <w:rPr>
                      <w:rFonts w:hint="eastAsia" w:eastAsia="宋体"/>
                      <w:color w:val="auto"/>
                      <w:sz w:val="21"/>
                      <w:szCs w:val="21"/>
                      <w:highlight w:val="none"/>
                    </w:rPr>
                    <w:t>2</w:t>
                  </w:r>
                </w:p>
              </w:tc>
              <w:tc>
                <w:tcPr>
                  <w:tcW w:w="1955" w:type="pct"/>
                  <w:vAlign w:val="center"/>
                </w:tcPr>
                <w:p>
                  <w:pPr>
                    <w:pStyle w:val="46"/>
                    <w:rPr>
                      <w:rFonts w:eastAsia="宋体"/>
                      <w:color w:val="auto"/>
                      <w:sz w:val="21"/>
                      <w:szCs w:val="21"/>
                      <w:highlight w:val="none"/>
                    </w:rPr>
                  </w:pPr>
                  <w:r>
                    <w:rPr>
                      <w:rFonts w:eastAsia="宋体"/>
                      <w:color w:val="auto"/>
                      <w:sz w:val="21"/>
                      <w:szCs w:val="21"/>
                      <w:highlight w:val="none"/>
                    </w:rPr>
                    <w:t>颗粒物</w:t>
                  </w:r>
                </w:p>
              </w:tc>
              <w:tc>
                <w:tcPr>
                  <w:tcW w:w="3020" w:type="dxa"/>
                  <w:vAlign w:val="center"/>
                </w:tcPr>
                <w:p>
                  <w:pPr>
                    <w:widowControl/>
                    <w:jc w:val="center"/>
                    <w:textAlignment w:val="center"/>
                    <w:rPr>
                      <w:rFonts w:hint="default" w:eastAsia="宋体"/>
                      <w:color w:val="auto"/>
                      <w:sz w:val="21"/>
                      <w:szCs w:val="21"/>
                      <w:highlight w:val="none"/>
                      <w:lang w:val="en-US"/>
                    </w:rPr>
                  </w:pPr>
                  <w:r>
                    <w:rPr>
                      <w:rFonts w:hint="eastAsia"/>
                      <w:color w:val="auto"/>
                      <w:kern w:val="0"/>
                      <w:sz w:val="21"/>
                      <w:szCs w:val="21"/>
                      <w:highlight w:val="none"/>
                      <w:lang w:val="en-US" w:eastAsia="zh-CN" w:bidi="ar"/>
                    </w:rPr>
                    <w:t>0.0013</w:t>
                  </w:r>
                </w:p>
              </w:tc>
            </w:tr>
          </w:tbl>
          <w:p>
            <w:pPr>
              <w:snapToGrid w:val="0"/>
              <w:spacing w:before="120" w:beforeLines="50" w:line="360" w:lineRule="auto"/>
              <w:ind w:firstLine="422" w:firstLineChars="200"/>
              <w:contextualSpacing/>
              <w:jc w:val="left"/>
              <w:rPr>
                <w:b/>
                <w:bCs/>
                <w:color w:val="auto"/>
                <w:sz w:val="21"/>
                <w:szCs w:val="21"/>
                <w:highlight w:val="none"/>
              </w:rPr>
            </w:pPr>
            <w:r>
              <w:rPr>
                <w:b/>
                <w:bCs/>
                <w:color w:val="auto"/>
                <w:sz w:val="21"/>
                <w:szCs w:val="21"/>
                <w:highlight w:val="none"/>
              </w:rPr>
              <w:t>6、大气、卫生环境防护距离</w:t>
            </w:r>
          </w:p>
          <w:p>
            <w:pPr>
              <w:spacing w:line="360" w:lineRule="auto"/>
              <w:ind w:firstLine="422" w:firstLineChars="200"/>
              <w:rPr>
                <w:b/>
                <w:bCs/>
                <w:color w:val="auto"/>
                <w:sz w:val="21"/>
                <w:szCs w:val="21"/>
                <w:highlight w:val="none"/>
              </w:rPr>
            </w:pPr>
            <w:r>
              <w:rPr>
                <w:b/>
                <w:bCs/>
                <w:color w:val="auto"/>
                <w:sz w:val="21"/>
                <w:szCs w:val="21"/>
                <w:highlight w:val="none"/>
              </w:rPr>
              <w:t>（1）大气环境防护距离</w:t>
            </w:r>
          </w:p>
          <w:p>
            <w:pPr>
              <w:spacing w:line="360" w:lineRule="auto"/>
              <w:ind w:firstLine="420" w:firstLineChars="200"/>
              <w:rPr>
                <w:color w:val="auto"/>
                <w:sz w:val="21"/>
                <w:szCs w:val="21"/>
                <w:highlight w:val="none"/>
              </w:rPr>
            </w:pPr>
            <w:r>
              <w:rPr>
                <w:color w:val="auto"/>
                <w:sz w:val="21"/>
                <w:szCs w:val="21"/>
                <w:highlight w:val="none"/>
              </w:rPr>
              <w:t>根据《环境影响评价技术导则—大气环境（HJ2.2-2018）》要求，“对于项目厂界浓度满足大气污染物厂界浓度限值，但厂界外大气污染物短期贡献浓度超过环境质量浓度限值的，可以自厂界向外设置一定范围的大气环境防护区域，以确保大气环境防护区域外的污染物贡献浓度满足环境质量标准”。</w:t>
            </w:r>
          </w:p>
          <w:p>
            <w:pPr>
              <w:spacing w:line="240" w:lineRule="auto"/>
              <w:jc w:val="center"/>
              <w:rPr>
                <w:b/>
                <w:bCs/>
                <w:color w:val="auto"/>
                <w:sz w:val="21"/>
                <w:szCs w:val="21"/>
                <w:highlight w:val="none"/>
              </w:rPr>
            </w:pPr>
            <w:r>
              <w:rPr>
                <w:b/>
                <w:bCs/>
                <w:color w:val="auto"/>
                <w:sz w:val="21"/>
                <w:szCs w:val="21"/>
                <w:highlight w:val="none"/>
              </w:rPr>
              <w:t>表4-</w:t>
            </w:r>
            <w:r>
              <w:rPr>
                <w:rFonts w:hint="eastAsia"/>
                <w:b/>
                <w:bCs/>
                <w:color w:val="auto"/>
                <w:sz w:val="21"/>
                <w:szCs w:val="21"/>
                <w:highlight w:val="none"/>
                <w:lang w:val="en-US" w:eastAsia="zh-CN"/>
              </w:rPr>
              <w:t>11</w:t>
            </w:r>
            <w:r>
              <w:rPr>
                <w:b/>
                <w:bCs/>
                <w:color w:val="auto"/>
                <w:sz w:val="21"/>
                <w:szCs w:val="21"/>
                <w:highlight w:val="none"/>
              </w:rPr>
              <w:t xml:space="preserve"> 大气防护距离计算结果表</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0" w:type="dxa"/>
                <w:bottom w:w="0" w:type="dxa"/>
                <w:right w:w="0" w:type="dxa"/>
              </w:tblCellMar>
            </w:tblPr>
            <w:tblGrid>
              <w:gridCol w:w="1662"/>
              <w:gridCol w:w="1170"/>
              <w:gridCol w:w="1170"/>
              <w:gridCol w:w="1049"/>
              <w:gridCol w:w="981"/>
              <w:gridCol w:w="1356"/>
              <w:gridCol w:w="1093"/>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979" w:type="pct"/>
                  <w:vAlign w:val="center"/>
                </w:tcPr>
                <w:p>
                  <w:pPr>
                    <w:jc w:val="center"/>
                    <w:rPr>
                      <w:b/>
                      <w:bCs/>
                      <w:color w:val="auto"/>
                      <w:sz w:val="21"/>
                      <w:szCs w:val="21"/>
                      <w:highlight w:val="none"/>
                    </w:rPr>
                  </w:pPr>
                  <w:r>
                    <w:rPr>
                      <w:b/>
                      <w:bCs/>
                      <w:color w:val="auto"/>
                      <w:sz w:val="21"/>
                      <w:szCs w:val="21"/>
                      <w:highlight w:val="none"/>
                    </w:rPr>
                    <w:t>污染物名称</w:t>
                  </w:r>
                </w:p>
              </w:tc>
              <w:tc>
                <w:tcPr>
                  <w:tcW w:w="689" w:type="pct"/>
                  <w:vAlign w:val="center"/>
                </w:tcPr>
                <w:p>
                  <w:pPr>
                    <w:jc w:val="center"/>
                    <w:rPr>
                      <w:b/>
                      <w:bCs/>
                      <w:color w:val="auto"/>
                      <w:sz w:val="21"/>
                      <w:szCs w:val="21"/>
                      <w:highlight w:val="none"/>
                    </w:rPr>
                  </w:pPr>
                  <w:r>
                    <w:rPr>
                      <w:b/>
                      <w:bCs/>
                      <w:color w:val="auto"/>
                      <w:sz w:val="21"/>
                      <w:szCs w:val="21"/>
                      <w:highlight w:val="none"/>
                    </w:rPr>
                    <w:t>污染源位置</w:t>
                  </w:r>
                </w:p>
              </w:tc>
              <w:tc>
                <w:tcPr>
                  <w:tcW w:w="689" w:type="pct"/>
                  <w:vAlign w:val="center"/>
                </w:tcPr>
                <w:p>
                  <w:pPr>
                    <w:jc w:val="center"/>
                    <w:rPr>
                      <w:b/>
                      <w:bCs/>
                      <w:color w:val="auto"/>
                      <w:sz w:val="21"/>
                      <w:szCs w:val="21"/>
                      <w:highlight w:val="none"/>
                    </w:rPr>
                  </w:pPr>
                  <w:r>
                    <w:rPr>
                      <w:b/>
                      <w:bCs/>
                      <w:color w:val="auto"/>
                      <w:sz w:val="21"/>
                      <w:szCs w:val="21"/>
                      <w:highlight w:val="none"/>
                    </w:rPr>
                    <w:t>排放速率</w:t>
                  </w:r>
                </w:p>
                <w:p>
                  <w:pPr>
                    <w:jc w:val="center"/>
                    <w:rPr>
                      <w:b/>
                      <w:bCs/>
                      <w:color w:val="auto"/>
                      <w:sz w:val="21"/>
                      <w:szCs w:val="21"/>
                      <w:highlight w:val="none"/>
                    </w:rPr>
                  </w:pPr>
                  <w:r>
                    <w:rPr>
                      <w:b/>
                      <w:bCs/>
                      <w:color w:val="auto"/>
                      <w:sz w:val="21"/>
                      <w:szCs w:val="21"/>
                      <w:highlight w:val="none"/>
                    </w:rPr>
                    <w:t>kg/h</w:t>
                  </w:r>
                </w:p>
              </w:tc>
              <w:tc>
                <w:tcPr>
                  <w:tcW w:w="618" w:type="pct"/>
                  <w:vAlign w:val="center"/>
                </w:tcPr>
                <w:p>
                  <w:pPr>
                    <w:jc w:val="center"/>
                    <w:rPr>
                      <w:b/>
                      <w:bCs/>
                      <w:color w:val="auto"/>
                      <w:sz w:val="21"/>
                      <w:szCs w:val="21"/>
                      <w:highlight w:val="none"/>
                    </w:rPr>
                  </w:pPr>
                  <w:r>
                    <w:rPr>
                      <w:b/>
                      <w:bCs/>
                      <w:color w:val="auto"/>
                      <w:sz w:val="21"/>
                      <w:szCs w:val="21"/>
                      <w:highlight w:val="none"/>
                    </w:rPr>
                    <w:t>质量标准μg/m</w:t>
                  </w:r>
                  <w:r>
                    <w:rPr>
                      <w:b/>
                      <w:bCs/>
                      <w:color w:val="auto"/>
                      <w:sz w:val="21"/>
                      <w:szCs w:val="21"/>
                      <w:highlight w:val="none"/>
                      <w:vertAlign w:val="superscript"/>
                    </w:rPr>
                    <w:t>3</w:t>
                  </w:r>
                </w:p>
              </w:tc>
              <w:tc>
                <w:tcPr>
                  <w:tcW w:w="578" w:type="pct"/>
                  <w:vAlign w:val="center"/>
                </w:tcPr>
                <w:p>
                  <w:pPr>
                    <w:jc w:val="center"/>
                    <w:rPr>
                      <w:b/>
                      <w:bCs/>
                      <w:color w:val="auto"/>
                      <w:sz w:val="21"/>
                      <w:szCs w:val="21"/>
                      <w:highlight w:val="none"/>
                    </w:rPr>
                  </w:pPr>
                  <w:r>
                    <w:rPr>
                      <w:b/>
                      <w:bCs/>
                      <w:color w:val="auto"/>
                      <w:sz w:val="21"/>
                      <w:szCs w:val="21"/>
                      <w:highlight w:val="none"/>
                    </w:rPr>
                    <w:t>面源面积m</w:t>
                  </w:r>
                  <w:r>
                    <w:rPr>
                      <w:b/>
                      <w:bCs/>
                      <w:color w:val="auto"/>
                      <w:sz w:val="21"/>
                      <w:szCs w:val="21"/>
                      <w:highlight w:val="none"/>
                      <w:vertAlign w:val="superscript"/>
                    </w:rPr>
                    <w:t>2</w:t>
                  </w:r>
                </w:p>
              </w:tc>
              <w:tc>
                <w:tcPr>
                  <w:tcW w:w="799" w:type="pct"/>
                  <w:vAlign w:val="center"/>
                </w:tcPr>
                <w:p>
                  <w:pPr>
                    <w:jc w:val="center"/>
                    <w:rPr>
                      <w:b/>
                      <w:bCs/>
                      <w:color w:val="auto"/>
                      <w:sz w:val="21"/>
                      <w:szCs w:val="21"/>
                      <w:highlight w:val="none"/>
                    </w:rPr>
                  </w:pPr>
                  <w:r>
                    <w:rPr>
                      <w:b/>
                      <w:bCs/>
                      <w:color w:val="auto"/>
                      <w:sz w:val="21"/>
                      <w:szCs w:val="21"/>
                      <w:highlight w:val="none"/>
                    </w:rPr>
                    <w:t>面源高度</w:t>
                  </w:r>
                </w:p>
                <w:p>
                  <w:pPr>
                    <w:jc w:val="center"/>
                    <w:rPr>
                      <w:b/>
                      <w:bCs/>
                      <w:color w:val="auto"/>
                      <w:sz w:val="21"/>
                      <w:szCs w:val="21"/>
                      <w:highlight w:val="none"/>
                    </w:rPr>
                  </w:pPr>
                  <w:r>
                    <w:rPr>
                      <w:b/>
                      <w:bCs/>
                      <w:color w:val="auto"/>
                      <w:sz w:val="21"/>
                      <w:szCs w:val="21"/>
                      <w:highlight w:val="none"/>
                    </w:rPr>
                    <w:t>m</w:t>
                  </w:r>
                </w:p>
              </w:tc>
              <w:tc>
                <w:tcPr>
                  <w:tcW w:w="644" w:type="pct"/>
                  <w:vAlign w:val="center"/>
                </w:tcPr>
                <w:p>
                  <w:pPr>
                    <w:jc w:val="center"/>
                    <w:rPr>
                      <w:b/>
                      <w:bCs/>
                      <w:color w:val="auto"/>
                      <w:sz w:val="21"/>
                      <w:szCs w:val="21"/>
                      <w:highlight w:val="none"/>
                    </w:rPr>
                  </w:pPr>
                  <w:r>
                    <w:rPr>
                      <w:b/>
                      <w:bCs/>
                      <w:color w:val="auto"/>
                      <w:sz w:val="21"/>
                      <w:szCs w:val="21"/>
                      <w:highlight w:val="none"/>
                    </w:rPr>
                    <w:t>环境防护距离m</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979" w:type="pct"/>
                  <w:vAlign w:val="center"/>
                </w:tcPr>
                <w:p>
                  <w:pPr>
                    <w:pStyle w:val="46"/>
                    <w:rPr>
                      <w:rFonts w:eastAsia="宋体"/>
                      <w:color w:val="auto"/>
                      <w:sz w:val="21"/>
                      <w:szCs w:val="21"/>
                      <w:highlight w:val="none"/>
                    </w:rPr>
                  </w:pPr>
                  <w:r>
                    <w:rPr>
                      <w:rFonts w:hint="eastAsia" w:eastAsia="宋体"/>
                      <w:color w:val="auto"/>
                      <w:sz w:val="21"/>
                      <w:szCs w:val="21"/>
                      <w:highlight w:val="none"/>
                    </w:rPr>
                    <w:t>非甲烷总烃</w:t>
                  </w:r>
                </w:p>
              </w:tc>
              <w:tc>
                <w:tcPr>
                  <w:tcW w:w="689" w:type="pct"/>
                  <w:vMerge w:val="restart"/>
                  <w:vAlign w:val="center"/>
                </w:tcPr>
                <w:p>
                  <w:pPr>
                    <w:jc w:val="center"/>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lang w:val="en-US" w:eastAsia="zh-CN"/>
                    </w:rPr>
                    <w:t>车间</w:t>
                  </w:r>
                </w:p>
              </w:tc>
              <w:tc>
                <w:tcPr>
                  <w:tcW w:w="689" w:type="pct"/>
                  <w:vAlign w:val="center"/>
                </w:tcPr>
                <w:p>
                  <w:pPr>
                    <w:widowControl/>
                    <w:jc w:val="center"/>
                    <w:textAlignment w:val="center"/>
                    <w:rPr>
                      <w:rFonts w:hint="default" w:eastAsia="宋体"/>
                      <w:color w:val="auto"/>
                      <w:sz w:val="21"/>
                      <w:szCs w:val="21"/>
                      <w:highlight w:val="none"/>
                      <w:lang w:val="en-US" w:eastAsia="zh-CN"/>
                    </w:rPr>
                  </w:pPr>
                  <w:r>
                    <w:rPr>
                      <w:rFonts w:hint="eastAsia"/>
                      <w:color w:val="auto"/>
                      <w:sz w:val="21"/>
                      <w:szCs w:val="21"/>
                      <w:highlight w:val="none"/>
                      <w:lang w:val="en-US" w:eastAsia="zh-CN"/>
                    </w:rPr>
                    <w:t>0.006</w:t>
                  </w:r>
                </w:p>
              </w:tc>
              <w:tc>
                <w:tcPr>
                  <w:tcW w:w="618" w:type="pct"/>
                  <w:vAlign w:val="center"/>
                </w:tcPr>
                <w:p>
                  <w:pPr>
                    <w:jc w:val="center"/>
                    <w:rPr>
                      <w:color w:val="auto"/>
                      <w:sz w:val="21"/>
                      <w:szCs w:val="21"/>
                      <w:highlight w:val="none"/>
                    </w:rPr>
                  </w:pPr>
                  <w:r>
                    <w:rPr>
                      <w:color w:val="auto"/>
                      <w:sz w:val="21"/>
                      <w:szCs w:val="21"/>
                      <w:highlight w:val="none"/>
                    </w:rPr>
                    <w:t>1200</w:t>
                  </w:r>
                </w:p>
              </w:tc>
              <w:tc>
                <w:tcPr>
                  <w:tcW w:w="578" w:type="pct"/>
                  <w:vMerge w:val="restart"/>
                  <w:vAlign w:val="center"/>
                </w:tcPr>
                <w:p>
                  <w:pPr>
                    <w:jc w:val="center"/>
                    <w:rPr>
                      <w:color w:val="auto"/>
                      <w:sz w:val="21"/>
                      <w:szCs w:val="21"/>
                      <w:highlight w:val="none"/>
                    </w:rPr>
                  </w:pPr>
                  <w:r>
                    <w:rPr>
                      <w:rFonts w:hint="eastAsia"/>
                      <w:color w:val="auto"/>
                      <w:sz w:val="21"/>
                      <w:szCs w:val="21"/>
                      <w:highlight w:val="none"/>
                    </w:rPr>
                    <w:t>1000</w:t>
                  </w:r>
                </w:p>
              </w:tc>
              <w:tc>
                <w:tcPr>
                  <w:tcW w:w="799" w:type="pct"/>
                  <w:vAlign w:val="center"/>
                </w:tcPr>
                <w:p>
                  <w:pPr>
                    <w:jc w:val="center"/>
                    <w:rPr>
                      <w:color w:val="auto"/>
                      <w:sz w:val="21"/>
                      <w:szCs w:val="21"/>
                      <w:highlight w:val="none"/>
                    </w:rPr>
                  </w:pPr>
                  <w:r>
                    <w:rPr>
                      <w:rFonts w:hint="eastAsia"/>
                      <w:color w:val="auto"/>
                      <w:sz w:val="21"/>
                      <w:szCs w:val="21"/>
                      <w:highlight w:val="none"/>
                    </w:rPr>
                    <w:t>12</w:t>
                  </w:r>
                </w:p>
              </w:tc>
              <w:tc>
                <w:tcPr>
                  <w:tcW w:w="644" w:type="pct"/>
                  <w:vAlign w:val="center"/>
                </w:tcPr>
                <w:p>
                  <w:pPr>
                    <w:jc w:val="center"/>
                    <w:rPr>
                      <w:color w:val="auto"/>
                      <w:sz w:val="21"/>
                      <w:szCs w:val="21"/>
                      <w:highlight w:val="none"/>
                    </w:rPr>
                  </w:pPr>
                  <w:r>
                    <w:rPr>
                      <w:color w:val="auto"/>
                      <w:sz w:val="21"/>
                      <w:szCs w:val="21"/>
                      <w:highlight w:val="none"/>
                    </w:rPr>
                    <w:t>无超标点</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979" w:type="pct"/>
                  <w:vAlign w:val="center"/>
                </w:tcPr>
                <w:p>
                  <w:pPr>
                    <w:pStyle w:val="46"/>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颗粒物</w:t>
                  </w:r>
                </w:p>
              </w:tc>
              <w:tc>
                <w:tcPr>
                  <w:tcW w:w="689" w:type="pct"/>
                  <w:vMerge w:val="continue"/>
                  <w:vAlign w:val="center"/>
                </w:tcPr>
                <w:p>
                  <w:pPr>
                    <w:jc w:val="center"/>
                    <w:rPr>
                      <w:color w:val="auto"/>
                      <w:sz w:val="21"/>
                      <w:szCs w:val="21"/>
                      <w:highlight w:val="none"/>
                    </w:rPr>
                  </w:pPr>
                </w:p>
              </w:tc>
              <w:tc>
                <w:tcPr>
                  <w:tcW w:w="689" w:type="pct"/>
                  <w:vAlign w:val="center"/>
                </w:tcPr>
                <w:p>
                  <w:pPr>
                    <w:widowControl/>
                    <w:jc w:val="center"/>
                    <w:textAlignment w:val="center"/>
                    <w:rPr>
                      <w:rFonts w:hint="default" w:eastAsia="宋体"/>
                      <w:color w:val="auto"/>
                      <w:sz w:val="21"/>
                      <w:szCs w:val="21"/>
                      <w:highlight w:val="none"/>
                      <w:lang w:val="en-US" w:eastAsia="zh-CN"/>
                    </w:rPr>
                  </w:pPr>
                  <w:r>
                    <w:rPr>
                      <w:rFonts w:hint="eastAsia"/>
                      <w:color w:val="auto"/>
                      <w:sz w:val="21"/>
                      <w:szCs w:val="21"/>
                      <w:highlight w:val="none"/>
                      <w:lang w:val="en-US" w:eastAsia="zh-CN"/>
                    </w:rPr>
                    <w:t>0.00306</w:t>
                  </w:r>
                </w:p>
              </w:tc>
              <w:tc>
                <w:tcPr>
                  <w:tcW w:w="618" w:type="pct"/>
                  <w:vAlign w:val="center"/>
                </w:tcPr>
                <w:p>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450</w:t>
                  </w:r>
                </w:p>
              </w:tc>
              <w:tc>
                <w:tcPr>
                  <w:tcW w:w="578" w:type="pct"/>
                  <w:vMerge w:val="continue"/>
                  <w:vAlign w:val="center"/>
                </w:tcPr>
                <w:p>
                  <w:pPr>
                    <w:jc w:val="center"/>
                    <w:rPr>
                      <w:rFonts w:hint="eastAsia"/>
                      <w:color w:val="auto"/>
                      <w:sz w:val="21"/>
                      <w:szCs w:val="21"/>
                      <w:highlight w:val="none"/>
                    </w:rPr>
                  </w:pPr>
                </w:p>
              </w:tc>
              <w:tc>
                <w:tcPr>
                  <w:tcW w:w="799" w:type="pct"/>
                  <w:vAlign w:val="center"/>
                </w:tcPr>
                <w:p>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12</w:t>
                  </w:r>
                </w:p>
              </w:tc>
              <w:tc>
                <w:tcPr>
                  <w:tcW w:w="644" w:type="pct"/>
                  <w:vAlign w:val="center"/>
                </w:tcPr>
                <w:p>
                  <w:pPr>
                    <w:jc w:val="center"/>
                    <w:rPr>
                      <w:color w:val="auto"/>
                      <w:sz w:val="21"/>
                      <w:szCs w:val="21"/>
                      <w:highlight w:val="none"/>
                    </w:rPr>
                  </w:pPr>
                  <w:r>
                    <w:rPr>
                      <w:color w:val="auto"/>
                      <w:sz w:val="21"/>
                      <w:szCs w:val="21"/>
                      <w:highlight w:val="none"/>
                    </w:rPr>
                    <w:t>无超标点</w:t>
                  </w:r>
                </w:p>
              </w:tc>
            </w:tr>
          </w:tbl>
          <w:p>
            <w:pPr>
              <w:snapToGrid w:val="0"/>
              <w:spacing w:before="120" w:beforeLines="50" w:line="360" w:lineRule="auto"/>
              <w:ind w:firstLine="422" w:firstLineChars="200"/>
              <w:contextualSpacing/>
              <w:jc w:val="left"/>
              <w:rPr>
                <w:b/>
                <w:bCs/>
                <w:color w:val="auto"/>
                <w:sz w:val="21"/>
                <w:szCs w:val="21"/>
                <w:highlight w:val="none"/>
              </w:rPr>
            </w:pPr>
            <w:r>
              <w:rPr>
                <w:b/>
                <w:bCs/>
                <w:color w:val="auto"/>
                <w:sz w:val="21"/>
                <w:szCs w:val="21"/>
                <w:highlight w:val="none"/>
              </w:rPr>
              <w:t>（2）卫生防护距离设置</w:t>
            </w:r>
          </w:p>
          <w:p>
            <w:pPr>
              <w:spacing w:line="360" w:lineRule="auto"/>
              <w:ind w:firstLine="420" w:firstLineChars="200"/>
              <w:rPr>
                <w:color w:val="auto"/>
                <w:sz w:val="21"/>
                <w:szCs w:val="21"/>
                <w:highlight w:val="none"/>
              </w:rPr>
            </w:pPr>
            <w:r>
              <w:rPr>
                <w:color w:val="auto"/>
                <w:sz w:val="21"/>
                <w:szCs w:val="21"/>
                <w:highlight w:val="none"/>
              </w:rPr>
              <w:t>根据</w:t>
            </w:r>
            <w:r>
              <w:rPr>
                <w:rFonts w:hint="eastAsia"/>
                <w:bCs/>
                <w:color w:val="auto"/>
                <w:sz w:val="21"/>
                <w:szCs w:val="21"/>
                <w:highlight w:val="none"/>
              </w:rPr>
              <w:t>《大气有害物质无组织排放卫生防护距离推导技术导则》（GB/T39499-2020）</w:t>
            </w:r>
            <w:r>
              <w:rPr>
                <w:color w:val="auto"/>
                <w:sz w:val="21"/>
                <w:szCs w:val="21"/>
                <w:highlight w:val="none"/>
              </w:rPr>
              <w:t>规定，无组织排入有害气体的生产单元（生产区、车间、工段）超出GB3095与TJ36规定的居住区容许浓度限值，则需要与居民区之间应设置卫生防护距离，计算公式如下：</w:t>
            </w:r>
          </w:p>
          <w:p>
            <w:pPr>
              <w:spacing w:line="360" w:lineRule="auto"/>
              <w:jc w:val="center"/>
              <w:rPr>
                <w:color w:val="auto"/>
                <w:sz w:val="21"/>
                <w:szCs w:val="21"/>
                <w:highlight w:val="none"/>
              </w:rPr>
            </w:pPr>
            <w:r>
              <w:rPr>
                <w:color w:val="auto"/>
                <w:position w:val="-30"/>
                <w:sz w:val="21"/>
                <w:szCs w:val="21"/>
                <w:highlight w:val="none"/>
              </w:rPr>
              <w:object>
                <v:shape id="_x0000_i1029" o:spt="75" type="#_x0000_t75" style="height:35.3pt;width:144pt;" o:ole="t" filled="f" o:preferrelative="t" stroked="f" coordsize="21600,21600">
                  <v:path/>
                  <v:fill on="f" focussize="0,0"/>
                  <v:stroke on="f" joinstyle="miter"/>
                  <v:imagedata r:id="rId16" o:title="6515309301556505032514"/>
                  <o:lock v:ext="edit" aspectratio="t"/>
                  <w10:wrap type="none"/>
                  <w10:anchorlock/>
                </v:shape>
                <o:OLEObject Type="Embed" ProgID="Equation.3" ShapeID="_x0000_i1029" DrawAspect="Content" ObjectID="_1468075729" r:id="rId15">
                  <o:LockedField>false</o:LockedField>
                </o:OLEObject>
              </w:object>
            </w:r>
          </w:p>
          <w:p>
            <w:pPr>
              <w:spacing w:line="360" w:lineRule="auto"/>
              <w:ind w:firstLine="420" w:firstLineChars="200"/>
              <w:rPr>
                <w:color w:val="auto"/>
                <w:sz w:val="21"/>
                <w:szCs w:val="21"/>
                <w:highlight w:val="none"/>
              </w:rPr>
            </w:pPr>
            <w:r>
              <w:rPr>
                <w:color w:val="auto"/>
                <w:sz w:val="21"/>
                <w:szCs w:val="21"/>
                <w:highlight w:val="none"/>
              </w:rPr>
              <w:t>式中：C</w:t>
            </w:r>
            <w:r>
              <w:rPr>
                <w:color w:val="auto"/>
                <w:sz w:val="21"/>
                <w:szCs w:val="21"/>
                <w:highlight w:val="none"/>
                <w:vertAlign w:val="subscript"/>
              </w:rPr>
              <w:t>m</w:t>
            </w:r>
            <w:r>
              <w:rPr>
                <w:color w:val="auto"/>
                <w:sz w:val="21"/>
                <w:szCs w:val="21"/>
                <w:highlight w:val="none"/>
              </w:rPr>
              <w:t>—为标准浓度限值（mg/m</w:t>
            </w:r>
            <w:r>
              <w:rPr>
                <w:color w:val="auto"/>
                <w:sz w:val="21"/>
                <w:szCs w:val="21"/>
                <w:highlight w:val="none"/>
                <w:vertAlign w:val="superscript"/>
              </w:rPr>
              <w:t>3</w:t>
            </w:r>
            <w:r>
              <w:rPr>
                <w:color w:val="auto"/>
                <w:sz w:val="21"/>
                <w:szCs w:val="21"/>
                <w:highlight w:val="none"/>
              </w:rPr>
              <w:t>）；</w:t>
            </w:r>
          </w:p>
          <w:p>
            <w:pPr>
              <w:spacing w:line="360" w:lineRule="auto"/>
              <w:ind w:firstLine="1050" w:firstLineChars="500"/>
              <w:rPr>
                <w:color w:val="auto"/>
                <w:sz w:val="21"/>
                <w:szCs w:val="21"/>
                <w:highlight w:val="none"/>
              </w:rPr>
            </w:pPr>
            <w:r>
              <w:rPr>
                <w:color w:val="auto"/>
                <w:sz w:val="21"/>
                <w:szCs w:val="21"/>
                <w:highlight w:val="none"/>
              </w:rPr>
              <w:t>Q</w:t>
            </w:r>
            <w:r>
              <w:rPr>
                <w:color w:val="auto"/>
                <w:sz w:val="21"/>
                <w:szCs w:val="21"/>
                <w:highlight w:val="none"/>
                <w:vertAlign w:val="subscript"/>
              </w:rPr>
              <w:t>c</w:t>
            </w:r>
            <w:r>
              <w:rPr>
                <w:color w:val="auto"/>
                <w:sz w:val="21"/>
                <w:szCs w:val="21"/>
                <w:highlight w:val="none"/>
              </w:rPr>
              <w:t>—有害气体无组织排放量可达到的控制水平（kg/h）；</w:t>
            </w:r>
          </w:p>
          <w:p>
            <w:pPr>
              <w:spacing w:line="360" w:lineRule="auto"/>
              <w:ind w:firstLine="1050" w:firstLineChars="500"/>
              <w:rPr>
                <w:color w:val="auto"/>
                <w:sz w:val="21"/>
                <w:szCs w:val="21"/>
                <w:highlight w:val="none"/>
              </w:rPr>
            </w:pPr>
            <w:r>
              <w:rPr>
                <w:color w:val="auto"/>
                <w:sz w:val="21"/>
                <w:szCs w:val="21"/>
                <w:highlight w:val="none"/>
              </w:rPr>
              <w:t>r—为有害气体无组织排放源所在生产单元的等效半径（m）；</w:t>
            </w:r>
          </w:p>
          <w:p>
            <w:pPr>
              <w:spacing w:line="360" w:lineRule="auto"/>
              <w:ind w:firstLine="1050" w:firstLineChars="500"/>
              <w:rPr>
                <w:color w:val="auto"/>
                <w:sz w:val="21"/>
                <w:szCs w:val="21"/>
                <w:highlight w:val="none"/>
              </w:rPr>
            </w:pPr>
            <w:r>
              <w:rPr>
                <w:color w:val="auto"/>
                <w:sz w:val="21"/>
                <w:szCs w:val="21"/>
                <w:highlight w:val="none"/>
              </w:rPr>
              <w:t>L—为工业企业所需的卫生防护距离（m）；</w:t>
            </w:r>
          </w:p>
          <w:p>
            <w:pPr>
              <w:spacing w:line="360" w:lineRule="auto"/>
              <w:ind w:firstLine="1050" w:firstLineChars="500"/>
              <w:rPr>
                <w:color w:val="auto"/>
                <w:sz w:val="21"/>
                <w:szCs w:val="21"/>
                <w:highlight w:val="none"/>
              </w:rPr>
            </w:pPr>
            <w:r>
              <w:rPr>
                <w:color w:val="auto"/>
                <w:sz w:val="21"/>
                <w:szCs w:val="21"/>
                <w:highlight w:val="none"/>
              </w:rPr>
              <w:t>A、B、C、D为计算系数。根据所在地平均风速及工业企业大气污染源构成类别查取。</w:t>
            </w:r>
          </w:p>
          <w:p>
            <w:pPr>
              <w:ind w:firstLine="198"/>
              <w:jc w:val="center"/>
              <w:rPr>
                <w:b/>
                <w:color w:val="auto"/>
                <w:sz w:val="21"/>
                <w:szCs w:val="21"/>
                <w:highlight w:val="none"/>
              </w:rPr>
            </w:pPr>
          </w:p>
          <w:p>
            <w:pPr>
              <w:ind w:firstLine="198"/>
              <w:jc w:val="center"/>
              <w:rPr>
                <w:b/>
                <w:color w:val="auto"/>
                <w:sz w:val="21"/>
                <w:szCs w:val="21"/>
                <w:highlight w:val="none"/>
              </w:rPr>
            </w:pPr>
            <w:r>
              <w:rPr>
                <w:b/>
                <w:color w:val="auto"/>
                <w:sz w:val="21"/>
                <w:szCs w:val="21"/>
                <w:highlight w:val="none"/>
              </w:rPr>
              <w:t>表4-1</w:t>
            </w:r>
            <w:r>
              <w:rPr>
                <w:rFonts w:hint="eastAsia"/>
                <w:b/>
                <w:color w:val="auto"/>
                <w:sz w:val="21"/>
                <w:szCs w:val="21"/>
                <w:highlight w:val="none"/>
                <w:lang w:val="en-US" w:eastAsia="zh-CN"/>
              </w:rPr>
              <w:t>2</w:t>
            </w:r>
            <w:r>
              <w:rPr>
                <w:rFonts w:hint="eastAsia"/>
                <w:b/>
                <w:color w:val="auto"/>
                <w:sz w:val="21"/>
                <w:szCs w:val="21"/>
                <w:highlight w:val="none"/>
              </w:rPr>
              <w:t xml:space="preserve"> </w:t>
            </w:r>
            <w:r>
              <w:rPr>
                <w:b/>
                <w:color w:val="auto"/>
                <w:sz w:val="21"/>
                <w:szCs w:val="21"/>
                <w:highlight w:val="none"/>
              </w:rPr>
              <w:t>本项目卫生防护距离计算结果表</w:t>
            </w:r>
          </w:p>
          <w:tbl>
            <w:tblPr>
              <w:tblStyle w:val="25"/>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587"/>
              <w:gridCol w:w="2625"/>
              <w:gridCol w:w="2053"/>
              <w:gridCol w:w="221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36" w:type="pct"/>
                  <w:vAlign w:val="center"/>
                </w:tcPr>
                <w:p>
                  <w:pPr>
                    <w:pStyle w:val="13"/>
                    <w:spacing w:before="0" w:line="240" w:lineRule="auto"/>
                    <w:jc w:val="center"/>
                    <w:rPr>
                      <w:rFonts w:ascii="Times New Roman"/>
                      <w:b/>
                      <w:color w:val="auto"/>
                      <w:sz w:val="21"/>
                      <w:szCs w:val="21"/>
                      <w:highlight w:val="none"/>
                    </w:rPr>
                  </w:pPr>
                  <w:r>
                    <w:rPr>
                      <w:rFonts w:ascii="Times New Roman"/>
                      <w:b/>
                      <w:color w:val="auto"/>
                      <w:sz w:val="21"/>
                      <w:szCs w:val="21"/>
                      <w:highlight w:val="none"/>
                    </w:rPr>
                    <w:t>源强</w:t>
                  </w:r>
                </w:p>
              </w:tc>
              <w:tc>
                <w:tcPr>
                  <w:tcW w:w="1547" w:type="pct"/>
                  <w:vAlign w:val="center"/>
                </w:tcPr>
                <w:p>
                  <w:pPr>
                    <w:pStyle w:val="13"/>
                    <w:spacing w:before="0" w:line="240" w:lineRule="auto"/>
                    <w:jc w:val="center"/>
                    <w:rPr>
                      <w:rFonts w:ascii="Times New Roman"/>
                      <w:b/>
                      <w:color w:val="auto"/>
                      <w:sz w:val="21"/>
                      <w:szCs w:val="21"/>
                      <w:highlight w:val="none"/>
                    </w:rPr>
                  </w:pPr>
                  <w:r>
                    <w:rPr>
                      <w:rFonts w:ascii="Times New Roman"/>
                      <w:b/>
                      <w:color w:val="auto"/>
                      <w:sz w:val="21"/>
                      <w:szCs w:val="21"/>
                      <w:highlight w:val="none"/>
                    </w:rPr>
                    <w:t>污染物</w:t>
                  </w:r>
                </w:p>
              </w:tc>
              <w:tc>
                <w:tcPr>
                  <w:tcW w:w="1210" w:type="pct"/>
                  <w:vAlign w:val="center"/>
                </w:tcPr>
                <w:p>
                  <w:pPr>
                    <w:pStyle w:val="13"/>
                    <w:spacing w:before="0" w:line="240" w:lineRule="auto"/>
                    <w:jc w:val="center"/>
                    <w:rPr>
                      <w:rFonts w:ascii="Times New Roman"/>
                      <w:b/>
                      <w:color w:val="auto"/>
                      <w:sz w:val="21"/>
                      <w:szCs w:val="21"/>
                      <w:highlight w:val="none"/>
                    </w:rPr>
                  </w:pPr>
                  <w:r>
                    <w:rPr>
                      <w:rFonts w:ascii="Times New Roman"/>
                      <w:b/>
                      <w:color w:val="auto"/>
                      <w:sz w:val="21"/>
                      <w:szCs w:val="21"/>
                      <w:highlight w:val="none"/>
                    </w:rPr>
                    <w:t>计算结果m</w:t>
                  </w:r>
                </w:p>
              </w:tc>
              <w:tc>
                <w:tcPr>
                  <w:tcW w:w="1306" w:type="pct"/>
                  <w:vAlign w:val="center"/>
                </w:tcPr>
                <w:p>
                  <w:pPr>
                    <w:pStyle w:val="13"/>
                    <w:spacing w:before="0" w:line="240" w:lineRule="auto"/>
                    <w:jc w:val="center"/>
                    <w:rPr>
                      <w:rFonts w:ascii="Times New Roman"/>
                      <w:b/>
                      <w:color w:val="auto"/>
                      <w:sz w:val="21"/>
                      <w:szCs w:val="21"/>
                      <w:highlight w:val="none"/>
                    </w:rPr>
                  </w:pPr>
                  <w:r>
                    <w:rPr>
                      <w:rFonts w:ascii="Times New Roman"/>
                      <w:b/>
                      <w:color w:val="auto"/>
                      <w:sz w:val="21"/>
                      <w:szCs w:val="21"/>
                      <w:highlight w:val="none"/>
                    </w:rPr>
                    <w:t>卫生防护距离m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36" w:type="pct"/>
                  <w:vMerge w:val="restart"/>
                  <w:vAlign w:val="center"/>
                </w:tcPr>
                <w:p>
                  <w:pPr>
                    <w:pStyle w:val="13"/>
                    <w:spacing w:before="0" w:line="240" w:lineRule="auto"/>
                    <w:jc w:val="center"/>
                    <w:rPr>
                      <w:rFonts w:hint="default" w:ascii="Times New Roman" w:eastAsia="宋体"/>
                      <w:color w:val="auto"/>
                      <w:sz w:val="21"/>
                      <w:szCs w:val="21"/>
                      <w:highlight w:val="none"/>
                      <w:lang w:val="en-US" w:eastAsia="zh-CN"/>
                    </w:rPr>
                  </w:pP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ascii="Times New Roman"/>
                      <w:color w:val="auto"/>
                      <w:sz w:val="21"/>
                      <w:szCs w:val="21"/>
                      <w:highlight w:val="none"/>
                      <w:lang w:val="en-US" w:eastAsia="zh-CN"/>
                    </w:rPr>
                    <w:t>车间</w:t>
                  </w:r>
                </w:p>
              </w:tc>
              <w:tc>
                <w:tcPr>
                  <w:tcW w:w="1547" w:type="pct"/>
                  <w:vAlign w:val="center"/>
                </w:tcPr>
                <w:p>
                  <w:pPr>
                    <w:jc w:val="center"/>
                    <w:rPr>
                      <w:color w:val="auto"/>
                      <w:sz w:val="21"/>
                      <w:szCs w:val="21"/>
                      <w:highlight w:val="none"/>
                    </w:rPr>
                  </w:pPr>
                  <w:r>
                    <w:rPr>
                      <w:rFonts w:hint="eastAsia"/>
                      <w:color w:val="auto"/>
                      <w:sz w:val="21"/>
                      <w:szCs w:val="21"/>
                      <w:highlight w:val="none"/>
                    </w:rPr>
                    <w:t>非甲烷总烃</w:t>
                  </w:r>
                </w:p>
              </w:tc>
              <w:tc>
                <w:tcPr>
                  <w:tcW w:w="1210" w:type="pct"/>
                  <w:vAlign w:val="center"/>
                </w:tcPr>
                <w:p>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0.0001</w:t>
                  </w:r>
                </w:p>
              </w:tc>
              <w:tc>
                <w:tcPr>
                  <w:tcW w:w="1306" w:type="pct"/>
                  <w:vAlign w:val="center"/>
                </w:tcPr>
                <w:p>
                  <w:pPr>
                    <w:pStyle w:val="13"/>
                    <w:spacing w:before="0" w:line="240" w:lineRule="auto"/>
                    <w:jc w:val="center"/>
                    <w:rPr>
                      <w:rFonts w:ascii="Times New Roman"/>
                      <w:color w:val="auto"/>
                      <w:sz w:val="21"/>
                      <w:szCs w:val="21"/>
                      <w:highlight w:val="none"/>
                    </w:rPr>
                  </w:pPr>
                  <w:r>
                    <w:rPr>
                      <w:rFonts w:ascii="Times New Roman"/>
                      <w:color w:val="auto"/>
                      <w:sz w:val="21"/>
                      <w:szCs w:val="21"/>
                      <w:highlight w:val="none"/>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936" w:type="pct"/>
                  <w:vMerge w:val="continue"/>
                  <w:vAlign w:val="center"/>
                </w:tcPr>
                <w:p>
                  <w:pPr>
                    <w:pStyle w:val="13"/>
                    <w:spacing w:before="0" w:line="240" w:lineRule="auto"/>
                    <w:jc w:val="center"/>
                    <w:rPr>
                      <w:rFonts w:ascii="Times New Roman"/>
                      <w:color w:val="auto"/>
                      <w:sz w:val="21"/>
                      <w:szCs w:val="21"/>
                      <w:highlight w:val="none"/>
                    </w:rPr>
                  </w:pPr>
                </w:p>
              </w:tc>
              <w:tc>
                <w:tcPr>
                  <w:tcW w:w="1547" w:type="pct"/>
                  <w:vAlign w:val="center"/>
                </w:tcPr>
                <w:p>
                  <w:pPr>
                    <w:jc w:val="center"/>
                    <w:rPr>
                      <w:rFonts w:hint="eastAsia" w:eastAsia="宋体"/>
                      <w:color w:val="auto"/>
                      <w:sz w:val="21"/>
                      <w:szCs w:val="21"/>
                      <w:highlight w:val="none"/>
                      <w:lang w:val="en-US" w:eastAsia="zh-CN"/>
                    </w:rPr>
                  </w:pPr>
                  <w:r>
                    <w:rPr>
                      <w:rFonts w:hint="eastAsia"/>
                      <w:color w:val="auto"/>
                      <w:sz w:val="21"/>
                      <w:szCs w:val="21"/>
                      <w:highlight w:val="none"/>
                      <w:lang w:val="en-US" w:eastAsia="zh-CN"/>
                    </w:rPr>
                    <w:t>颗粒物</w:t>
                  </w:r>
                </w:p>
              </w:tc>
              <w:tc>
                <w:tcPr>
                  <w:tcW w:w="1210" w:type="pct"/>
                  <w:vAlign w:val="center"/>
                </w:tcPr>
                <w:p>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0.0001</w:t>
                  </w:r>
                </w:p>
              </w:tc>
              <w:tc>
                <w:tcPr>
                  <w:tcW w:w="1306" w:type="pct"/>
                  <w:vAlign w:val="center"/>
                </w:tcPr>
                <w:p>
                  <w:pPr>
                    <w:pStyle w:val="13"/>
                    <w:spacing w:before="0" w:line="240" w:lineRule="auto"/>
                    <w:jc w:val="center"/>
                    <w:rPr>
                      <w:rFonts w:hint="default" w:ascii="Times New Roman" w:eastAsia="宋体"/>
                      <w:color w:val="auto"/>
                      <w:sz w:val="21"/>
                      <w:szCs w:val="21"/>
                      <w:highlight w:val="none"/>
                      <w:lang w:val="en-US" w:eastAsia="zh-CN"/>
                    </w:rPr>
                  </w:pPr>
                  <w:r>
                    <w:rPr>
                      <w:rFonts w:hint="eastAsia" w:ascii="Times New Roman"/>
                      <w:color w:val="auto"/>
                      <w:sz w:val="21"/>
                      <w:szCs w:val="21"/>
                      <w:highlight w:val="none"/>
                      <w:lang w:val="en-US" w:eastAsia="zh-CN"/>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3693" w:type="pct"/>
                  <w:gridSpan w:val="3"/>
                  <w:vAlign w:val="center"/>
                </w:tcPr>
                <w:p>
                  <w:pPr>
                    <w:jc w:val="center"/>
                    <w:rPr>
                      <w:color w:val="auto"/>
                      <w:sz w:val="21"/>
                      <w:szCs w:val="21"/>
                      <w:highlight w:val="none"/>
                    </w:rPr>
                  </w:pPr>
                  <w:r>
                    <w:rPr>
                      <w:rFonts w:hint="eastAsia"/>
                      <w:color w:val="auto"/>
                      <w:sz w:val="21"/>
                      <w:szCs w:val="21"/>
                      <w:highlight w:val="none"/>
                    </w:rPr>
                    <w:t>合计</w:t>
                  </w:r>
                </w:p>
              </w:tc>
              <w:tc>
                <w:tcPr>
                  <w:tcW w:w="1306" w:type="pct"/>
                  <w:vAlign w:val="center"/>
                </w:tcPr>
                <w:p>
                  <w:pPr>
                    <w:pStyle w:val="13"/>
                    <w:spacing w:before="0" w:line="240" w:lineRule="auto"/>
                    <w:jc w:val="center"/>
                    <w:rPr>
                      <w:rFonts w:hint="default" w:ascii="Times New Roman" w:eastAsia="宋体"/>
                      <w:color w:val="auto"/>
                      <w:sz w:val="21"/>
                      <w:szCs w:val="21"/>
                      <w:highlight w:val="none"/>
                      <w:lang w:val="en-US" w:eastAsia="zh-CN"/>
                    </w:rPr>
                  </w:pPr>
                  <w:r>
                    <w:rPr>
                      <w:rFonts w:hint="eastAsia" w:ascii="Times New Roman"/>
                      <w:color w:val="auto"/>
                      <w:sz w:val="21"/>
                      <w:szCs w:val="21"/>
                      <w:highlight w:val="none"/>
                      <w:lang w:val="en-US" w:eastAsia="zh-CN"/>
                    </w:rPr>
                    <w:t>100</w:t>
                  </w:r>
                </w:p>
              </w:tc>
            </w:tr>
          </w:tbl>
          <w:p>
            <w:pPr>
              <w:spacing w:before="120" w:beforeLines="50" w:line="360" w:lineRule="auto"/>
              <w:ind w:firstLine="420" w:firstLineChars="200"/>
              <w:rPr>
                <w:color w:val="auto"/>
                <w:sz w:val="21"/>
                <w:szCs w:val="21"/>
                <w:highlight w:val="none"/>
              </w:rPr>
            </w:pPr>
            <w:r>
              <w:rPr>
                <w:color w:val="auto"/>
                <w:sz w:val="21"/>
                <w:szCs w:val="21"/>
                <w:highlight w:val="none"/>
              </w:rPr>
              <w:t>综上所述，根据</w:t>
            </w:r>
            <w:r>
              <w:rPr>
                <w:rFonts w:hint="eastAsia"/>
                <w:bCs/>
                <w:color w:val="auto"/>
                <w:sz w:val="21"/>
                <w:szCs w:val="21"/>
                <w:highlight w:val="none"/>
              </w:rPr>
              <w:t>《大气有害物质无组织排放卫生防护距离推导技术导则》（GB/T39499-2020）</w:t>
            </w:r>
            <w:r>
              <w:rPr>
                <w:color w:val="auto"/>
                <w:sz w:val="21"/>
                <w:szCs w:val="21"/>
                <w:highlight w:val="none"/>
              </w:rPr>
              <w:t>中的规定，</w:t>
            </w:r>
            <w:r>
              <w:rPr>
                <w:rFonts w:hint="eastAsia"/>
                <w:color w:val="auto"/>
                <w:sz w:val="21"/>
                <w:szCs w:val="21"/>
                <w:highlight w:val="none"/>
              </w:rPr>
              <w:t>确定</w:t>
            </w:r>
            <w:r>
              <w:rPr>
                <w:color w:val="auto"/>
                <w:sz w:val="21"/>
                <w:szCs w:val="21"/>
                <w:highlight w:val="none"/>
              </w:rPr>
              <w:t>本项目卫生防护距离设置情况为：</w:t>
            </w:r>
            <w:r>
              <w:rPr>
                <w:rFonts w:hint="eastAsia"/>
                <w:color w:val="auto"/>
                <w:sz w:val="21"/>
                <w:szCs w:val="21"/>
                <w:highlight w:val="none"/>
                <w:lang w:val="en-US" w:eastAsia="zh-CN"/>
              </w:rPr>
              <w:t>项目以</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 w:val="21"/>
                <w:szCs w:val="21"/>
                <w:highlight w:val="none"/>
                <w:lang w:val="en-US" w:eastAsia="zh-CN"/>
              </w:rPr>
              <w:t>车间</w:t>
            </w:r>
            <w:r>
              <w:rPr>
                <w:color w:val="auto"/>
                <w:sz w:val="21"/>
                <w:szCs w:val="21"/>
                <w:highlight w:val="none"/>
              </w:rPr>
              <w:t>为边界设置</w:t>
            </w:r>
            <w:r>
              <w:rPr>
                <w:rFonts w:hint="eastAsia"/>
                <w:color w:val="auto"/>
                <w:sz w:val="21"/>
                <w:szCs w:val="21"/>
                <w:highlight w:val="none"/>
                <w:lang w:val="en-US" w:eastAsia="zh-CN"/>
              </w:rPr>
              <w:t>100</w:t>
            </w:r>
            <w:r>
              <w:rPr>
                <w:color w:val="auto"/>
                <w:sz w:val="21"/>
                <w:szCs w:val="21"/>
                <w:highlight w:val="none"/>
              </w:rPr>
              <w:t>m卫生防护距离。</w:t>
            </w:r>
          </w:p>
          <w:p>
            <w:pPr>
              <w:spacing w:line="360" w:lineRule="auto"/>
              <w:ind w:firstLine="420" w:firstLineChars="200"/>
              <w:rPr>
                <w:color w:val="auto"/>
                <w:sz w:val="21"/>
                <w:szCs w:val="21"/>
                <w:highlight w:val="none"/>
              </w:rPr>
            </w:pPr>
            <w:r>
              <w:rPr>
                <w:color w:val="auto"/>
                <w:sz w:val="21"/>
                <w:szCs w:val="21"/>
                <w:highlight w:val="none"/>
              </w:rPr>
              <w:t>目前该卫生防护距离内无敏感点，同时要求未来不得在本项目卫生防护距离内新建居民住宅、医院、学校等敏感点。具体项目卫生防护距离包络线见图2周围概况图。</w:t>
            </w:r>
          </w:p>
          <w:p>
            <w:pPr>
              <w:pStyle w:val="37"/>
              <w:spacing w:line="360" w:lineRule="auto"/>
              <w:ind w:firstLine="482"/>
              <w:rPr>
                <w:rFonts w:eastAsia="宋体"/>
                <w:b/>
                <w:color w:val="auto"/>
                <w:sz w:val="21"/>
                <w:szCs w:val="21"/>
                <w:highlight w:val="none"/>
              </w:rPr>
            </w:pPr>
            <w:r>
              <w:rPr>
                <w:rFonts w:eastAsia="宋体"/>
                <w:b/>
                <w:color w:val="auto"/>
                <w:sz w:val="21"/>
                <w:szCs w:val="21"/>
                <w:highlight w:val="none"/>
              </w:rPr>
              <w:t>7、环境监测计划</w:t>
            </w:r>
          </w:p>
          <w:p>
            <w:pPr>
              <w:pStyle w:val="37"/>
              <w:spacing w:line="360" w:lineRule="auto"/>
              <w:ind w:firstLine="480"/>
              <w:rPr>
                <w:rFonts w:eastAsia="宋体"/>
                <w:bCs/>
                <w:color w:val="auto"/>
                <w:sz w:val="21"/>
                <w:szCs w:val="21"/>
                <w:highlight w:val="none"/>
              </w:rPr>
            </w:pPr>
            <w:r>
              <w:rPr>
                <w:rFonts w:eastAsia="宋体"/>
                <w:bCs/>
                <w:color w:val="auto"/>
                <w:sz w:val="21"/>
                <w:szCs w:val="21"/>
                <w:highlight w:val="none"/>
              </w:rPr>
              <w:t>根据《排污单位自行监测技术指南 总则》（HJ819-2017）中“5.2废气排放监测”相关要求和《排污许可证申请与核发技术规范 总则》（HJ942-2018），建设单位废气监测计划和验收检测方案详见下表。</w:t>
            </w:r>
          </w:p>
          <w:p>
            <w:pPr>
              <w:jc w:val="center"/>
              <w:rPr>
                <w:b/>
                <w:color w:val="auto"/>
                <w:sz w:val="21"/>
                <w:szCs w:val="21"/>
                <w:highlight w:val="none"/>
              </w:rPr>
            </w:pPr>
            <w:r>
              <w:rPr>
                <w:b/>
                <w:color w:val="auto"/>
                <w:sz w:val="21"/>
                <w:szCs w:val="21"/>
                <w:highlight w:val="none"/>
              </w:rPr>
              <w:t>表4-1</w:t>
            </w:r>
            <w:r>
              <w:rPr>
                <w:rFonts w:hint="eastAsia"/>
                <w:b/>
                <w:color w:val="auto"/>
                <w:sz w:val="21"/>
                <w:szCs w:val="21"/>
                <w:highlight w:val="none"/>
                <w:lang w:val="en-US" w:eastAsia="zh-CN"/>
              </w:rPr>
              <w:t xml:space="preserve">3 </w:t>
            </w:r>
            <w:r>
              <w:rPr>
                <w:b/>
                <w:color w:val="auto"/>
                <w:sz w:val="21"/>
                <w:szCs w:val="21"/>
                <w:highlight w:val="none"/>
              </w:rPr>
              <w:t>污染源监测要求</w:t>
            </w:r>
          </w:p>
          <w:tbl>
            <w:tblPr>
              <w:tblStyle w:val="25"/>
              <w:tblW w:w="4994"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117"/>
              <w:gridCol w:w="1244"/>
              <w:gridCol w:w="2417"/>
              <w:gridCol w:w="1515"/>
              <w:gridCol w:w="120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jc w:val="center"/>
              </w:trPr>
              <w:tc>
                <w:tcPr>
                  <w:tcW w:w="575" w:type="pct"/>
                  <w:vAlign w:val="center"/>
                </w:tcPr>
                <w:p>
                  <w:pPr>
                    <w:jc w:val="center"/>
                    <w:rPr>
                      <w:b/>
                      <w:color w:val="auto"/>
                      <w:sz w:val="21"/>
                      <w:szCs w:val="21"/>
                      <w:highlight w:val="none"/>
                    </w:rPr>
                  </w:pPr>
                  <w:r>
                    <w:rPr>
                      <w:b/>
                      <w:color w:val="auto"/>
                      <w:sz w:val="21"/>
                      <w:szCs w:val="21"/>
                      <w:highlight w:val="none"/>
                    </w:rPr>
                    <w:t>类型</w:t>
                  </w:r>
                </w:p>
              </w:tc>
              <w:tc>
                <w:tcPr>
                  <w:tcW w:w="659" w:type="pct"/>
                  <w:vAlign w:val="center"/>
                </w:tcPr>
                <w:p>
                  <w:pPr>
                    <w:jc w:val="center"/>
                    <w:rPr>
                      <w:b/>
                      <w:color w:val="auto"/>
                      <w:sz w:val="21"/>
                      <w:szCs w:val="21"/>
                      <w:highlight w:val="none"/>
                    </w:rPr>
                  </w:pPr>
                  <w:r>
                    <w:rPr>
                      <w:b/>
                      <w:color w:val="auto"/>
                      <w:sz w:val="21"/>
                      <w:szCs w:val="21"/>
                      <w:highlight w:val="none"/>
                    </w:rPr>
                    <w:t>监测项目</w:t>
                  </w:r>
                </w:p>
              </w:tc>
              <w:tc>
                <w:tcPr>
                  <w:tcW w:w="734" w:type="pct"/>
                  <w:vAlign w:val="center"/>
                </w:tcPr>
                <w:p>
                  <w:pPr>
                    <w:jc w:val="center"/>
                    <w:rPr>
                      <w:b/>
                      <w:color w:val="auto"/>
                      <w:sz w:val="21"/>
                      <w:szCs w:val="21"/>
                      <w:highlight w:val="none"/>
                    </w:rPr>
                  </w:pPr>
                  <w:r>
                    <w:rPr>
                      <w:b/>
                      <w:color w:val="auto"/>
                      <w:sz w:val="21"/>
                      <w:szCs w:val="21"/>
                      <w:highlight w:val="none"/>
                    </w:rPr>
                    <w:t>监测位置</w:t>
                  </w:r>
                </w:p>
              </w:tc>
              <w:tc>
                <w:tcPr>
                  <w:tcW w:w="1426" w:type="pct"/>
                  <w:vAlign w:val="center"/>
                </w:tcPr>
                <w:p>
                  <w:pPr>
                    <w:jc w:val="center"/>
                    <w:rPr>
                      <w:b/>
                      <w:color w:val="auto"/>
                      <w:sz w:val="21"/>
                      <w:szCs w:val="21"/>
                      <w:highlight w:val="none"/>
                    </w:rPr>
                  </w:pPr>
                  <w:r>
                    <w:rPr>
                      <w:b/>
                      <w:color w:val="auto"/>
                      <w:sz w:val="21"/>
                      <w:szCs w:val="21"/>
                      <w:highlight w:val="none"/>
                    </w:rPr>
                    <w:t>检测点位</w:t>
                  </w:r>
                </w:p>
              </w:tc>
              <w:tc>
                <w:tcPr>
                  <w:tcW w:w="894" w:type="pct"/>
                  <w:vAlign w:val="center"/>
                </w:tcPr>
                <w:p>
                  <w:pPr>
                    <w:jc w:val="center"/>
                    <w:rPr>
                      <w:b/>
                      <w:color w:val="auto"/>
                      <w:sz w:val="21"/>
                      <w:szCs w:val="21"/>
                      <w:highlight w:val="none"/>
                    </w:rPr>
                  </w:pPr>
                  <w:r>
                    <w:rPr>
                      <w:b/>
                      <w:color w:val="auto"/>
                      <w:sz w:val="21"/>
                      <w:szCs w:val="21"/>
                      <w:highlight w:val="none"/>
                    </w:rPr>
                    <w:t>监测因子</w:t>
                  </w:r>
                </w:p>
              </w:tc>
              <w:tc>
                <w:tcPr>
                  <w:tcW w:w="710" w:type="pct"/>
                  <w:vAlign w:val="center"/>
                </w:tcPr>
                <w:p>
                  <w:pPr>
                    <w:jc w:val="center"/>
                    <w:rPr>
                      <w:b/>
                      <w:color w:val="auto"/>
                      <w:sz w:val="21"/>
                      <w:szCs w:val="21"/>
                      <w:highlight w:val="none"/>
                    </w:rPr>
                  </w:pPr>
                  <w:r>
                    <w:rPr>
                      <w:b/>
                      <w:color w:val="auto"/>
                      <w:sz w:val="21"/>
                      <w:szCs w:val="21"/>
                      <w:highlight w:val="none"/>
                    </w:rPr>
                    <w:t>监测频率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pct"/>
                  <w:vMerge w:val="restart"/>
                  <w:vAlign w:val="center"/>
                </w:tcPr>
                <w:p>
                  <w:pPr>
                    <w:jc w:val="center"/>
                    <w:rPr>
                      <w:color w:val="auto"/>
                      <w:sz w:val="21"/>
                      <w:szCs w:val="21"/>
                      <w:highlight w:val="none"/>
                    </w:rPr>
                  </w:pPr>
                  <w:r>
                    <w:rPr>
                      <w:color w:val="auto"/>
                      <w:sz w:val="21"/>
                      <w:szCs w:val="21"/>
                      <w:highlight w:val="none"/>
                    </w:rPr>
                    <w:t>监测计划</w:t>
                  </w:r>
                </w:p>
              </w:tc>
              <w:tc>
                <w:tcPr>
                  <w:tcW w:w="659" w:type="pct"/>
                  <w:vMerge w:val="restart"/>
                  <w:vAlign w:val="center"/>
                </w:tcPr>
                <w:p>
                  <w:pPr>
                    <w:jc w:val="center"/>
                    <w:rPr>
                      <w:color w:val="auto"/>
                      <w:sz w:val="21"/>
                      <w:szCs w:val="21"/>
                      <w:highlight w:val="none"/>
                    </w:rPr>
                  </w:pPr>
                  <w:r>
                    <w:rPr>
                      <w:color w:val="auto"/>
                      <w:sz w:val="21"/>
                      <w:szCs w:val="21"/>
                      <w:highlight w:val="none"/>
                    </w:rPr>
                    <w:t>无组织废气监测</w:t>
                  </w:r>
                </w:p>
              </w:tc>
              <w:tc>
                <w:tcPr>
                  <w:tcW w:w="734" w:type="pct"/>
                  <w:vAlign w:val="center"/>
                </w:tcPr>
                <w:p>
                  <w:pPr>
                    <w:jc w:val="center"/>
                    <w:rPr>
                      <w:color w:val="auto"/>
                      <w:sz w:val="21"/>
                      <w:szCs w:val="21"/>
                      <w:highlight w:val="none"/>
                    </w:rPr>
                  </w:pPr>
                  <w:r>
                    <w:rPr>
                      <w:color w:val="auto"/>
                      <w:sz w:val="21"/>
                      <w:szCs w:val="21"/>
                      <w:highlight w:val="none"/>
                    </w:rPr>
                    <w:t>厂界</w:t>
                  </w:r>
                </w:p>
              </w:tc>
              <w:tc>
                <w:tcPr>
                  <w:tcW w:w="1426" w:type="pct"/>
                  <w:vAlign w:val="center"/>
                </w:tcPr>
                <w:p>
                  <w:pPr>
                    <w:jc w:val="center"/>
                    <w:rPr>
                      <w:color w:val="auto"/>
                      <w:sz w:val="21"/>
                      <w:szCs w:val="21"/>
                      <w:highlight w:val="none"/>
                    </w:rPr>
                  </w:pPr>
                  <w:r>
                    <w:rPr>
                      <w:color w:val="auto"/>
                      <w:sz w:val="21"/>
                      <w:szCs w:val="21"/>
                      <w:highlight w:val="none"/>
                    </w:rPr>
                    <w:t>厂界上风向设置一个监测点，下风向设置三个监测点</w:t>
                  </w:r>
                </w:p>
              </w:tc>
              <w:tc>
                <w:tcPr>
                  <w:tcW w:w="894" w:type="pct"/>
                  <w:vAlign w:val="center"/>
                </w:tcPr>
                <w:p>
                  <w:pPr>
                    <w:jc w:val="center"/>
                    <w:rPr>
                      <w:rFonts w:hint="default" w:eastAsia="宋体"/>
                      <w:color w:val="auto"/>
                      <w:sz w:val="21"/>
                      <w:szCs w:val="21"/>
                      <w:highlight w:val="none"/>
                      <w:lang w:val="en-US" w:eastAsia="zh-CN"/>
                    </w:rPr>
                  </w:pPr>
                  <w:r>
                    <w:rPr>
                      <w:rFonts w:hint="eastAsia"/>
                      <w:color w:val="auto"/>
                      <w:sz w:val="21"/>
                      <w:szCs w:val="21"/>
                      <w:highlight w:val="none"/>
                    </w:rPr>
                    <w:t>非甲烷总烃</w:t>
                  </w:r>
                  <w:r>
                    <w:rPr>
                      <w:rFonts w:hint="eastAsia"/>
                      <w:color w:val="auto"/>
                      <w:sz w:val="21"/>
                      <w:szCs w:val="21"/>
                      <w:highlight w:val="none"/>
                      <w:lang w:eastAsia="zh-CN"/>
                    </w:rPr>
                    <w:t>、</w:t>
                  </w:r>
                  <w:r>
                    <w:rPr>
                      <w:rFonts w:hint="eastAsia"/>
                      <w:color w:val="auto"/>
                      <w:sz w:val="21"/>
                      <w:szCs w:val="21"/>
                      <w:highlight w:val="none"/>
                      <w:lang w:val="en-US" w:eastAsia="zh-CN"/>
                    </w:rPr>
                    <w:t>颗粒物</w:t>
                  </w:r>
                </w:p>
              </w:tc>
              <w:tc>
                <w:tcPr>
                  <w:tcW w:w="710" w:type="pct"/>
                  <w:vAlign w:val="center"/>
                </w:tcPr>
                <w:p>
                  <w:pPr>
                    <w:jc w:val="center"/>
                    <w:rPr>
                      <w:color w:val="auto"/>
                      <w:sz w:val="21"/>
                      <w:szCs w:val="21"/>
                      <w:highlight w:val="none"/>
                    </w:rPr>
                  </w:pPr>
                  <w:r>
                    <w:rPr>
                      <w:color w:val="auto"/>
                      <w:sz w:val="21"/>
                      <w:szCs w:val="21"/>
                      <w:highlight w:val="none"/>
                    </w:rPr>
                    <w:t>1次/年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pct"/>
                  <w:vMerge w:val="continue"/>
                  <w:vAlign w:val="center"/>
                </w:tcPr>
                <w:p>
                  <w:pPr>
                    <w:jc w:val="center"/>
                    <w:rPr>
                      <w:color w:val="auto"/>
                      <w:sz w:val="21"/>
                      <w:szCs w:val="21"/>
                      <w:highlight w:val="none"/>
                    </w:rPr>
                  </w:pPr>
                </w:p>
              </w:tc>
              <w:tc>
                <w:tcPr>
                  <w:tcW w:w="659" w:type="pct"/>
                  <w:vMerge w:val="continue"/>
                  <w:vAlign w:val="center"/>
                </w:tcPr>
                <w:p>
                  <w:pPr>
                    <w:jc w:val="center"/>
                    <w:rPr>
                      <w:color w:val="auto"/>
                      <w:sz w:val="21"/>
                      <w:szCs w:val="21"/>
                      <w:highlight w:val="none"/>
                    </w:rPr>
                  </w:pPr>
                </w:p>
              </w:tc>
              <w:tc>
                <w:tcPr>
                  <w:tcW w:w="734" w:type="pct"/>
                  <w:vAlign w:val="center"/>
                </w:tcPr>
                <w:p>
                  <w:pPr>
                    <w:jc w:val="center"/>
                    <w:rPr>
                      <w:color w:val="auto"/>
                      <w:sz w:val="21"/>
                      <w:szCs w:val="21"/>
                      <w:highlight w:val="none"/>
                    </w:rPr>
                  </w:pPr>
                  <w:r>
                    <w:rPr>
                      <w:color w:val="auto"/>
                      <w:sz w:val="21"/>
                      <w:szCs w:val="21"/>
                      <w:highlight w:val="none"/>
                    </w:rPr>
                    <w:t>厂界内车间外1m处</w:t>
                  </w:r>
                </w:p>
              </w:tc>
              <w:tc>
                <w:tcPr>
                  <w:tcW w:w="1426" w:type="pct"/>
                  <w:vAlign w:val="center"/>
                </w:tcPr>
                <w:p>
                  <w:pPr>
                    <w:jc w:val="center"/>
                    <w:rPr>
                      <w:color w:val="auto"/>
                      <w:sz w:val="21"/>
                      <w:szCs w:val="21"/>
                      <w:highlight w:val="none"/>
                    </w:rPr>
                  </w:pPr>
                  <w:r>
                    <w:rPr>
                      <w:rFonts w:hint="eastAsia"/>
                      <w:color w:val="auto"/>
                      <w:sz w:val="21"/>
                      <w:szCs w:val="21"/>
                      <w:highlight w:val="none"/>
                    </w:rPr>
                    <w:t>厂房门窗或通风口、其他开口（孔）等排放口外1m，距地面1.5m及以上位置</w:t>
                  </w:r>
                </w:p>
              </w:tc>
              <w:tc>
                <w:tcPr>
                  <w:tcW w:w="894" w:type="pct"/>
                  <w:vAlign w:val="center"/>
                </w:tcPr>
                <w:p>
                  <w:pPr>
                    <w:jc w:val="center"/>
                    <w:rPr>
                      <w:color w:val="auto"/>
                      <w:sz w:val="21"/>
                      <w:szCs w:val="21"/>
                      <w:highlight w:val="none"/>
                    </w:rPr>
                  </w:pPr>
                  <w:r>
                    <w:rPr>
                      <w:rFonts w:hint="eastAsia"/>
                      <w:color w:val="auto"/>
                      <w:sz w:val="21"/>
                      <w:szCs w:val="21"/>
                      <w:highlight w:val="none"/>
                    </w:rPr>
                    <w:t>非甲烷总烃</w:t>
                  </w:r>
                </w:p>
              </w:tc>
              <w:tc>
                <w:tcPr>
                  <w:tcW w:w="710" w:type="pct"/>
                  <w:vAlign w:val="center"/>
                </w:tcPr>
                <w:p>
                  <w:pPr>
                    <w:jc w:val="center"/>
                    <w:rPr>
                      <w:color w:val="auto"/>
                      <w:sz w:val="21"/>
                      <w:szCs w:val="21"/>
                      <w:highlight w:val="none"/>
                    </w:rPr>
                  </w:pPr>
                  <w:r>
                    <w:rPr>
                      <w:color w:val="auto"/>
                      <w:sz w:val="21"/>
                      <w:szCs w:val="21"/>
                      <w:highlight w:val="none"/>
                    </w:rPr>
                    <w:t>1次/年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pct"/>
                  <w:vMerge w:val="continue"/>
                  <w:vAlign w:val="center"/>
                </w:tcPr>
                <w:p>
                  <w:pPr>
                    <w:jc w:val="center"/>
                    <w:rPr>
                      <w:color w:val="auto"/>
                      <w:sz w:val="21"/>
                      <w:szCs w:val="21"/>
                      <w:highlight w:val="none"/>
                    </w:rPr>
                  </w:pPr>
                </w:p>
              </w:tc>
              <w:tc>
                <w:tcPr>
                  <w:tcW w:w="659" w:type="pct"/>
                  <w:vAlign w:val="center"/>
                </w:tcPr>
                <w:p>
                  <w:pPr>
                    <w:jc w:val="center"/>
                    <w:rPr>
                      <w:color w:val="auto"/>
                      <w:sz w:val="21"/>
                      <w:szCs w:val="21"/>
                      <w:highlight w:val="none"/>
                    </w:rPr>
                  </w:pPr>
                  <w:r>
                    <w:rPr>
                      <w:color w:val="auto"/>
                      <w:sz w:val="21"/>
                      <w:szCs w:val="21"/>
                      <w:highlight w:val="none"/>
                    </w:rPr>
                    <w:t>有组织废气检测</w:t>
                  </w:r>
                </w:p>
              </w:tc>
              <w:tc>
                <w:tcPr>
                  <w:tcW w:w="734" w:type="pct"/>
                  <w:vAlign w:val="center"/>
                </w:tcPr>
                <w:p>
                  <w:pPr>
                    <w:jc w:val="center"/>
                    <w:rPr>
                      <w:color w:val="auto"/>
                      <w:sz w:val="21"/>
                      <w:szCs w:val="21"/>
                      <w:highlight w:val="none"/>
                    </w:rPr>
                  </w:pPr>
                  <w:r>
                    <w:rPr>
                      <w:color w:val="auto"/>
                      <w:sz w:val="21"/>
                      <w:szCs w:val="21"/>
                      <w:highlight w:val="none"/>
                    </w:rPr>
                    <w:t>DA001</w:t>
                  </w:r>
                </w:p>
              </w:tc>
              <w:tc>
                <w:tcPr>
                  <w:tcW w:w="1426" w:type="pct"/>
                  <w:vAlign w:val="center"/>
                </w:tcPr>
                <w:p>
                  <w:pPr>
                    <w:jc w:val="center"/>
                    <w:rPr>
                      <w:color w:val="auto"/>
                      <w:sz w:val="21"/>
                      <w:szCs w:val="21"/>
                      <w:highlight w:val="none"/>
                    </w:rPr>
                  </w:pPr>
                  <w:r>
                    <w:rPr>
                      <w:color w:val="auto"/>
                      <w:sz w:val="21"/>
                      <w:szCs w:val="21"/>
                      <w:highlight w:val="none"/>
                    </w:rPr>
                    <w:t>进口、出口</w:t>
                  </w:r>
                </w:p>
              </w:tc>
              <w:tc>
                <w:tcPr>
                  <w:tcW w:w="894" w:type="pct"/>
                  <w:vAlign w:val="center"/>
                </w:tcPr>
                <w:p>
                  <w:pPr>
                    <w:jc w:val="center"/>
                    <w:rPr>
                      <w:color w:val="auto"/>
                      <w:kern w:val="0"/>
                      <w:sz w:val="21"/>
                      <w:szCs w:val="21"/>
                      <w:highlight w:val="none"/>
                    </w:rPr>
                  </w:pPr>
                  <w:r>
                    <w:rPr>
                      <w:rFonts w:hint="eastAsia"/>
                      <w:color w:val="auto"/>
                      <w:sz w:val="21"/>
                      <w:szCs w:val="21"/>
                      <w:highlight w:val="none"/>
                    </w:rPr>
                    <w:t>非甲烷总烃</w:t>
                  </w:r>
                </w:p>
              </w:tc>
              <w:tc>
                <w:tcPr>
                  <w:tcW w:w="710" w:type="pct"/>
                  <w:vAlign w:val="center"/>
                </w:tcPr>
                <w:p>
                  <w:pPr>
                    <w:jc w:val="center"/>
                    <w:rPr>
                      <w:color w:val="auto"/>
                      <w:sz w:val="21"/>
                      <w:szCs w:val="21"/>
                      <w:highlight w:val="none"/>
                    </w:rPr>
                  </w:pPr>
                  <w:r>
                    <w:rPr>
                      <w:color w:val="auto"/>
                      <w:sz w:val="21"/>
                      <w:szCs w:val="21"/>
                      <w:highlight w:val="none"/>
                    </w:rPr>
                    <w:t>1次/年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pct"/>
                  <w:vMerge w:val="restart"/>
                  <w:vAlign w:val="center"/>
                </w:tcPr>
                <w:p>
                  <w:pPr>
                    <w:jc w:val="center"/>
                    <w:rPr>
                      <w:color w:val="auto"/>
                      <w:sz w:val="21"/>
                      <w:szCs w:val="21"/>
                      <w:highlight w:val="none"/>
                    </w:rPr>
                  </w:pPr>
                  <w:r>
                    <w:rPr>
                      <w:color w:val="auto"/>
                      <w:sz w:val="21"/>
                      <w:szCs w:val="21"/>
                      <w:highlight w:val="none"/>
                    </w:rPr>
                    <w:t>验收检测方案</w:t>
                  </w:r>
                </w:p>
              </w:tc>
              <w:tc>
                <w:tcPr>
                  <w:tcW w:w="659" w:type="pct"/>
                  <w:vMerge w:val="restart"/>
                  <w:vAlign w:val="center"/>
                </w:tcPr>
                <w:p>
                  <w:pPr>
                    <w:jc w:val="center"/>
                    <w:rPr>
                      <w:color w:val="auto"/>
                      <w:sz w:val="21"/>
                      <w:szCs w:val="21"/>
                      <w:highlight w:val="none"/>
                    </w:rPr>
                  </w:pPr>
                  <w:r>
                    <w:rPr>
                      <w:color w:val="auto"/>
                      <w:sz w:val="21"/>
                      <w:szCs w:val="21"/>
                      <w:highlight w:val="none"/>
                    </w:rPr>
                    <w:t>无组织废气监测</w:t>
                  </w:r>
                </w:p>
              </w:tc>
              <w:tc>
                <w:tcPr>
                  <w:tcW w:w="734" w:type="pct"/>
                  <w:vAlign w:val="center"/>
                </w:tcPr>
                <w:p>
                  <w:pPr>
                    <w:jc w:val="center"/>
                    <w:rPr>
                      <w:color w:val="auto"/>
                      <w:sz w:val="21"/>
                      <w:szCs w:val="21"/>
                      <w:highlight w:val="none"/>
                    </w:rPr>
                  </w:pPr>
                  <w:r>
                    <w:rPr>
                      <w:color w:val="auto"/>
                      <w:sz w:val="21"/>
                      <w:szCs w:val="21"/>
                      <w:highlight w:val="none"/>
                    </w:rPr>
                    <w:t>厂界</w:t>
                  </w:r>
                </w:p>
              </w:tc>
              <w:tc>
                <w:tcPr>
                  <w:tcW w:w="1426" w:type="pct"/>
                  <w:vAlign w:val="center"/>
                </w:tcPr>
                <w:p>
                  <w:pPr>
                    <w:jc w:val="center"/>
                    <w:rPr>
                      <w:color w:val="auto"/>
                      <w:sz w:val="21"/>
                      <w:szCs w:val="21"/>
                      <w:highlight w:val="none"/>
                    </w:rPr>
                  </w:pPr>
                  <w:r>
                    <w:rPr>
                      <w:color w:val="auto"/>
                      <w:sz w:val="21"/>
                      <w:szCs w:val="21"/>
                      <w:highlight w:val="none"/>
                    </w:rPr>
                    <w:t>厂界上风向设置一个监测点，下风向设置三个监测点</w:t>
                  </w:r>
                </w:p>
              </w:tc>
              <w:tc>
                <w:tcPr>
                  <w:tcW w:w="894" w:type="pct"/>
                  <w:vAlign w:val="center"/>
                </w:tcPr>
                <w:p>
                  <w:pPr>
                    <w:jc w:val="center"/>
                    <w:rPr>
                      <w:rFonts w:hint="default" w:eastAsia="宋体"/>
                      <w:color w:val="auto"/>
                      <w:sz w:val="21"/>
                      <w:szCs w:val="21"/>
                      <w:highlight w:val="none"/>
                      <w:lang w:val="en-US" w:eastAsia="zh-CN"/>
                    </w:rPr>
                  </w:pPr>
                  <w:r>
                    <w:rPr>
                      <w:rFonts w:hint="eastAsia"/>
                      <w:color w:val="auto"/>
                      <w:sz w:val="21"/>
                      <w:szCs w:val="21"/>
                      <w:highlight w:val="none"/>
                    </w:rPr>
                    <w:t>非甲烷总烃</w:t>
                  </w:r>
                  <w:r>
                    <w:rPr>
                      <w:rFonts w:hint="eastAsia"/>
                      <w:color w:val="auto"/>
                      <w:sz w:val="21"/>
                      <w:szCs w:val="21"/>
                      <w:highlight w:val="none"/>
                      <w:lang w:eastAsia="zh-CN"/>
                    </w:rPr>
                    <w:t>、</w:t>
                  </w:r>
                  <w:r>
                    <w:rPr>
                      <w:rFonts w:hint="eastAsia"/>
                      <w:color w:val="auto"/>
                      <w:sz w:val="21"/>
                      <w:szCs w:val="21"/>
                      <w:highlight w:val="none"/>
                      <w:lang w:val="en-US" w:eastAsia="zh-CN"/>
                    </w:rPr>
                    <w:t>颗粒物</w:t>
                  </w:r>
                </w:p>
              </w:tc>
              <w:tc>
                <w:tcPr>
                  <w:tcW w:w="710" w:type="pct"/>
                  <w:vAlign w:val="center"/>
                </w:tcPr>
                <w:p>
                  <w:pPr>
                    <w:jc w:val="center"/>
                    <w:rPr>
                      <w:color w:val="auto"/>
                      <w:sz w:val="21"/>
                      <w:szCs w:val="21"/>
                      <w:highlight w:val="none"/>
                    </w:rPr>
                  </w:pPr>
                  <w:r>
                    <w:rPr>
                      <w:color w:val="auto"/>
                      <w:sz w:val="21"/>
                      <w:szCs w:val="21"/>
                      <w:highlight w:val="none"/>
                    </w:rPr>
                    <w:t>3次/天，连续2天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5" w:type="pct"/>
                  <w:vMerge w:val="continue"/>
                  <w:vAlign w:val="center"/>
                </w:tcPr>
                <w:p>
                  <w:pPr>
                    <w:jc w:val="center"/>
                    <w:rPr>
                      <w:color w:val="auto"/>
                      <w:sz w:val="21"/>
                      <w:szCs w:val="21"/>
                      <w:highlight w:val="none"/>
                    </w:rPr>
                  </w:pPr>
                </w:p>
              </w:tc>
              <w:tc>
                <w:tcPr>
                  <w:tcW w:w="659" w:type="pct"/>
                  <w:vMerge w:val="continue"/>
                  <w:vAlign w:val="center"/>
                </w:tcPr>
                <w:p>
                  <w:pPr>
                    <w:jc w:val="center"/>
                    <w:rPr>
                      <w:color w:val="auto"/>
                      <w:sz w:val="21"/>
                      <w:szCs w:val="21"/>
                      <w:highlight w:val="none"/>
                    </w:rPr>
                  </w:pPr>
                </w:p>
              </w:tc>
              <w:tc>
                <w:tcPr>
                  <w:tcW w:w="734" w:type="pct"/>
                  <w:vAlign w:val="center"/>
                </w:tcPr>
                <w:p>
                  <w:pPr>
                    <w:jc w:val="center"/>
                    <w:rPr>
                      <w:color w:val="auto"/>
                      <w:sz w:val="21"/>
                      <w:szCs w:val="21"/>
                      <w:highlight w:val="none"/>
                    </w:rPr>
                  </w:pPr>
                  <w:r>
                    <w:rPr>
                      <w:color w:val="auto"/>
                      <w:sz w:val="21"/>
                      <w:szCs w:val="21"/>
                      <w:highlight w:val="none"/>
                    </w:rPr>
                    <w:t>厂界内车间外1m处</w:t>
                  </w:r>
                </w:p>
              </w:tc>
              <w:tc>
                <w:tcPr>
                  <w:tcW w:w="1426" w:type="pct"/>
                  <w:vAlign w:val="center"/>
                </w:tcPr>
                <w:p>
                  <w:pPr>
                    <w:jc w:val="center"/>
                    <w:rPr>
                      <w:color w:val="auto"/>
                      <w:sz w:val="21"/>
                      <w:szCs w:val="21"/>
                      <w:highlight w:val="none"/>
                    </w:rPr>
                  </w:pPr>
                  <w:r>
                    <w:rPr>
                      <w:rFonts w:hint="eastAsia"/>
                      <w:color w:val="auto"/>
                      <w:sz w:val="21"/>
                      <w:szCs w:val="21"/>
                      <w:highlight w:val="none"/>
                    </w:rPr>
                    <w:t>厂房门窗或通风口、其他开口（孔）等排放口外1m，距地面1.5m及以上位置</w:t>
                  </w:r>
                </w:p>
              </w:tc>
              <w:tc>
                <w:tcPr>
                  <w:tcW w:w="894" w:type="pct"/>
                  <w:vAlign w:val="center"/>
                </w:tcPr>
                <w:p>
                  <w:pPr>
                    <w:jc w:val="center"/>
                    <w:rPr>
                      <w:color w:val="auto"/>
                      <w:sz w:val="21"/>
                      <w:szCs w:val="21"/>
                      <w:highlight w:val="none"/>
                    </w:rPr>
                  </w:pPr>
                  <w:r>
                    <w:rPr>
                      <w:rFonts w:hint="eastAsia"/>
                      <w:color w:val="auto"/>
                      <w:sz w:val="21"/>
                      <w:szCs w:val="21"/>
                      <w:highlight w:val="none"/>
                    </w:rPr>
                    <w:t>非甲烷总烃</w:t>
                  </w:r>
                </w:p>
              </w:tc>
              <w:tc>
                <w:tcPr>
                  <w:tcW w:w="710" w:type="pct"/>
                  <w:vAlign w:val="center"/>
                </w:tcPr>
                <w:p>
                  <w:pPr>
                    <w:jc w:val="center"/>
                    <w:rPr>
                      <w:rFonts w:hint="eastAsia" w:eastAsia="宋体"/>
                      <w:color w:val="auto"/>
                      <w:sz w:val="21"/>
                      <w:szCs w:val="21"/>
                      <w:highlight w:val="none"/>
                      <w:lang w:val="en-US" w:eastAsia="zh-CN"/>
                    </w:rPr>
                  </w:pPr>
                  <w:r>
                    <w:rPr>
                      <w:rFonts w:hint="eastAsia"/>
                      <w:color w:val="auto"/>
                      <w:sz w:val="21"/>
                      <w:szCs w:val="21"/>
                      <w:highlight w:val="none"/>
                      <w:lang w:val="en-US" w:eastAsia="zh-CN"/>
                    </w:rPr>
                    <w:t>3次/天</w:t>
                  </w:r>
                  <w:r>
                    <w:rPr>
                      <w:rFonts w:hint="eastAsia"/>
                      <w:color w:val="auto"/>
                      <w:lang w:eastAsia="zh-CN"/>
                    </w:rPr>
                    <w:t>，</w:t>
                  </w:r>
                  <w:r>
                    <w:rPr>
                      <w:color w:val="auto"/>
                      <w:sz w:val="21"/>
                      <w:szCs w:val="21"/>
                      <w:highlight w:val="none"/>
                    </w:rPr>
                    <w:t>连续2天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575" w:type="pct"/>
                  <w:vMerge w:val="continue"/>
                  <w:vAlign w:val="center"/>
                </w:tcPr>
                <w:p>
                  <w:pPr>
                    <w:jc w:val="center"/>
                    <w:rPr>
                      <w:color w:val="auto"/>
                      <w:sz w:val="21"/>
                      <w:szCs w:val="21"/>
                      <w:highlight w:val="none"/>
                    </w:rPr>
                  </w:pPr>
                </w:p>
              </w:tc>
              <w:tc>
                <w:tcPr>
                  <w:tcW w:w="659" w:type="pct"/>
                  <w:vAlign w:val="center"/>
                </w:tcPr>
                <w:p>
                  <w:pPr>
                    <w:jc w:val="center"/>
                    <w:rPr>
                      <w:color w:val="auto"/>
                      <w:sz w:val="21"/>
                      <w:szCs w:val="21"/>
                      <w:highlight w:val="none"/>
                    </w:rPr>
                  </w:pPr>
                  <w:r>
                    <w:rPr>
                      <w:color w:val="auto"/>
                      <w:sz w:val="21"/>
                      <w:szCs w:val="21"/>
                      <w:highlight w:val="none"/>
                    </w:rPr>
                    <w:t>有组织废气检测</w:t>
                  </w:r>
                </w:p>
              </w:tc>
              <w:tc>
                <w:tcPr>
                  <w:tcW w:w="734" w:type="pct"/>
                  <w:vAlign w:val="center"/>
                </w:tcPr>
                <w:p>
                  <w:pPr>
                    <w:jc w:val="center"/>
                    <w:rPr>
                      <w:color w:val="auto"/>
                      <w:sz w:val="21"/>
                      <w:szCs w:val="21"/>
                      <w:highlight w:val="none"/>
                    </w:rPr>
                  </w:pPr>
                  <w:r>
                    <w:rPr>
                      <w:color w:val="auto"/>
                      <w:sz w:val="21"/>
                      <w:szCs w:val="21"/>
                      <w:highlight w:val="none"/>
                    </w:rPr>
                    <w:t>DA001</w:t>
                  </w:r>
                </w:p>
              </w:tc>
              <w:tc>
                <w:tcPr>
                  <w:tcW w:w="1426" w:type="pct"/>
                  <w:vAlign w:val="center"/>
                </w:tcPr>
                <w:p>
                  <w:pPr>
                    <w:jc w:val="center"/>
                    <w:rPr>
                      <w:color w:val="auto"/>
                      <w:sz w:val="21"/>
                      <w:szCs w:val="21"/>
                      <w:highlight w:val="none"/>
                    </w:rPr>
                  </w:pPr>
                  <w:r>
                    <w:rPr>
                      <w:color w:val="auto"/>
                      <w:sz w:val="21"/>
                      <w:szCs w:val="21"/>
                      <w:highlight w:val="none"/>
                    </w:rPr>
                    <w:t>进口、出口</w:t>
                  </w:r>
                </w:p>
              </w:tc>
              <w:tc>
                <w:tcPr>
                  <w:tcW w:w="894" w:type="pct"/>
                  <w:vAlign w:val="center"/>
                </w:tcPr>
                <w:p>
                  <w:pPr>
                    <w:jc w:val="center"/>
                    <w:rPr>
                      <w:color w:val="auto"/>
                      <w:kern w:val="0"/>
                      <w:sz w:val="21"/>
                      <w:szCs w:val="21"/>
                      <w:highlight w:val="none"/>
                    </w:rPr>
                  </w:pPr>
                  <w:r>
                    <w:rPr>
                      <w:rFonts w:hint="eastAsia"/>
                      <w:color w:val="auto"/>
                      <w:sz w:val="21"/>
                      <w:szCs w:val="21"/>
                      <w:highlight w:val="none"/>
                    </w:rPr>
                    <w:t>非甲烷总烃</w:t>
                  </w:r>
                </w:p>
              </w:tc>
              <w:tc>
                <w:tcPr>
                  <w:tcW w:w="710" w:type="pct"/>
                  <w:vAlign w:val="center"/>
                </w:tcPr>
                <w:p>
                  <w:pPr>
                    <w:jc w:val="center"/>
                    <w:rPr>
                      <w:color w:val="auto"/>
                      <w:sz w:val="21"/>
                      <w:szCs w:val="21"/>
                      <w:highlight w:val="none"/>
                    </w:rPr>
                  </w:pPr>
                  <w:r>
                    <w:rPr>
                      <w:color w:val="auto"/>
                      <w:sz w:val="21"/>
                      <w:szCs w:val="21"/>
                      <w:highlight w:val="none"/>
                    </w:rPr>
                    <w:t>3次/天，连续2天</w:t>
                  </w:r>
                </w:p>
              </w:tc>
            </w:tr>
          </w:tbl>
          <w:p>
            <w:pPr>
              <w:pStyle w:val="37"/>
              <w:keepNext w:val="0"/>
              <w:keepLines w:val="0"/>
              <w:pageBreakBefore w:val="0"/>
              <w:widowControl w:val="0"/>
              <w:kinsoku/>
              <w:wordWrap/>
              <w:overflowPunct/>
              <w:topLinePunct w:val="0"/>
              <w:autoSpaceDE/>
              <w:autoSpaceDN/>
              <w:bidi w:val="0"/>
              <w:adjustRightInd/>
              <w:snapToGrid w:val="0"/>
              <w:spacing w:before="157" w:beforeLines="50" w:line="360" w:lineRule="auto"/>
              <w:ind w:firstLine="482"/>
              <w:textAlignment w:val="auto"/>
              <w:rPr>
                <w:rFonts w:eastAsia="宋体"/>
                <w:b/>
                <w:color w:val="auto"/>
                <w:sz w:val="21"/>
                <w:szCs w:val="21"/>
                <w:highlight w:val="none"/>
              </w:rPr>
            </w:pPr>
            <w:r>
              <w:rPr>
                <w:rFonts w:eastAsia="宋体"/>
                <w:b/>
                <w:color w:val="auto"/>
                <w:sz w:val="21"/>
                <w:szCs w:val="21"/>
                <w:highlight w:val="none"/>
              </w:rPr>
              <w:t>8、大气环境影响分析结论</w:t>
            </w:r>
          </w:p>
          <w:p>
            <w:pPr>
              <w:snapToGrid w:val="0"/>
              <w:spacing w:line="360" w:lineRule="auto"/>
              <w:ind w:firstLine="420" w:firstLineChars="200"/>
              <w:rPr>
                <w:bCs/>
                <w:color w:val="auto"/>
                <w:sz w:val="21"/>
                <w:szCs w:val="21"/>
                <w:highlight w:val="none"/>
              </w:rPr>
            </w:pPr>
            <w:r>
              <w:rPr>
                <w:bCs/>
                <w:color w:val="auto"/>
                <w:sz w:val="21"/>
                <w:szCs w:val="21"/>
                <w:highlight w:val="none"/>
              </w:rPr>
              <w:t>本项目大气环境质量为非达标区域，常州市环保局已针对大气污染提出相应防治措施，在落实大气污染防治措施的情况下，区域环境空气质量可以得到改善。</w:t>
            </w:r>
          </w:p>
          <w:p>
            <w:pPr>
              <w:pStyle w:val="6"/>
              <w:snapToGrid w:val="0"/>
              <w:spacing w:line="360" w:lineRule="auto"/>
              <w:ind w:firstLine="480"/>
              <w:rPr>
                <w:rFonts w:hint="default" w:eastAsia="宋体"/>
                <w:bCs/>
                <w:color w:val="auto"/>
                <w:sz w:val="21"/>
                <w:szCs w:val="21"/>
                <w:highlight w:val="none"/>
                <w:lang w:val="en-US" w:eastAsia="zh-CN"/>
              </w:rPr>
            </w:pPr>
            <w:r>
              <w:rPr>
                <w:rFonts w:hint="eastAsia"/>
                <w:bCs/>
                <w:color w:val="auto"/>
                <w:sz w:val="21"/>
                <w:szCs w:val="21"/>
                <w:highlight w:val="none"/>
              </w:rPr>
              <w:t>本项目</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bCs/>
                <w:color w:val="auto"/>
                <w:sz w:val="21"/>
                <w:szCs w:val="21"/>
                <w:highlight w:val="none"/>
              </w:rPr>
              <w:t>工序产生的有机废气经半密闭集气罩收集进入</w:t>
            </w:r>
            <w:r>
              <w:rPr>
                <w:bCs/>
                <w:color w:val="auto"/>
                <w:sz w:val="21"/>
                <w:szCs w:val="21"/>
                <w:highlight w:val="none"/>
              </w:rPr>
              <w:t>一套“二级活性炭吸附装置”处理后通过1根</w:t>
            </w:r>
            <w:r>
              <w:rPr>
                <w:rFonts w:hint="eastAsia"/>
                <w:bCs/>
                <w:color w:val="auto"/>
                <w:sz w:val="21"/>
                <w:szCs w:val="21"/>
                <w:highlight w:val="none"/>
              </w:rPr>
              <w:t>18</w:t>
            </w:r>
            <w:r>
              <w:rPr>
                <w:bCs/>
                <w:color w:val="auto"/>
                <w:sz w:val="21"/>
                <w:szCs w:val="21"/>
                <w:highlight w:val="none"/>
              </w:rPr>
              <w:t>m排气筒DA001达标排放</w:t>
            </w:r>
            <w:r>
              <w:rPr>
                <w:rFonts w:hint="eastAsia"/>
                <w:bCs/>
                <w:color w:val="auto"/>
                <w:sz w:val="21"/>
                <w:szCs w:val="21"/>
                <w:highlight w:val="none"/>
                <w:lang w:eastAsia="zh-CN"/>
              </w:rPr>
              <w:t>；</w:t>
            </w:r>
            <w:r>
              <w:rPr>
                <w:rFonts w:hint="eastAsia"/>
                <w:bCs/>
                <w:color w:val="auto"/>
                <w:sz w:val="21"/>
                <w:szCs w:val="21"/>
                <w:highlight w:val="none"/>
                <w:lang w:val="en-US" w:eastAsia="zh-CN"/>
              </w:rPr>
              <w:t>投料及破碎粉尘经移动式布袋除尘器收集处理后呈无组织排放。</w:t>
            </w:r>
          </w:p>
          <w:p>
            <w:pPr>
              <w:snapToGrid w:val="0"/>
              <w:spacing w:line="360" w:lineRule="auto"/>
              <w:ind w:firstLine="420" w:firstLineChars="200"/>
              <w:rPr>
                <w:bCs/>
                <w:color w:val="auto"/>
                <w:sz w:val="21"/>
                <w:szCs w:val="21"/>
                <w:highlight w:val="none"/>
              </w:rPr>
            </w:pPr>
            <w:r>
              <w:rPr>
                <w:bCs/>
                <w:color w:val="auto"/>
                <w:sz w:val="21"/>
                <w:szCs w:val="21"/>
                <w:highlight w:val="none"/>
              </w:rPr>
              <w:t>企业拟通过以下措施进行无组织废气的控制：加强生产管理，增加员工意识，规范操作，确保无组织排放废气厂界达标；以本项目</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bCs/>
                <w:color w:val="auto"/>
                <w:sz w:val="21"/>
                <w:szCs w:val="21"/>
                <w:highlight w:val="none"/>
                <w:lang w:val="en-US" w:eastAsia="zh-CN"/>
              </w:rPr>
              <w:t>车间</w:t>
            </w:r>
            <w:r>
              <w:rPr>
                <w:bCs/>
                <w:color w:val="auto"/>
                <w:sz w:val="21"/>
                <w:szCs w:val="21"/>
                <w:highlight w:val="none"/>
              </w:rPr>
              <w:t>为边界设置</w:t>
            </w:r>
            <w:r>
              <w:rPr>
                <w:rFonts w:hint="eastAsia"/>
                <w:bCs/>
                <w:color w:val="auto"/>
                <w:sz w:val="21"/>
                <w:szCs w:val="21"/>
                <w:highlight w:val="none"/>
                <w:lang w:val="en-US" w:eastAsia="zh-CN"/>
              </w:rPr>
              <w:t>100</w:t>
            </w:r>
            <w:r>
              <w:rPr>
                <w:bCs/>
                <w:color w:val="auto"/>
                <w:sz w:val="21"/>
                <w:szCs w:val="21"/>
                <w:highlight w:val="none"/>
              </w:rPr>
              <w:t>m卫生防护距离。</w:t>
            </w:r>
          </w:p>
          <w:p>
            <w:pPr>
              <w:snapToGrid w:val="0"/>
              <w:spacing w:line="360" w:lineRule="auto"/>
              <w:ind w:firstLine="420" w:firstLineChars="200"/>
              <w:rPr>
                <w:bCs/>
                <w:color w:val="auto"/>
                <w:sz w:val="21"/>
                <w:szCs w:val="21"/>
                <w:highlight w:val="none"/>
              </w:rPr>
            </w:pPr>
            <w:r>
              <w:rPr>
                <w:bCs/>
                <w:color w:val="auto"/>
                <w:sz w:val="21"/>
                <w:szCs w:val="21"/>
                <w:highlight w:val="none"/>
              </w:rPr>
              <w:t>本项目污染物经处理后，排放量较低，对大气环境影响较小。</w:t>
            </w:r>
          </w:p>
          <w:p>
            <w:pPr>
              <w:pStyle w:val="6"/>
              <w:spacing w:line="360" w:lineRule="auto"/>
              <w:ind w:firstLine="482"/>
              <w:rPr>
                <w:b/>
                <w:bCs/>
                <w:color w:val="auto"/>
                <w:sz w:val="21"/>
                <w:szCs w:val="21"/>
                <w:highlight w:val="none"/>
              </w:rPr>
            </w:pPr>
            <w:r>
              <w:rPr>
                <w:b/>
                <w:bCs/>
                <w:color w:val="auto"/>
                <w:sz w:val="21"/>
                <w:szCs w:val="21"/>
                <w:highlight w:val="none"/>
              </w:rPr>
              <w:t>二、废水</w:t>
            </w:r>
          </w:p>
          <w:p>
            <w:pPr>
              <w:pStyle w:val="6"/>
              <w:spacing w:line="360" w:lineRule="auto"/>
              <w:ind w:firstLine="482"/>
              <w:rPr>
                <w:b/>
                <w:bCs/>
                <w:color w:val="auto"/>
                <w:sz w:val="21"/>
                <w:szCs w:val="21"/>
                <w:highlight w:val="none"/>
              </w:rPr>
            </w:pPr>
            <w:r>
              <w:rPr>
                <w:b/>
                <w:bCs/>
                <w:color w:val="auto"/>
                <w:sz w:val="21"/>
                <w:szCs w:val="21"/>
                <w:highlight w:val="none"/>
              </w:rPr>
              <w:t>1、排放源</w:t>
            </w:r>
          </w:p>
          <w:p>
            <w:pPr>
              <w:pStyle w:val="6"/>
              <w:spacing w:line="360" w:lineRule="auto"/>
              <w:ind w:firstLine="480"/>
              <w:rPr>
                <w:color w:val="auto"/>
                <w:sz w:val="21"/>
                <w:szCs w:val="21"/>
                <w:highlight w:val="none"/>
              </w:rPr>
            </w:pPr>
            <w:r>
              <w:rPr>
                <w:color w:val="auto"/>
                <w:sz w:val="21"/>
                <w:szCs w:val="21"/>
                <w:highlight w:val="none"/>
              </w:rPr>
              <w:t>本项目排水为生活污水。</w:t>
            </w:r>
          </w:p>
          <w:p>
            <w:pPr>
              <w:pStyle w:val="6"/>
              <w:spacing w:line="360" w:lineRule="auto"/>
              <w:ind w:firstLine="480"/>
              <w:rPr>
                <w:color w:val="auto"/>
                <w:sz w:val="21"/>
                <w:szCs w:val="21"/>
                <w:highlight w:val="none"/>
              </w:rPr>
            </w:pPr>
            <w:r>
              <w:rPr>
                <w:color w:val="auto"/>
                <w:sz w:val="21"/>
                <w:szCs w:val="21"/>
                <w:highlight w:val="none"/>
              </w:rPr>
              <w:t>生活污水排放量为</w:t>
            </w:r>
            <w:r>
              <w:rPr>
                <w:rFonts w:hint="eastAsia"/>
                <w:color w:val="auto"/>
                <w:sz w:val="21"/>
                <w:szCs w:val="21"/>
                <w:highlight w:val="none"/>
              </w:rPr>
              <w:t>360</w:t>
            </w:r>
            <w:r>
              <w:rPr>
                <w:color w:val="auto"/>
                <w:sz w:val="21"/>
                <w:szCs w:val="21"/>
                <w:highlight w:val="none"/>
              </w:rPr>
              <w:t>m</w:t>
            </w:r>
            <w:r>
              <w:rPr>
                <w:color w:val="auto"/>
                <w:sz w:val="21"/>
                <w:szCs w:val="21"/>
                <w:highlight w:val="none"/>
                <w:vertAlign w:val="superscript"/>
              </w:rPr>
              <w:t>3</w:t>
            </w:r>
            <w:r>
              <w:rPr>
                <w:color w:val="auto"/>
                <w:sz w:val="21"/>
                <w:szCs w:val="21"/>
                <w:highlight w:val="none"/>
              </w:rPr>
              <w:t>/a，生活污水水质较为简单，其中COD浓度400mg/L，NH</w:t>
            </w:r>
            <w:r>
              <w:rPr>
                <w:color w:val="auto"/>
                <w:sz w:val="21"/>
                <w:szCs w:val="21"/>
                <w:highlight w:val="none"/>
                <w:vertAlign w:val="subscript"/>
              </w:rPr>
              <w:t>3</w:t>
            </w:r>
            <w:r>
              <w:rPr>
                <w:color w:val="auto"/>
                <w:sz w:val="21"/>
                <w:szCs w:val="21"/>
                <w:highlight w:val="none"/>
              </w:rPr>
              <w:t>-N浓度35mg/L，SS浓度200mg/L，TP约3mg/L，TN约50mg/L。</w:t>
            </w:r>
          </w:p>
          <w:p>
            <w:pPr>
              <w:pStyle w:val="6"/>
              <w:spacing w:line="360" w:lineRule="auto"/>
              <w:ind w:firstLine="480"/>
              <w:rPr>
                <w:b/>
                <w:bCs/>
                <w:color w:val="auto"/>
                <w:sz w:val="21"/>
                <w:szCs w:val="21"/>
                <w:highlight w:val="none"/>
              </w:rPr>
            </w:pPr>
            <w:r>
              <w:rPr>
                <w:color w:val="auto"/>
                <w:sz w:val="21"/>
                <w:szCs w:val="21"/>
                <w:highlight w:val="none"/>
              </w:rPr>
              <w:t>生活污水经收集后接入市政污水管网进</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集中处理，尾水排入尧塘河，产生及排放情况见下表。</w:t>
            </w:r>
          </w:p>
          <w:p>
            <w:pPr>
              <w:jc w:val="center"/>
              <w:rPr>
                <w:color w:val="auto"/>
                <w:sz w:val="21"/>
                <w:szCs w:val="21"/>
                <w:highlight w:val="none"/>
              </w:rPr>
            </w:pPr>
            <w:r>
              <w:rPr>
                <w:b/>
                <w:bCs/>
                <w:color w:val="auto"/>
                <w:sz w:val="21"/>
                <w:szCs w:val="21"/>
                <w:highlight w:val="none"/>
              </w:rPr>
              <w:t>表4-1</w:t>
            </w:r>
            <w:r>
              <w:rPr>
                <w:rFonts w:hint="eastAsia"/>
                <w:b/>
                <w:bCs/>
                <w:color w:val="auto"/>
                <w:sz w:val="21"/>
                <w:szCs w:val="21"/>
                <w:highlight w:val="none"/>
                <w:lang w:val="en-US" w:eastAsia="zh-CN"/>
              </w:rPr>
              <w:t xml:space="preserve">4 </w:t>
            </w:r>
            <w:r>
              <w:rPr>
                <w:b/>
                <w:bCs/>
                <w:color w:val="auto"/>
                <w:sz w:val="21"/>
                <w:szCs w:val="21"/>
                <w:highlight w:val="none"/>
              </w:rPr>
              <w:t>建设项目水污染物产生和排放情况表</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75"/>
              <w:gridCol w:w="377"/>
              <w:gridCol w:w="860"/>
              <w:gridCol w:w="450"/>
              <w:gridCol w:w="689"/>
              <w:gridCol w:w="660"/>
              <w:gridCol w:w="942"/>
              <w:gridCol w:w="499"/>
              <w:gridCol w:w="438"/>
              <w:gridCol w:w="509"/>
              <w:gridCol w:w="643"/>
              <w:gridCol w:w="670"/>
              <w:gridCol w:w="806"/>
              <w:gridCol w:w="56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1" w:type="pct"/>
                  <w:vMerge w:val="restart"/>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工序/生产线</w:t>
                  </w:r>
                </w:p>
              </w:tc>
              <w:tc>
                <w:tcPr>
                  <w:tcW w:w="222" w:type="pct"/>
                  <w:vMerge w:val="restart"/>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污染源</w:t>
                  </w:r>
                </w:p>
              </w:tc>
              <w:tc>
                <w:tcPr>
                  <w:tcW w:w="507" w:type="pct"/>
                  <w:vMerge w:val="restart"/>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污染物</w:t>
                  </w:r>
                </w:p>
              </w:tc>
              <w:tc>
                <w:tcPr>
                  <w:tcW w:w="1615" w:type="pct"/>
                  <w:gridSpan w:val="4"/>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污染物产生</w:t>
                  </w:r>
                </w:p>
              </w:tc>
              <w:tc>
                <w:tcPr>
                  <w:tcW w:w="552" w:type="pct"/>
                  <w:gridSpan w:val="2"/>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治理措施</w:t>
                  </w:r>
                </w:p>
              </w:tc>
              <w:tc>
                <w:tcPr>
                  <w:tcW w:w="1549" w:type="pct"/>
                  <w:gridSpan w:val="4"/>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污染物排放</w:t>
                  </w:r>
                </w:p>
              </w:tc>
              <w:tc>
                <w:tcPr>
                  <w:tcW w:w="330" w:type="pct"/>
                  <w:vMerge w:val="restart"/>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排放时间/h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1" w:type="pct"/>
                  <w:vMerge w:val="continue"/>
                  <w:tcMar>
                    <w:top w:w="0" w:type="dxa"/>
                    <w:left w:w="0" w:type="dxa"/>
                    <w:bottom w:w="0" w:type="dxa"/>
                    <w:right w:w="0" w:type="dxa"/>
                  </w:tcMar>
                  <w:vAlign w:val="center"/>
                </w:tcPr>
                <w:p>
                  <w:pPr>
                    <w:pStyle w:val="45"/>
                    <w:rPr>
                      <w:rFonts w:eastAsia="宋体"/>
                      <w:color w:val="auto"/>
                      <w:sz w:val="21"/>
                      <w:szCs w:val="21"/>
                      <w:highlight w:val="none"/>
                    </w:rPr>
                  </w:pPr>
                </w:p>
              </w:tc>
              <w:tc>
                <w:tcPr>
                  <w:tcW w:w="222" w:type="pct"/>
                  <w:vMerge w:val="continue"/>
                  <w:tcMar>
                    <w:top w:w="0" w:type="dxa"/>
                    <w:left w:w="0" w:type="dxa"/>
                    <w:bottom w:w="0" w:type="dxa"/>
                    <w:right w:w="0" w:type="dxa"/>
                  </w:tcMar>
                  <w:vAlign w:val="center"/>
                </w:tcPr>
                <w:p>
                  <w:pPr>
                    <w:pStyle w:val="45"/>
                    <w:rPr>
                      <w:rFonts w:eastAsia="宋体"/>
                      <w:color w:val="auto"/>
                      <w:sz w:val="21"/>
                      <w:szCs w:val="21"/>
                      <w:highlight w:val="none"/>
                    </w:rPr>
                  </w:pPr>
                </w:p>
              </w:tc>
              <w:tc>
                <w:tcPr>
                  <w:tcW w:w="507" w:type="pct"/>
                  <w:vMerge w:val="continue"/>
                  <w:tcMar>
                    <w:top w:w="0" w:type="dxa"/>
                    <w:left w:w="0" w:type="dxa"/>
                    <w:bottom w:w="0" w:type="dxa"/>
                    <w:right w:w="0" w:type="dxa"/>
                  </w:tcMar>
                  <w:vAlign w:val="center"/>
                </w:tcPr>
                <w:p>
                  <w:pPr>
                    <w:pStyle w:val="45"/>
                    <w:rPr>
                      <w:rFonts w:eastAsia="宋体"/>
                      <w:color w:val="auto"/>
                      <w:sz w:val="21"/>
                      <w:szCs w:val="21"/>
                      <w:highlight w:val="none"/>
                    </w:rPr>
                  </w:pPr>
                </w:p>
              </w:tc>
              <w:tc>
                <w:tcPr>
                  <w:tcW w:w="265" w:type="pct"/>
                  <w:tcBorders>
                    <w:right w:val="single" w:color="000000" w:sz="4" w:space="0"/>
                  </w:tcBorders>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核算方法</w:t>
                  </w:r>
                </w:p>
              </w:tc>
              <w:tc>
                <w:tcPr>
                  <w:tcW w:w="406" w:type="pct"/>
                  <w:tcBorders>
                    <w:left w:val="single" w:color="000000" w:sz="4" w:space="0"/>
                  </w:tcBorders>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产生废水量m</w:t>
                  </w:r>
                  <w:r>
                    <w:rPr>
                      <w:rFonts w:eastAsia="宋体"/>
                      <w:color w:val="auto"/>
                      <w:sz w:val="21"/>
                      <w:szCs w:val="21"/>
                      <w:highlight w:val="none"/>
                      <w:vertAlign w:val="superscript"/>
                    </w:rPr>
                    <w:t>3</w:t>
                  </w:r>
                  <w:r>
                    <w:rPr>
                      <w:rFonts w:eastAsia="宋体"/>
                      <w:color w:val="auto"/>
                      <w:sz w:val="21"/>
                      <w:szCs w:val="21"/>
                      <w:highlight w:val="none"/>
                    </w:rPr>
                    <w:t>/a</w:t>
                  </w:r>
                </w:p>
              </w:tc>
              <w:tc>
                <w:tcPr>
                  <w:tcW w:w="389" w:type="pct"/>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产生浓度mg/L</w:t>
                  </w:r>
                </w:p>
              </w:tc>
              <w:tc>
                <w:tcPr>
                  <w:tcW w:w="554" w:type="pct"/>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产生量</w:t>
                  </w:r>
                  <w:r>
                    <w:rPr>
                      <w:rFonts w:hint="eastAsia" w:eastAsia="宋体"/>
                      <w:color w:val="auto"/>
                      <w:sz w:val="21"/>
                      <w:szCs w:val="21"/>
                      <w:highlight w:val="none"/>
                    </w:rPr>
                    <w:t>t/a</w:t>
                  </w:r>
                </w:p>
              </w:tc>
              <w:tc>
                <w:tcPr>
                  <w:tcW w:w="294" w:type="pct"/>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工艺</w:t>
                  </w:r>
                </w:p>
              </w:tc>
              <w:tc>
                <w:tcPr>
                  <w:tcW w:w="257" w:type="pct"/>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效率/%</w:t>
                  </w:r>
                </w:p>
              </w:tc>
              <w:tc>
                <w:tcPr>
                  <w:tcW w:w="300" w:type="pct"/>
                  <w:tcBorders>
                    <w:right w:val="single" w:color="000000" w:sz="4" w:space="0"/>
                  </w:tcBorders>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核算方法</w:t>
                  </w:r>
                </w:p>
              </w:tc>
              <w:tc>
                <w:tcPr>
                  <w:tcW w:w="379" w:type="pct"/>
                  <w:tcBorders>
                    <w:left w:val="single" w:color="000000" w:sz="4" w:space="0"/>
                  </w:tcBorders>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排放废水量m</w:t>
                  </w:r>
                  <w:r>
                    <w:rPr>
                      <w:rFonts w:eastAsia="宋体"/>
                      <w:color w:val="auto"/>
                      <w:sz w:val="21"/>
                      <w:szCs w:val="21"/>
                      <w:highlight w:val="none"/>
                      <w:vertAlign w:val="superscript"/>
                    </w:rPr>
                    <w:t>3</w:t>
                  </w:r>
                  <w:r>
                    <w:rPr>
                      <w:rFonts w:eastAsia="宋体"/>
                      <w:color w:val="auto"/>
                      <w:sz w:val="21"/>
                      <w:szCs w:val="21"/>
                      <w:highlight w:val="none"/>
                    </w:rPr>
                    <w:t>/a</w:t>
                  </w:r>
                </w:p>
              </w:tc>
              <w:tc>
                <w:tcPr>
                  <w:tcW w:w="395" w:type="pct"/>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排放浓度mg/L</w:t>
                  </w:r>
                </w:p>
              </w:tc>
              <w:tc>
                <w:tcPr>
                  <w:tcW w:w="474" w:type="pct"/>
                  <w:tcMar>
                    <w:top w:w="0" w:type="dxa"/>
                    <w:left w:w="0" w:type="dxa"/>
                    <w:bottom w:w="0" w:type="dxa"/>
                    <w:right w:w="0" w:type="dxa"/>
                  </w:tcMar>
                  <w:vAlign w:val="center"/>
                </w:tcPr>
                <w:p>
                  <w:pPr>
                    <w:pStyle w:val="45"/>
                    <w:rPr>
                      <w:rFonts w:eastAsia="宋体"/>
                      <w:color w:val="auto"/>
                      <w:sz w:val="21"/>
                      <w:szCs w:val="21"/>
                      <w:highlight w:val="none"/>
                    </w:rPr>
                  </w:pPr>
                  <w:r>
                    <w:rPr>
                      <w:rFonts w:eastAsia="宋体"/>
                      <w:color w:val="auto"/>
                      <w:sz w:val="21"/>
                      <w:szCs w:val="21"/>
                      <w:highlight w:val="none"/>
                    </w:rPr>
                    <w:t>排放量</w:t>
                  </w:r>
                  <w:r>
                    <w:rPr>
                      <w:rFonts w:hint="eastAsia" w:eastAsia="宋体"/>
                      <w:color w:val="auto"/>
                      <w:sz w:val="21"/>
                      <w:szCs w:val="21"/>
                      <w:highlight w:val="none"/>
                    </w:rPr>
                    <w:t>t/a</w:t>
                  </w:r>
                </w:p>
              </w:tc>
              <w:tc>
                <w:tcPr>
                  <w:tcW w:w="330" w:type="pct"/>
                  <w:vMerge w:val="continue"/>
                  <w:tcMar>
                    <w:top w:w="0" w:type="dxa"/>
                    <w:left w:w="0" w:type="dxa"/>
                    <w:bottom w:w="0" w:type="dxa"/>
                    <w:right w:w="0" w:type="dxa"/>
                  </w:tcMar>
                  <w:vAlign w:val="center"/>
                </w:tcPr>
                <w:p>
                  <w:pPr>
                    <w:pStyle w:val="45"/>
                    <w:rPr>
                      <w:rFonts w:eastAsia="宋体"/>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1" w:type="pct"/>
                  <w:vMerge w:val="restar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生活污染物</w:t>
                  </w:r>
                </w:p>
              </w:tc>
              <w:tc>
                <w:tcPr>
                  <w:tcW w:w="222" w:type="pct"/>
                  <w:vMerge w:val="restar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生活污水</w:t>
                  </w:r>
                </w:p>
              </w:tc>
              <w:tc>
                <w:tcPr>
                  <w:tcW w:w="50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COD</w:t>
                  </w:r>
                </w:p>
              </w:tc>
              <w:tc>
                <w:tcPr>
                  <w:tcW w:w="265" w:type="pct"/>
                  <w:vMerge w:val="restart"/>
                  <w:tcMar>
                    <w:top w:w="0" w:type="dxa"/>
                    <w:left w:w="0" w:type="dxa"/>
                    <w:bottom w:w="0" w:type="dxa"/>
                    <w:right w:w="0" w:type="dxa"/>
                  </w:tcMar>
                  <w:vAlign w:val="center"/>
                </w:tcPr>
                <w:p>
                  <w:pPr>
                    <w:widowControl/>
                    <w:jc w:val="center"/>
                    <w:rPr>
                      <w:color w:val="auto"/>
                      <w:kern w:val="0"/>
                      <w:sz w:val="21"/>
                      <w:szCs w:val="21"/>
                      <w:highlight w:val="none"/>
                    </w:rPr>
                  </w:pPr>
                  <w:r>
                    <w:rPr>
                      <w:color w:val="auto"/>
                      <w:kern w:val="0"/>
                      <w:sz w:val="21"/>
                      <w:szCs w:val="21"/>
                      <w:highlight w:val="none"/>
                    </w:rPr>
                    <w:t>产污系数法</w:t>
                  </w:r>
                </w:p>
              </w:tc>
              <w:tc>
                <w:tcPr>
                  <w:tcW w:w="406" w:type="pct"/>
                  <w:vMerge w:val="restart"/>
                  <w:tcMar>
                    <w:top w:w="0" w:type="dxa"/>
                    <w:left w:w="0" w:type="dxa"/>
                    <w:bottom w:w="0" w:type="dxa"/>
                    <w:right w:w="0" w:type="dxa"/>
                  </w:tcMar>
                  <w:vAlign w:val="center"/>
                </w:tcPr>
                <w:p>
                  <w:pPr>
                    <w:jc w:val="center"/>
                    <w:rPr>
                      <w:color w:val="auto"/>
                      <w:kern w:val="0"/>
                      <w:sz w:val="21"/>
                      <w:szCs w:val="21"/>
                      <w:highlight w:val="none"/>
                    </w:rPr>
                  </w:pPr>
                  <w:r>
                    <w:rPr>
                      <w:rFonts w:hint="eastAsia"/>
                      <w:color w:val="auto"/>
                      <w:kern w:val="0"/>
                      <w:sz w:val="21"/>
                      <w:szCs w:val="21"/>
                      <w:highlight w:val="none"/>
                    </w:rPr>
                    <w:t>360</w:t>
                  </w:r>
                </w:p>
              </w:tc>
              <w:tc>
                <w:tcPr>
                  <w:tcW w:w="389"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400</w:t>
                  </w:r>
                </w:p>
              </w:tc>
              <w:tc>
                <w:tcPr>
                  <w:tcW w:w="554" w:type="pct"/>
                  <w:tcMar>
                    <w:top w:w="0" w:type="dxa"/>
                    <w:left w:w="0" w:type="dxa"/>
                    <w:bottom w:w="0" w:type="dxa"/>
                    <w:right w:w="0" w:type="dxa"/>
                  </w:tcMar>
                  <w:vAlign w:val="center"/>
                </w:tcPr>
                <w:p>
                  <w:pPr>
                    <w:widowControl/>
                    <w:jc w:val="center"/>
                    <w:textAlignment w:val="center"/>
                    <w:rPr>
                      <w:color w:val="auto"/>
                      <w:sz w:val="21"/>
                      <w:szCs w:val="21"/>
                      <w:highlight w:val="none"/>
                    </w:rPr>
                  </w:pPr>
                  <w:r>
                    <w:rPr>
                      <w:color w:val="auto"/>
                      <w:kern w:val="0"/>
                      <w:sz w:val="21"/>
                      <w:szCs w:val="21"/>
                      <w:highlight w:val="none"/>
                      <w:lang w:bidi="ar"/>
                    </w:rPr>
                    <w:t>0.144</w:t>
                  </w:r>
                </w:p>
              </w:tc>
              <w:tc>
                <w:tcPr>
                  <w:tcW w:w="294" w:type="pct"/>
                  <w:vMerge w:val="restar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接管</w:t>
                  </w:r>
                </w:p>
                <w:p>
                  <w:pPr>
                    <w:jc w:val="center"/>
                    <w:rPr>
                      <w:color w:val="auto"/>
                      <w:sz w:val="21"/>
                      <w:szCs w:val="21"/>
                      <w:highlight w:val="none"/>
                    </w:rPr>
                  </w:pPr>
                  <w:r>
                    <w:rPr>
                      <w:color w:val="auto"/>
                      <w:sz w:val="21"/>
                      <w:szCs w:val="21"/>
                      <w:highlight w:val="none"/>
                    </w:rPr>
                    <w:t>处理</w:t>
                  </w:r>
                </w:p>
              </w:tc>
              <w:tc>
                <w:tcPr>
                  <w:tcW w:w="257" w:type="pct"/>
                  <w:tcMar>
                    <w:top w:w="0" w:type="dxa"/>
                    <w:left w:w="0" w:type="dxa"/>
                    <w:bottom w:w="0" w:type="dxa"/>
                    <w:right w:w="0" w:type="dxa"/>
                  </w:tcMar>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w:t>
                  </w:r>
                </w:p>
              </w:tc>
              <w:tc>
                <w:tcPr>
                  <w:tcW w:w="300" w:type="pct"/>
                  <w:vMerge w:val="restart"/>
                  <w:tcMar>
                    <w:top w:w="0" w:type="dxa"/>
                    <w:left w:w="0" w:type="dxa"/>
                    <w:bottom w:w="0" w:type="dxa"/>
                    <w:right w:w="0" w:type="dxa"/>
                  </w:tcMar>
                  <w:vAlign w:val="center"/>
                </w:tcPr>
                <w:p>
                  <w:pPr>
                    <w:jc w:val="center"/>
                    <w:rPr>
                      <w:color w:val="auto"/>
                      <w:kern w:val="0"/>
                      <w:sz w:val="21"/>
                      <w:szCs w:val="21"/>
                      <w:highlight w:val="none"/>
                    </w:rPr>
                  </w:pPr>
                  <w:r>
                    <w:rPr>
                      <w:color w:val="auto"/>
                      <w:kern w:val="0"/>
                      <w:sz w:val="21"/>
                      <w:szCs w:val="21"/>
                      <w:highlight w:val="none"/>
                    </w:rPr>
                    <w:t>产污系数法</w:t>
                  </w:r>
                </w:p>
              </w:tc>
              <w:tc>
                <w:tcPr>
                  <w:tcW w:w="379" w:type="pct"/>
                  <w:vMerge w:val="restart"/>
                  <w:tcMar>
                    <w:top w:w="0" w:type="dxa"/>
                    <w:left w:w="0" w:type="dxa"/>
                    <w:bottom w:w="0" w:type="dxa"/>
                    <w:right w:w="0" w:type="dxa"/>
                  </w:tcMar>
                  <w:vAlign w:val="center"/>
                </w:tcPr>
                <w:p>
                  <w:pPr>
                    <w:jc w:val="center"/>
                    <w:rPr>
                      <w:color w:val="auto"/>
                      <w:sz w:val="21"/>
                      <w:szCs w:val="21"/>
                      <w:highlight w:val="none"/>
                    </w:rPr>
                  </w:pPr>
                  <w:r>
                    <w:rPr>
                      <w:rFonts w:hint="eastAsia"/>
                      <w:color w:val="auto"/>
                      <w:kern w:val="0"/>
                      <w:sz w:val="21"/>
                      <w:szCs w:val="21"/>
                      <w:highlight w:val="none"/>
                    </w:rPr>
                    <w:t>360</w:t>
                  </w:r>
                </w:p>
              </w:tc>
              <w:tc>
                <w:tcPr>
                  <w:tcW w:w="395"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400</w:t>
                  </w:r>
                </w:p>
              </w:tc>
              <w:tc>
                <w:tcPr>
                  <w:tcW w:w="474" w:type="pct"/>
                  <w:tcMar>
                    <w:top w:w="0" w:type="dxa"/>
                    <w:left w:w="0" w:type="dxa"/>
                    <w:bottom w:w="0" w:type="dxa"/>
                    <w:right w:w="0" w:type="dxa"/>
                  </w:tcMar>
                  <w:vAlign w:val="center"/>
                </w:tcPr>
                <w:p>
                  <w:pPr>
                    <w:widowControl/>
                    <w:jc w:val="center"/>
                    <w:textAlignment w:val="center"/>
                    <w:rPr>
                      <w:color w:val="auto"/>
                      <w:sz w:val="21"/>
                      <w:szCs w:val="21"/>
                      <w:highlight w:val="none"/>
                    </w:rPr>
                  </w:pPr>
                  <w:r>
                    <w:rPr>
                      <w:color w:val="auto"/>
                      <w:kern w:val="0"/>
                      <w:sz w:val="21"/>
                      <w:szCs w:val="21"/>
                      <w:highlight w:val="none"/>
                      <w:lang w:bidi="ar"/>
                    </w:rPr>
                    <w:t>0.144</w:t>
                  </w:r>
                </w:p>
              </w:tc>
              <w:tc>
                <w:tcPr>
                  <w:tcW w:w="330" w:type="pct"/>
                  <w:vMerge w:val="restart"/>
                  <w:tcMar>
                    <w:top w:w="0" w:type="dxa"/>
                    <w:left w:w="0" w:type="dxa"/>
                    <w:bottom w:w="0" w:type="dxa"/>
                    <w:right w:w="0" w:type="dxa"/>
                  </w:tcMar>
                  <w:vAlign w:val="center"/>
                </w:tcPr>
                <w:p>
                  <w:pPr>
                    <w:jc w:val="center"/>
                    <w:rPr>
                      <w:color w:val="auto"/>
                      <w:sz w:val="21"/>
                      <w:szCs w:val="21"/>
                      <w:highlight w:val="none"/>
                    </w:rPr>
                  </w:pPr>
                  <w:r>
                    <w:rPr>
                      <w:rFonts w:hint="eastAsia"/>
                      <w:color w:val="auto"/>
                      <w:sz w:val="21"/>
                      <w:szCs w:val="21"/>
                      <w:highlight w:val="none"/>
                    </w:rPr>
                    <w:t>7200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1" w:type="pct"/>
                  <w:vMerge w:val="continue"/>
                  <w:tcMar>
                    <w:top w:w="0" w:type="dxa"/>
                    <w:left w:w="0" w:type="dxa"/>
                    <w:bottom w:w="0" w:type="dxa"/>
                    <w:right w:w="0" w:type="dxa"/>
                  </w:tcMar>
                  <w:vAlign w:val="center"/>
                </w:tcPr>
                <w:p>
                  <w:pPr>
                    <w:jc w:val="center"/>
                    <w:rPr>
                      <w:color w:val="auto"/>
                      <w:sz w:val="21"/>
                      <w:szCs w:val="21"/>
                      <w:highlight w:val="none"/>
                    </w:rPr>
                  </w:pPr>
                </w:p>
              </w:tc>
              <w:tc>
                <w:tcPr>
                  <w:tcW w:w="222" w:type="pct"/>
                  <w:vMerge w:val="continue"/>
                  <w:tcMar>
                    <w:top w:w="0" w:type="dxa"/>
                    <w:left w:w="0" w:type="dxa"/>
                    <w:bottom w:w="0" w:type="dxa"/>
                    <w:right w:w="0" w:type="dxa"/>
                  </w:tcMar>
                  <w:vAlign w:val="center"/>
                </w:tcPr>
                <w:p>
                  <w:pPr>
                    <w:jc w:val="center"/>
                    <w:rPr>
                      <w:color w:val="auto"/>
                      <w:sz w:val="21"/>
                      <w:szCs w:val="21"/>
                      <w:highlight w:val="none"/>
                    </w:rPr>
                  </w:pPr>
                </w:p>
              </w:tc>
              <w:tc>
                <w:tcPr>
                  <w:tcW w:w="50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SS</w:t>
                  </w:r>
                </w:p>
              </w:tc>
              <w:tc>
                <w:tcPr>
                  <w:tcW w:w="265" w:type="pct"/>
                  <w:vMerge w:val="continue"/>
                  <w:tcMar>
                    <w:top w:w="0" w:type="dxa"/>
                    <w:left w:w="0" w:type="dxa"/>
                    <w:bottom w:w="0" w:type="dxa"/>
                    <w:right w:w="0" w:type="dxa"/>
                  </w:tcMar>
                  <w:vAlign w:val="center"/>
                </w:tcPr>
                <w:p>
                  <w:pPr>
                    <w:widowControl/>
                    <w:jc w:val="center"/>
                    <w:rPr>
                      <w:color w:val="auto"/>
                      <w:kern w:val="0"/>
                      <w:sz w:val="21"/>
                      <w:szCs w:val="21"/>
                      <w:highlight w:val="none"/>
                    </w:rPr>
                  </w:pPr>
                </w:p>
              </w:tc>
              <w:tc>
                <w:tcPr>
                  <w:tcW w:w="406" w:type="pct"/>
                  <w:vMerge w:val="continue"/>
                  <w:tcMar>
                    <w:top w:w="0" w:type="dxa"/>
                    <w:left w:w="0" w:type="dxa"/>
                    <w:bottom w:w="0" w:type="dxa"/>
                    <w:right w:w="0" w:type="dxa"/>
                  </w:tcMar>
                  <w:vAlign w:val="center"/>
                </w:tcPr>
                <w:p>
                  <w:pPr>
                    <w:jc w:val="center"/>
                    <w:rPr>
                      <w:color w:val="auto"/>
                      <w:kern w:val="0"/>
                      <w:sz w:val="21"/>
                      <w:szCs w:val="21"/>
                      <w:highlight w:val="none"/>
                    </w:rPr>
                  </w:pPr>
                </w:p>
              </w:tc>
              <w:tc>
                <w:tcPr>
                  <w:tcW w:w="389"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200</w:t>
                  </w:r>
                </w:p>
              </w:tc>
              <w:tc>
                <w:tcPr>
                  <w:tcW w:w="554" w:type="pct"/>
                  <w:tcMar>
                    <w:top w:w="0" w:type="dxa"/>
                    <w:left w:w="0" w:type="dxa"/>
                    <w:bottom w:w="0" w:type="dxa"/>
                    <w:right w:w="0" w:type="dxa"/>
                  </w:tcMar>
                  <w:vAlign w:val="center"/>
                </w:tcPr>
                <w:p>
                  <w:pPr>
                    <w:widowControl/>
                    <w:jc w:val="center"/>
                    <w:textAlignment w:val="center"/>
                    <w:rPr>
                      <w:color w:val="auto"/>
                      <w:sz w:val="21"/>
                      <w:szCs w:val="21"/>
                      <w:highlight w:val="none"/>
                    </w:rPr>
                  </w:pPr>
                  <w:r>
                    <w:rPr>
                      <w:color w:val="auto"/>
                      <w:kern w:val="0"/>
                      <w:sz w:val="21"/>
                      <w:szCs w:val="21"/>
                      <w:highlight w:val="none"/>
                      <w:lang w:bidi="ar"/>
                    </w:rPr>
                    <w:t>0.072</w:t>
                  </w:r>
                </w:p>
              </w:tc>
              <w:tc>
                <w:tcPr>
                  <w:tcW w:w="294" w:type="pct"/>
                  <w:vMerge w:val="continue"/>
                  <w:tcMar>
                    <w:top w:w="0" w:type="dxa"/>
                    <w:left w:w="0" w:type="dxa"/>
                    <w:bottom w:w="0" w:type="dxa"/>
                    <w:right w:w="0" w:type="dxa"/>
                  </w:tcMar>
                  <w:vAlign w:val="center"/>
                </w:tcPr>
                <w:p>
                  <w:pPr>
                    <w:jc w:val="center"/>
                    <w:rPr>
                      <w:color w:val="auto"/>
                      <w:sz w:val="21"/>
                      <w:szCs w:val="21"/>
                      <w:highlight w:val="none"/>
                    </w:rPr>
                  </w:pPr>
                </w:p>
              </w:tc>
              <w:tc>
                <w:tcPr>
                  <w:tcW w:w="257" w:type="pct"/>
                  <w:tcMar>
                    <w:top w:w="0" w:type="dxa"/>
                    <w:left w:w="0" w:type="dxa"/>
                    <w:bottom w:w="0" w:type="dxa"/>
                    <w:right w:w="0" w:type="dxa"/>
                  </w:tcMar>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w:t>
                  </w:r>
                </w:p>
              </w:tc>
              <w:tc>
                <w:tcPr>
                  <w:tcW w:w="300" w:type="pct"/>
                  <w:vMerge w:val="continue"/>
                  <w:tcMar>
                    <w:top w:w="0" w:type="dxa"/>
                    <w:left w:w="0" w:type="dxa"/>
                    <w:bottom w:w="0" w:type="dxa"/>
                    <w:right w:w="0" w:type="dxa"/>
                  </w:tcMar>
                  <w:vAlign w:val="center"/>
                </w:tcPr>
                <w:p>
                  <w:pPr>
                    <w:jc w:val="center"/>
                    <w:rPr>
                      <w:color w:val="auto"/>
                      <w:kern w:val="0"/>
                      <w:sz w:val="21"/>
                      <w:szCs w:val="21"/>
                      <w:highlight w:val="none"/>
                    </w:rPr>
                  </w:pPr>
                </w:p>
              </w:tc>
              <w:tc>
                <w:tcPr>
                  <w:tcW w:w="379"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395"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200</w:t>
                  </w:r>
                </w:p>
              </w:tc>
              <w:tc>
                <w:tcPr>
                  <w:tcW w:w="474" w:type="pct"/>
                  <w:tcMar>
                    <w:top w:w="0" w:type="dxa"/>
                    <w:left w:w="0" w:type="dxa"/>
                    <w:bottom w:w="0" w:type="dxa"/>
                    <w:right w:w="0" w:type="dxa"/>
                  </w:tcMar>
                  <w:vAlign w:val="center"/>
                </w:tcPr>
                <w:p>
                  <w:pPr>
                    <w:widowControl/>
                    <w:jc w:val="center"/>
                    <w:textAlignment w:val="center"/>
                    <w:rPr>
                      <w:color w:val="auto"/>
                      <w:sz w:val="21"/>
                      <w:szCs w:val="21"/>
                      <w:highlight w:val="none"/>
                    </w:rPr>
                  </w:pPr>
                  <w:r>
                    <w:rPr>
                      <w:color w:val="auto"/>
                      <w:kern w:val="0"/>
                      <w:sz w:val="21"/>
                      <w:szCs w:val="21"/>
                      <w:highlight w:val="none"/>
                      <w:lang w:bidi="ar"/>
                    </w:rPr>
                    <w:t>0.072</w:t>
                  </w:r>
                </w:p>
              </w:tc>
              <w:tc>
                <w:tcPr>
                  <w:tcW w:w="330" w:type="pct"/>
                  <w:vMerge w:val="continue"/>
                  <w:tcMar>
                    <w:top w:w="0" w:type="dxa"/>
                    <w:left w:w="0" w:type="dxa"/>
                    <w:bottom w:w="0" w:type="dxa"/>
                    <w:right w:w="0" w:type="dxa"/>
                  </w:tcMar>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1" w:type="pct"/>
                  <w:vMerge w:val="continue"/>
                  <w:tcMar>
                    <w:top w:w="0" w:type="dxa"/>
                    <w:left w:w="0" w:type="dxa"/>
                    <w:bottom w:w="0" w:type="dxa"/>
                    <w:right w:w="0" w:type="dxa"/>
                  </w:tcMar>
                  <w:vAlign w:val="center"/>
                </w:tcPr>
                <w:p>
                  <w:pPr>
                    <w:jc w:val="center"/>
                    <w:rPr>
                      <w:color w:val="auto"/>
                      <w:sz w:val="21"/>
                      <w:szCs w:val="21"/>
                      <w:highlight w:val="none"/>
                    </w:rPr>
                  </w:pPr>
                </w:p>
              </w:tc>
              <w:tc>
                <w:tcPr>
                  <w:tcW w:w="222" w:type="pct"/>
                  <w:vMerge w:val="continue"/>
                  <w:tcMar>
                    <w:top w:w="0" w:type="dxa"/>
                    <w:left w:w="0" w:type="dxa"/>
                    <w:bottom w:w="0" w:type="dxa"/>
                    <w:right w:w="0" w:type="dxa"/>
                  </w:tcMar>
                  <w:vAlign w:val="center"/>
                </w:tcPr>
                <w:p>
                  <w:pPr>
                    <w:jc w:val="center"/>
                    <w:rPr>
                      <w:color w:val="auto"/>
                      <w:sz w:val="21"/>
                      <w:szCs w:val="21"/>
                      <w:highlight w:val="none"/>
                    </w:rPr>
                  </w:pPr>
                </w:p>
              </w:tc>
              <w:tc>
                <w:tcPr>
                  <w:tcW w:w="50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NH</w:t>
                  </w:r>
                  <w:r>
                    <w:rPr>
                      <w:color w:val="auto"/>
                      <w:sz w:val="21"/>
                      <w:szCs w:val="21"/>
                      <w:highlight w:val="none"/>
                      <w:vertAlign w:val="subscript"/>
                    </w:rPr>
                    <w:t>3</w:t>
                  </w:r>
                  <w:r>
                    <w:rPr>
                      <w:color w:val="auto"/>
                      <w:sz w:val="21"/>
                      <w:szCs w:val="21"/>
                      <w:highlight w:val="none"/>
                    </w:rPr>
                    <w:t>-N</w:t>
                  </w:r>
                </w:p>
              </w:tc>
              <w:tc>
                <w:tcPr>
                  <w:tcW w:w="265" w:type="pct"/>
                  <w:vMerge w:val="continue"/>
                  <w:tcMar>
                    <w:top w:w="0" w:type="dxa"/>
                    <w:left w:w="0" w:type="dxa"/>
                    <w:bottom w:w="0" w:type="dxa"/>
                    <w:right w:w="0" w:type="dxa"/>
                  </w:tcMar>
                  <w:vAlign w:val="center"/>
                </w:tcPr>
                <w:p>
                  <w:pPr>
                    <w:widowControl/>
                    <w:jc w:val="center"/>
                    <w:rPr>
                      <w:color w:val="auto"/>
                      <w:kern w:val="0"/>
                      <w:sz w:val="21"/>
                      <w:szCs w:val="21"/>
                      <w:highlight w:val="none"/>
                    </w:rPr>
                  </w:pPr>
                </w:p>
              </w:tc>
              <w:tc>
                <w:tcPr>
                  <w:tcW w:w="406" w:type="pct"/>
                  <w:vMerge w:val="continue"/>
                  <w:tcMar>
                    <w:top w:w="0" w:type="dxa"/>
                    <w:left w:w="0" w:type="dxa"/>
                    <w:bottom w:w="0" w:type="dxa"/>
                    <w:right w:w="0" w:type="dxa"/>
                  </w:tcMar>
                  <w:vAlign w:val="center"/>
                </w:tcPr>
                <w:p>
                  <w:pPr>
                    <w:jc w:val="center"/>
                    <w:rPr>
                      <w:color w:val="auto"/>
                      <w:kern w:val="0"/>
                      <w:sz w:val="21"/>
                      <w:szCs w:val="21"/>
                      <w:highlight w:val="none"/>
                    </w:rPr>
                  </w:pPr>
                </w:p>
              </w:tc>
              <w:tc>
                <w:tcPr>
                  <w:tcW w:w="389"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35</w:t>
                  </w:r>
                </w:p>
              </w:tc>
              <w:tc>
                <w:tcPr>
                  <w:tcW w:w="554" w:type="pct"/>
                  <w:tcMar>
                    <w:top w:w="0" w:type="dxa"/>
                    <w:left w:w="0" w:type="dxa"/>
                    <w:bottom w:w="0" w:type="dxa"/>
                    <w:right w:w="0" w:type="dxa"/>
                  </w:tcMar>
                  <w:vAlign w:val="center"/>
                </w:tcPr>
                <w:p>
                  <w:pPr>
                    <w:widowControl/>
                    <w:jc w:val="center"/>
                    <w:textAlignment w:val="center"/>
                    <w:rPr>
                      <w:color w:val="auto"/>
                      <w:sz w:val="21"/>
                      <w:szCs w:val="21"/>
                      <w:highlight w:val="none"/>
                    </w:rPr>
                  </w:pPr>
                  <w:r>
                    <w:rPr>
                      <w:color w:val="auto"/>
                      <w:kern w:val="0"/>
                      <w:sz w:val="21"/>
                      <w:szCs w:val="21"/>
                      <w:highlight w:val="none"/>
                      <w:lang w:bidi="ar"/>
                    </w:rPr>
                    <w:t>0.0126</w:t>
                  </w:r>
                </w:p>
              </w:tc>
              <w:tc>
                <w:tcPr>
                  <w:tcW w:w="294" w:type="pct"/>
                  <w:vMerge w:val="continue"/>
                  <w:tcMar>
                    <w:top w:w="0" w:type="dxa"/>
                    <w:left w:w="0" w:type="dxa"/>
                    <w:bottom w:w="0" w:type="dxa"/>
                    <w:right w:w="0" w:type="dxa"/>
                  </w:tcMar>
                  <w:vAlign w:val="center"/>
                </w:tcPr>
                <w:p>
                  <w:pPr>
                    <w:jc w:val="center"/>
                    <w:rPr>
                      <w:color w:val="auto"/>
                      <w:sz w:val="21"/>
                      <w:szCs w:val="21"/>
                      <w:highlight w:val="none"/>
                    </w:rPr>
                  </w:pPr>
                </w:p>
              </w:tc>
              <w:tc>
                <w:tcPr>
                  <w:tcW w:w="257" w:type="pct"/>
                  <w:tcMar>
                    <w:top w:w="0" w:type="dxa"/>
                    <w:left w:w="0" w:type="dxa"/>
                    <w:bottom w:w="0" w:type="dxa"/>
                    <w:right w:w="0" w:type="dxa"/>
                  </w:tcMar>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w:t>
                  </w:r>
                </w:p>
              </w:tc>
              <w:tc>
                <w:tcPr>
                  <w:tcW w:w="300" w:type="pct"/>
                  <w:vMerge w:val="continue"/>
                  <w:tcMar>
                    <w:top w:w="0" w:type="dxa"/>
                    <w:left w:w="0" w:type="dxa"/>
                    <w:bottom w:w="0" w:type="dxa"/>
                    <w:right w:w="0" w:type="dxa"/>
                  </w:tcMar>
                  <w:vAlign w:val="center"/>
                </w:tcPr>
                <w:p>
                  <w:pPr>
                    <w:jc w:val="center"/>
                    <w:rPr>
                      <w:color w:val="auto"/>
                      <w:kern w:val="0"/>
                      <w:sz w:val="21"/>
                      <w:szCs w:val="21"/>
                      <w:highlight w:val="none"/>
                    </w:rPr>
                  </w:pPr>
                </w:p>
              </w:tc>
              <w:tc>
                <w:tcPr>
                  <w:tcW w:w="379"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395"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35</w:t>
                  </w:r>
                </w:p>
              </w:tc>
              <w:tc>
                <w:tcPr>
                  <w:tcW w:w="474" w:type="pct"/>
                  <w:tcMar>
                    <w:top w:w="0" w:type="dxa"/>
                    <w:left w:w="0" w:type="dxa"/>
                    <w:bottom w:w="0" w:type="dxa"/>
                    <w:right w:w="0" w:type="dxa"/>
                  </w:tcMar>
                  <w:vAlign w:val="center"/>
                </w:tcPr>
                <w:p>
                  <w:pPr>
                    <w:widowControl/>
                    <w:jc w:val="center"/>
                    <w:textAlignment w:val="center"/>
                    <w:rPr>
                      <w:color w:val="auto"/>
                      <w:sz w:val="21"/>
                      <w:szCs w:val="21"/>
                      <w:highlight w:val="none"/>
                    </w:rPr>
                  </w:pPr>
                  <w:r>
                    <w:rPr>
                      <w:color w:val="auto"/>
                      <w:kern w:val="0"/>
                      <w:sz w:val="21"/>
                      <w:szCs w:val="21"/>
                      <w:highlight w:val="none"/>
                      <w:lang w:bidi="ar"/>
                    </w:rPr>
                    <w:t>0.0126</w:t>
                  </w:r>
                </w:p>
              </w:tc>
              <w:tc>
                <w:tcPr>
                  <w:tcW w:w="330" w:type="pct"/>
                  <w:vMerge w:val="continue"/>
                  <w:tcMar>
                    <w:top w:w="0" w:type="dxa"/>
                    <w:left w:w="0" w:type="dxa"/>
                    <w:bottom w:w="0" w:type="dxa"/>
                    <w:right w:w="0" w:type="dxa"/>
                  </w:tcMar>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1" w:type="pct"/>
                  <w:vMerge w:val="continue"/>
                  <w:tcMar>
                    <w:top w:w="0" w:type="dxa"/>
                    <w:left w:w="0" w:type="dxa"/>
                    <w:bottom w:w="0" w:type="dxa"/>
                    <w:right w:w="0" w:type="dxa"/>
                  </w:tcMar>
                  <w:vAlign w:val="center"/>
                </w:tcPr>
                <w:p>
                  <w:pPr>
                    <w:jc w:val="center"/>
                    <w:rPr>
                      <w:color w:val="auto"/>
                      <w:sz w:val="21"/>
                      <w:szCs w:val="21"/>
                      <w:highlight w:val="none"/>
                    </w:rPr>
                  </w:pPr>
                </w:p>
              </w:tc>
              <w:tc>
                <w:tcPr>
                  <w:tcW w:w="222" w:type="pct"/>
                  <w:vMerge w:val="continue"/>
                  <w:tcMar>
                    <w:top w:w="0" w:type="dxa"/>
                    <w:left w:w="0" w:type="dxa"/>
                    <w:bottom w:w="0" w:type="dxa"/>
                    <w:right w:w="0" w:type="dxa"/>
                  </w:tcMar>
                  <w:vAlign w:val="center"/>
                </w:tcPr>
                <w:p>
                  <w:pPr>
                    <w:jc w:val="center"/>
                    <w:rPr>
                      <w:color w:val="auto"/>
                      <w:sz w:val="21"/>
                      <w:szCs w:val="21"/>
                      <w:highlight w:val="none"/>
                    </w:rPr>
                  </w:pPr>
                </w:p>
              </w:tc>
              <w:tc>
                <w:tcPr>
                  <w:tcW w:w="50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TP</w:t>
                  </w:r>
                </w:p>
              </w:tc>
              <w:tc>
                <w:tcPr>
                  <w:tcW w:w="265" w:type="pct"/>
                  <w:vMerge w:val="continue"/>
                  <w:tcMar>
                    <w:top w:w="0" w:type="dxa"/>
                    <w:left w:w="0" w:type="dxa"/>
                    <w:bottom w:w="0" w:type="dxa"/>
                    <w:right w:w="0" w:type="dxa"/>
                  </w:tcMar>
                  <w:vAlign w:val="center"/>
                </w:tcPr>
                <w:p>
                  <w:pPr>
                    <w:widowControl/>
                    <w:jc w:val="center"/>
                    <w:rPr>
                      <w:color w:val="auto"/>
                      <w:kern w:val="0"/>
                      <w:sz w:val="21"/>
                      <w:szCs w:val="21"/>
                      <w:highlight w:val="none"/>
                    </w:rPr>
                  </w:pPr>
                </w:p>
              </w:tc>
              <w:tc>
                <w:tcPr>
                  <w:tcW w:w="406" w:type="pct"/>
                  <w:vMerge w:val="continue"/>
                  <w:tcMar>
                    <w:top w:w="0" w:type="dxa"/>
                    <w:left w:w="0" w:type="dxa"/>
                    <w:bottom w:w="0" w:type="dxa"/>
                    <w:right w:w="0" w:type="dxa"/>
                  </w:tcMar>
                  <w:vAlign w:val="center"/>
                </w:tcPr>
                <w:p>
                  <w:pPr>
                    <w:jc w:val="center"/>
                    <w:rPr>
                      <w:color w:val="auto"/>
                      <w:kern w:val="0"/>
                      <w:sz w:val="21"/>
                      <w:szCs w:val="21"/>
                      <w:highlight w:val="none"/>
                    </w:rPr>
                  </w:pPr>
                </w:p>
              </w:tc>
              <w:tc>
                <w:tcPr>
                  <w:tcW w:w="389"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3</w:t>
                  </w:r>
                </w:p>
              </w:tc>
              <w:tc>
                <w:tcPr>
                  <w:tcW w:w="554" w:type="pct"/>
                  <w:tcMar>
                    <w:top w:w="0" w:type="dxa"/>
                    <w:left w:w="0" w:type="dxa"/>
                    <w:bottom w:w="0" w:type="dxa"/>
                    <w:right w:w="0" w:type="dxa"/>
                  </w:tcMar>
                  <w:vAlign w:val="center"/>
                </w:tcPr>
                <w:p>
                  <w:pPr>
                    <w:widowControl/>
                    <w:jc w:val="center"/>
                    <w:textAlignment w:val="center"/>
                    <w:rPr>
                      <w:color w:val="auto"/>
                      <w:sz w:val="21"/>
                      <w:szCs w:val="21"/>
                      <w:highlight w:val="none"/>
                    </w:rPr>
                  </w:pPr>
                  <w:r>
                    <w:rPr>
                      <w:color w:val="auto"/>
                      <w:kern w:val="0"/>
                      <w:sz w:val="21"/>
                      <w:szCs w:val="21"/>
                      <w:highlight w:val="none"/>
                      <w:lang w:bidi="ar"/>
                    </w:rPr>
                    <w:t>0.001</w:t>
                  </w:r>
                  <w:r>
                    <w:rPr>
                      <w:rFonts w:hint="eastAsia"/>
                      <w:color w:val="auto"/>
                      <w:kern w:val="0"/>
                      <w:sz w:val="21"/>
                      <w:szCs w:val="21"/>
                      <w:highlight w:val="none"/>
                      <w:lang w:bidi="ar"/>
                    </w:rPr>
                    <w:t>1</w:t>
                  </w:r>
                </w:p>
              </w:tc>
              <w:tc>
                <w:tcPr>
                  <w:tcW w:w="294" w:type="pct"/>
                  <w:vMerge w:val="continue"/>
                  <w:tcMar>
                    <w:top w:w="0" w:type="dxa"/>
                    <w:left w:w="0" w:type="dxa"/>
                    <w:bottom w:w="0" w:type="dxa"/>
                    <w:right w:w="0" w:type="dxa"/>
                  </w:tcMar>
                  <w:vAlign w:val="center"/>
                </w:tcPr>
                <w:p>
                  <w:pPr>
                    <w:jc w:val="center"/>
                    <w:rPr>
                      <w:color w:val="auto"/>
                      <w:sz w:val="21"/>
                      <w:szCs w:val="21"/>
                      <w:highlight w:val="none"/>
                    </w:rPr>
                  </w:pPr>
                </w:p>
              </w:tc>
              <w:tc>
                <w:tcPr>
                  <w:tcW w:w="257" w:type="pct"/>
                  <w:tcMar>
                    <w:top w:w="0" w:type="dxa"/>
                    <w:left w:w="0" w:type="dxa"/>
                    <w:bottom w:w="0" w:type="dxa"/>
                    <w:right w:w="0" w:type="dxa"/>
                  </w:tcMar>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w:t>
                  </w:r>
                </w:p>
              </w:tc>
              <w:tc>
                <w:tcPr>
                  <w:tcW w:w="300" w:type="pct"/>
                  <w:vMerge w:val="continue"/>
                  <w:tcMar>
                    <w:top w:w="0" w:type="dxa"/>
                    <w:left w:w="0" w:type="dxa"/>
                    <w:bottom w:w="0" w:type="dxa"/>
                    <w:right w:w="0" w:type="dxa"/>
                  </w:tcMar>
                  <w:vAlign w:val="center"/>
                </w:tcPr>
                <w:p>
                  <w:pPr>
                    <w:jc w:val="center"/>
                    <w:rPr>
                      <w:color w:val="auto"/>
                      <w:kern w:val="0"/>
                      <w:sz w:val="21"/>
                      <w:szCs w:val="21"/>
                      <w:highlight w:val="none"/>
                    </w:rPr>
                  </w:pPr>
                </w:p>
              </w:tc>
              <w:tc>
                <w:tcPr>
                  <w:tcW w:w="379"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395"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3</w:t>
                  </w:r>
                </w:p>
              </w:tc>
              <w:tc>
                <w:tcPr>
                  <w:tcW w:w="474" w:type="pct"/>
                  <w:tcMar>
                    <w:top w:w="0" w:type="dxa"/>
                    <w:left w:w="0" w:type="dxa"/>
                    <w:bottom w:w="0" w:type="dxa"/>
                    <w:right w:w="0" w:type="dxa"/>
                  </w:tcMar>
                  <w:vAlign w:val="center"/>
                </w:tcPr>
                <w:p>
                  <w:pPr>
                    <w:widowControl/>
                    <w:jc w:val="center"/>
                    <w:textAlignment w:val="center"/>
                    <w:rPr>
                      <w:color w:val="auto"/>
                      <w:sz w:val="21"/>
                      <w:szCs w:val="21"/>
                      <w:highlight w:val="none"/>
                    </w:rPr>
                  </w:pPr>
                  <w:r>
                    <w:rPr>
                      <w:color w:val="auto"/>
                      <w:kern w:val="0"/>
                      <w:sz w:val="21"/>
                      <w:szCs w:val="21"/>
                      <w:highlight w:val="none"/>
                      <w:lang w:bidi="ar"/>
                    </w:rPr>
                    <w:t>0.001</w:t>
                  </w:r>
                  <w:r>
                    <w:rPr>
                      <w:rFonts w:hint="eastAsia"/>
                      <w:color w:val="auto"/>
                      <w:kern w:val="0"/>
                      <w:sz w:val="21"/>
                      <w:szCs w:val="21"/>
                      <w:highlight w:val="none"/>
                      <w:lang w:bidi="ar"/>
                    </w:rPr>
                    <w:t>1</w:t>
                  </w:r>
                </w:p>
              </w:tc>
              <w:tc>
                <w:tcPr>
                  <w:tcW w:w="330" w:type="pct"/>
                  <w:vMerge w:val="continue"/>
                  <w:tcMar>
                    <w:top w:w="0" w:type="dxa"/>
                    <w:left w:w="0" w:type="dxa"/>
                    <w:bottom w:w="0" w:type="dxa"/>
                    <w:right w:w="0" w:type="dxa"/>
                  </w:tcMar>
                  <w:vAlign w:val="center"/>
                </w:tcPr>
                <w:p>
                  <w:pPr>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1" w:type="pct"/>
                  <w:vMerge w:val="continue"/>
                  <w:tcMar>
                    <w:top w:w="0" w:type="dxa"/>
                    <w:left w:w="0" w:type="dxa"/>
                    <w:bottom w:w="0" w:type="dxa"/>
                    <w:right w:w="0" w:type="dxa"/>
                  </w:tcMar>
                  <w:vAlign w:val="center"/>
                </w:tcPr>
                <w:p>
                  <w:pPr>
                    <w:jc w:val="center"/>
                    <w:rPr>
                      <w:color w:val="auto"/>
                      <w:sz w:val="21"/>
                      <w:szCs w:val="21"/>
                      <w:highlight w:val="none"/>
                    </w:rPr>
                  </w:pPr>
                </w:p>
              </w:tc>
              <w:tc>
                <w:tcPr>
                  <w:tcW w:w="222" w:type="pct"/>
                  <w:vMerge w:val="continue"/>
                  <w:tcMar>
                    <w:top w:w="0" w:type="dxa"/>
                    <w:left w:w="0" w:type="dxa"/>
                    <w:bottom w:w="0" w:type="dxa"/>
                    <w:right w:w="0" w:type="dxa"/>
                  </w:tcMar>
                  <w:vAlign w:val="center"/>
                </w:tcPr>
                <w:p>
                  <w:pPr>
                    <w:jc w:val="center"/>
                    <w:rPr>
                      <w:color w:val="auto"/>
                      <w:sz w:val="21"/>
                      <w:szCs w:val="21"/>
                      <w:highlight w:val="none"/>
                    </w:rPr>
                  </w:pPr>
                </w:p>
              </w:tc>
              <w:tc>
                <w:tcPr>
                  <w:tcW w:w="50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TN</w:t>
                  </w:r>
                </w:p>
              </w:tc>
              <w:tc>
                <w:tcPr>
                  <w:tcW w:w="265" w:type="pct"/>
                  <w:vMerge w:val="continue"/>
                  <w:tcMar>
                    <w:top w:w="0" w:type="dxa"/>
                    <w:left w:w="0" w:type="dxa"/>
                    <w:bottom w:w="0" w:type="dxa"/>
                    <w:right w:w="0" w:type="dxa"/>
                  </w:tcMar>
                  <w:vAlign w:val="center"/>
                </w:tcPr>
                <w:p>
                  <w:pPr>
                    <w:widowControl/>
                    <w:jc w:val="center"/>
                    <w:rPr>
                      <w:color w:val="auto"/>
                      <w:kern w:val="0"/>
                      <w:sz w:val="21"/>
                      <w:szCs w:val="21"/>
                      <w:highlight w:val="none"/>
                    </w:rPr>
                  </w:pPr>
                </w:p>
              </w:tc>
              <w:tc>
                <w:tcPr>
                  <w:tcW w:w="406" w:type="pct"/>
                  <w:vMerge w:val="continue"/>
                  <w:tcMar>
                    <w:top w:w="0" w:type="dxa"/>
                    <w:left w:w="0" w:type="dxa"/>
                    <w:bottom w:w="0" w:type="dxa"/>
                    <w:right w:w="0" w:type="dxa"/>
                  </w:tcMar>
                  <w:vAlign w:val="center"/>
                </w:tcPr>
                <w:p>
                  <w:pPr>
                    <w:jc w:val="center"/>
                    <w:rPr>
                      <w:color w:val="auto"/>
                      <w:kern w:val="0"/>
                      <w:sz w:val="21"/>
                      <w:szCs w:val="21"/>
                      <w:highlight w:val="none"/>
                    </w:rPr>
                  </w:pPr>
                </w:p>
              </w:tc>
              <w:tc>
                <w:tcPr>
                  <w:tcW w:w="389"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50</w:t>
                  </w:r>
                </w:p>
              </w:tc>
              <w:tc>
                <w:tcPr>
                  <w:tcW w:w="554" w:type="pct"/>
                  <w:tcMar>
                    <w:top w:w="0" w:type="dxa"/>
                    <w:left w:w="0" w:type="dxa"/>
                    <w:bottom w:w="0" w:type="dxa"/>
                    <w:right w:w="0" w:type="dxa"/>
                  </w:tcMar>
                  <w:vAlign w:val="center"/>
                </w:tcPr>
                <w:p>
                  <w:pPr>
                    <w:widowControl/>
                    <w:jc w:val="center"/>
                    <w:textAlignment w:val="center"/>
                    <w:rPr>
                      <w:color w:val="auto"/>
                      <w:sz w:val="21"/>
                      <w:szCs w:val="21"/>
                      <w:highlight w:val="none"/>
                    </w:rPr>
                  </w:pPr>
                  <w:r>
                    <w:rPr>
                      <w:color w:val="auto"/>
                      <w:kern w:val="0"/>
                      <w:sz w:val="21"/>
                      <w:szCs w:val="21"/>
                      <w:highlight w:val="none"/>
                      <w:lang w:bidi="ar"/>
                    </w:rPr>
                    <w:t>0.018</w:t>
                  </w:r>
                </w:p>
              </w:tc>
              <w:tc>
                <w:tcPr>
                  <w:tcW w:w="294" w:type="pct"/>
                  <w:vMerge w:val="continue"/>
                  <w:tcMar>
                    <w:top w:w="0" w:type="dxa"/>
                    <w:left w:w="0" w:type="dxa"/>
                    <w:bottom w:w="0" w:type="dxa"/>
                    <w:right w:w="0" w:type="dxa"/>
                  </w:tcMar>
                  <w:vAlign w:val="center"/>
                </w:tcPr>
                <w:p>
                  <w:pPr>
                    <w:jc w:val="center"/>
                    <w:rPr>
                      <w:color w:val="auto"/>
                      <w:sz w:val="21"/>
                      <w:szCs w:val="21"/>
                      <w:highlight w:val="none"/>
                    </w:rPr>
                  </w:pPr>
                </w:p>
              </w:tc>
              <w:tc>
                <w:tcPr>
                  <w:tcW w:w="257" w:type="pct"/>
                  <w:tcMar>
                    <w:top w:w="0" w:type="dxa"/>
                    <w:left w:w="0" w:type="dxa"/>
                    <w:bottom w:w="0" w:type="dxa"/>
                    <w:right w:w="0" w:type="dxa"/>
                  </w:tcMar>
                  <w:vAlign w:val="center"/>
                </w:tcPr>
                <w:p>
                  <w:pPr>
                    <w:widowControl/>
                    <w:jc w:val="center"/>
                    <w:textAlignment w:val="center"/>
                    <w:rPr>
                      <w:color w:val="auto"/>
                      <w:kern w:val="0"/>
                      <w:sz w:val="21"/>
                      <w:szCs w:val="21"/>
                      <w:highlight w:val="none"/>
                      <w:lang w:bidi="ar"/>
                    </w:rPr>
                  </w:pPr>
                  <w:r>
                    <w:rPr>
                      <w:color w:val="auto"/>
                      <w:kern w:val="0"/>
                      <w:sz w:val="21"/>
                      <w:szCs w:val="21"/>
                      <w:highlight w:val="none"/>
                      <w:lang w:bidi="ar"/>
                    </w:rPr>
                    <w:t>/</w:t>
                  </w:r>
                </w:p>
              </w:tc>
              <w:tc>
                <w:tcPr>
                  <w:tcW w:w="300" w:type="pct"/>
                  <w:vMerge w:val="continue"/>
                  <w:tcMar>
                    <w:top w:w="0" w:type="dxa"/>
                    <w:left w:w="0" w:type="dxa"/>
                    <w:bottom w:w="0" w:type="dxa"/>
                    <w:right w:w="0" w:type="dxa"/>
                  </w:tcMar>
                  <w:vAlign w:val="center"/>
                </w:tcPr>
                <w:p>
                  <w:pPr>
                    <w:jc w:val="center"/>
                    <w:rPr>
                      <w:color w:val="auto"/>
                      <w:kern w:val="0"/>
                      <w:sz w:val="21"/>
                      <w:szCs w:val="21"/>
                      <w:highlight w:val="none"/>
                    </w:rPr>
                  </w:pPr>
                </w:p>
              </w:tc>
              <w:tc>
                <w:tcPr>
                  <w:tcW w:w="379"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395"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50</w:t>
                  </w:r>
                </w:p>
              </w:tc>
              <w:tc>
                <w:tcPr>
                  <w:tcW w:w="474" w:type="pct"/>
                  <w:tcMar>
                    <w:top w:w="0" w:type="dxa"/>
                    <w:left w:w="0" w:type="dxa"/>
                    <w:bottom w:w="0" w:type="dxa"/>
                    <w:right w:w="0" w:type="dxa"/>
                  </w:tcMar>
                  <w:vAlign w:val="center"/>
                </w:tcPr>
                <w:p>
                  <w:pPr>
                    <w:widowControl/>
                    <w:jc w:val="center"/>
                    <w:textAlignment w:val="center"/>
                    <w:rPr>
                      <w:color w:val="auto"/>
                      <w:sz w:val="21"/>
                      <w:szCs w:val="21"/>
                      <w:highlight w:val="none"/>
                    </w:rPr>
                  </w:pPr>
                  <w:r>
                    <w:rPr>
                      <w:color w:val="auto"/>
                      <w:kern w:val="0"/>
                      <w:sz w:val="21"/>
                      <w:szCs w:val="21"/>
                      <w:highlight w:val="none"/>
                      <w:lang w:bidi="ar"/>
                    </w:rPr>
                    <w:t>0.018</w:t>
                  </w:r>
                </w:p>
              </w:tc>
              <w:tc>
                <w:tcPr>
                  <w:tcW w:w="330" w:type="pct"/>
                  <w:vMerge w:val="continue"/>
                  <w:tcMar>
                    <w:top w:w="0" w:type="dxa"/>
                    <w:left w:w="0" w:type="dxa"/>
                    <w:bottom w:w="0" w:type="dxa"/>
                    <w:right w:w="0" w:type="dxa"/>
                  </w:tcMar>
                  <w:vAlign w:val="center"/>
                </w:tcPr>
                <w:p>
                  <w:pPr>
                    <w:jc w:val="center"/>
                    <w:rPr>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before="157" w:beforeLines="50"/>
              <w:jc w:val="center"/>
              <w:textAlignment w:val="auto"/>
              <w:rPr>
                <w:b/>
                <w:bCs/>
                <w:color w:val="auto"/>
                <w:sz w:val="21"/>
                <w:szCs w:val="21"/>
                <w:highlight w:val="none"/>
              </w:rPr>
            </w:pPr>
            <w:r>
              <w:rPr>
                <w:b/>
                <w:bCs/>
                <w:color w:val="auto"/>
                <w:sz w:val="21"/>
                <w:szCs w:val="21"/>
                <w:highlight w:val="none"/>
              </w:rPr>
              <w:t>表4-1</w:t>
            </w:r>
            <w:r>
              <w:rPr>
                <w:rFonts w:hint="eastAsia"/>
                <w:b/>
                <w:bCs/>
                <w:color w:val="auto"/>
                <w:sz w:val="21"/>
                <w:szCs w:val="21"/>
                <w:highlight w:val="none"/>
                <w:lang w:val="en-US" w:eastAsia="zh-CN"/>
              </w:rPr>
              <w:t>5</w:t>
            </w:r>
            <w:r>
              <w:rPr>
                <w:b/>
                <w:bCs/>
                <w:color w:val="auto"/>
                <w:sz w:val="21"/>
                <w:szCs w:val="21"/>
                <w:highlight w:val="none"/>
              </w:rPr>
              <w:t xml:space="preserve"> 废水类别、污染物及污染治理设施信息表</w:t>
            </w:r>
          </w:p>
          <w:tbl>
            <w:tblPr>
              <w:tblStyle w:val="25"/>
              <w:tblW w:w="4994"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29"/>
              <w:gridCol w:w="697"/>
              <w:gridCol w:w="887"/>
              <w:gridCol w:w="860"/>
              <w:gridCol w:w="749"/>
              <w:gridCol w:w="702"/>
              <w:gridCol w:w="702"/>
              <w:gridCol w:w="722"/>
              <w:gridCol w:w="890"/>
              <w:gridCol w:w="911"/>
              <w:gridCol w:w="92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53" w:type="pct"/>
                  <w:vMerge w:val="restar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序号</w:t>
                  </w:r>
                </w:p>
              </w:tc>
              <w:tc>
                <w:tcPr>
                  <w:tcW w:w="411" w:type="pct"/>
                  <w:vMerge w:val="restar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废水类别</w:t>
                  </w:r>
                </w:p>
              </w:tc>
              <w:tc>
                <w:tcPr>
                  <w:tcW w:w="523" w:type="pct"/>
                  <w:vMerge w:val="restar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污染物种类</w:t>
                  </w:r>
                </w:p>
              </w:tc>
              <w:tc>
                <w:tcPr>
                  <w:tcW w:w="507" w:type="pct"/>
                  <w:vMerge w:val="restar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排放去向</w:t>
                  </w:r>
                </w:p>
              </w:tc>
              <w:tc>
                <w:tcPr>
                  <w:tcW w:w="442" w:type="pct"/>
                  <w:vMerge w:val="restar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排放规律</w:t>
                  </w:r>
                </w:p>
              </w:tc>
              <w:tc>
                <w:tcPr>
                  <w:tcW w:w="1254" w:type="pct"/>
                  <w:gridSpan w:val="3"/>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污染治理设施</w:t>
                  </w:r>
                </w:p>
              </w:tc>
              <w:tc>
                <w:tcPr>
                  <w:tcW w:w="525" w:type="pct"/>
                  <w:vMerge w:val="restar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排放口编号</w:t>
                  </w:r>
                </w:p>
              </w:tc>
              <w:tc>
                <w:tcPr>
                  <w:tcW w:w="537" w:type="pct"/>
                  <w:vMerge w:val="restar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排放口设置是否符合要求</w:t>
                  </w:r>
                </w:p>
              </w:tc>
              <w:tc>
                <w:tcPr>
                  <w:tcW w:w="544" w:type="pct"/>
                  <w:vMerge w:val="restar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排放口类型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53"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411"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523"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507"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442"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414" w:type="pc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污染治理设施编号</w:t>
                  </w:r>
                </w:p>
              </w:tc>
              <w:tc>
                <w:tcPr>
                  <w:tcW w:w="414" w:type="pc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污染治理设施名称</w:t>
                  </w:r>
                </w:p>
              </w:tc>
              <w:tc>
                <w:tcPr>
                  <w:tcW w:w="424" w:type="pct"/>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污染治理设施工艺</w:t>
                  </w:r>
                </w:p>
              </w:tc>
              <w:tc>
                <w:tcPr>
                  <w:tcW w:w="525" w:type="pct"/>
                  <w:vMerge w:val="continue"/>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p>
              </w:tc>
              <w:tc>
                <w:tcPr>
                  <w:tcW w:w="537"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544" w:type="pct"/>
                  <w:vMerge w:val="continue"/>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53"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1</w:t>
                  </w:r>
                </w:p>
              </w:tc>
              <w:tc>
                <w:tcPr>
                  <w:tcW w:w="411"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rFonts w:hint="eastAsia"/>
                      <w:color w:val="auto"/>
                      <w:sz w:val="21"/>
                      <w:szCs w:val="21"/>
                      <w:highlight w:val="none"/>
                    </w:rPr>
                    <w:t>生活污水</w:t>
                  </w:r>
                </w:p>
              </w:tc>
              <w:tc>
                <w:tcPr>
                  <w:tcW w:w="523"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COD、SS、氨氮、TP、TN</w:t>
                  </w:r>
                </w:p>
              </w:tc>
              <w:tc>
                <w:tcPr>
                  <w:tcW w:w="50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排放至</w:t>
                  </w:r>
                  <w:r>
                    <w:rPr>
                      <w:rFonts w:hint="eastAsia" w:ascii="Times New Roman" w:hAnsi="Times New Roman" w:eastAsia="宋体" w:cs="Times New Roman"/>
                      <w:color w:val="auto"/>
                      <w:kern w:val="2"/>
                      <w:sz w:val="21"/>
                      <w:szCs w:val="21"/>
                      <w:highlight w:val="none"/>
                      <w:lang w:val="zh-CN" w:eastAsia="zh-CN"/>
                    </w:rPr>
                    <w:t>常州金坛区第二污水处理有限公司</w:t>
                  </w:r>
                </w:p>
              </w:tc>
              <w:tc>
                <w:tcPr>
                  <w:tcW w:w="442"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间断排放，流量不稳定</w:t>
                  </w:r>
                </w:p>
              </w:tc>
              <w:tc>
                <w:tcPr>
                  <w:tcW w:w="414"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w:t>
                  </w:r>
                </w:p>
              </w:tc>
              <w:tc>
                <w:tcPr>
                  <w:tcW w:w="414"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w:t>
                  </w:r>
                </w:p>
              </w:tc>
              <w:tc>
                <w:tcPr>
                  <w:tcW w:w="424"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w:t>
                  </w:r>
                </w:p>
              </w:tc>
              <w:tc>
                <w:tcPr>
                  <w:tcW w:w="525"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DW001</w:t>
                  </w:r>
                </w:p>
              </w:tc>
              <w:tc>
                <w:tcPr>
                  <w:tcW w:w="53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是√</w:t>
                  </w:r>
                </w:p>
                <w:p>
                  <w:pPr>
                    <w:spacing w:before="48" w:beforeLines="20" w:after="48" w:afterLines="20"/>
                    <w:jc w:val="center"/>
                    <w:rPr>
                      <w:color w:val="auto"/>
                      <w:sz w:val="21"/>
                      <w:szCs w:val="21"/>
                      <w:highlight w:val="none"/>
                    </w:rPr>
                  </w:pPr>
                  <w:r>
                    <w:rPr>
                      <w:color w:val="auto"/>
                      <w:sz w:val="21"/>
                      <w:szCs w:val="21"/>
                      <w:highlight w:val="none"/>
                    </w:rPr>
                    <w:t>否□</w:t>
                  </w:r>
                </w:p>
              </w:tc>
              <w:tc>
                <w:tcPr>
                  <w:tcW w:w="544"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企业总排口</w:t>
                  </w:r>
                </w:p>
              </w:tc>
            </w:tr>
          </w:tbl>
          <w:p>
            <w:pPr>
              <w:pStyle w:val="58"/>
              <w:keepNext w:val="0"/>
              <w:keepLines w:val="0"/>
              <w:pageBreakBefore w:val="0"/>
              <w:widowControl w:val="0"/>
              <w:kinsoku/>
              <w:wordWrap/>
              <w:overflowPunct/>
              <w:topLinePunct w:val="0"/>
              <w:autoSpaceDE/>
              <w:autoSpaceDN/>
              <w:bidi w:val="0"/>
              <w:adjustRightInd/>
              <w:snapToGrid/>
              <w:spacing w:before="157" w:beforeLines="50" w:line="360" w:lineRule="auto"/>
              <w:ind w:firstLine="482"/>
              <w:jc w:val="both"/>
              <w:textAlignment w:val="auto"/>
              <w:rPr>
                <w:b/>
                <w:bCs/>
                <w:color w:val="auto"/>
                <w:kern w:val="2"/>
                <w:sz w:val="21"/>
                <w:szCs w:val="21"/>
                <w:highlight w:val="none"/>
              </w:rPr>
            </w:pPr>
            <w:r>
              <w:rPr>
                <w:b/>
                <w:bCs/>
                <w:color w:val="auto"/>
                <w:kern w:val="2"/>
                <w:sz w:val="21"/>
                <w:szCs w:val="21"/>
                <w:highlight w:val="none"/>
              </w:rPr>
              <w:t>2、排放口基本情况</w:t>
            </w:r>
          </w:p>
          <w:p>
            <w:pPr>
              <w:pStyle w:val="58"/>
              <w:spacing w:line="360" w:lineRule="auto"/>
              <w:jc w:val="both"/>
              <w:rPr>
                <w:color w:val="auto"/>
                <w:kern w:val="2"/>
                <w:sz w:val="21"/>
                <w:szCs w:val="21"/>
                <w:highlight w:val="none"/>
              </w:rPr>
            </w:pPr>
            <w:r>
              <w:rPr>
                <w:color w:val="auto"/>
                <w:kern w:val="2"/>
                <w:sz w:val="21"/>
                <w:szCs w:val="21"/>
                <w:highlight w:val="none"/>
              </w:rPr>
              <w:t>本项目排污口基本情况见下表：</w:t>
            </w:r>
          </w:p>
          <w:p>
            <w:pPr>
              <w:pStyle w:val="58"/>
              <w:spacing w:line="240" w:lineRule="auto"/>
              <w:ind w:firstLine="0" w:firstLineChars="0"/>
              <w:jc w:val="center"/>
              <w:rPr>
                <w:b/>
                <w:bCs/>
                <w:color w:val="auto"/>
                <w:kern w:val="2"/>
                <w:sz w:val="21"/>
                <w:szCs w:val="21"/>
                <w:highlight w:val="none"/>
              </w:rPr>
            </w:pPr>
            <w:r>
              <w:rPr>
                <w:b/>
                <w:bCs/>
                <w:color w:val="auto"/>
                <w:kern w:val="2"/>
                <w:sz w:val="21"/>
                <w:szCs w:val="21"/>
                <w:highlight w:val="none"/>
              </w:rPr>
              <w:t>表4-1</w:t>
            </w:r>
            <w:r>
              <w:rPr>
                <w:rFonts w:hint="eastAsia"/>
                <w:b/>
                <w:bCs/>
                <w:color w:val="auto"/>
                <w:kern w:val="2"/>
                <w:sz w:val="21"/>
                <w:szCs w:val="21"/>
                <w:highlight w:val="none"/>
                <w:lang w:val="en-US" w:eastAsia="zh-CN"/>
              </w:rPr>
              <w:t>6</w:t>
            </w:r>
            <w:r>
              <w:rPr>
                <w:b/>
                <w:bCs/>
                <w:color w:val="auto"/>
                <w:kern w:val="2"/>
                <w:sz w:val="21"/>
                <w:szCs w:val="21"/>
                <w:highlight w:val="none"/>
              </w:rPr>
              <w:t>本项目废水排放执行标准详见下表：</w:t>
            </w:r>
          </w:p>
          <w:tbl>
            <w:tblPr>
              <w:tblStyle w:val="25"/>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845"/>
              <w:gridCol w:w="1449"/>
              <w:gridCol w:w="1466"/>
              <w:gridCol w:w="2051"/>
              <w:gridCol w:w="267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8" w:type="pct"/>
                  <w:vMerge w:val="restart"/>
                  <w:tcBorders>
                    <w:tl2br w:val="nil"/>
                    <w:tr2bl w:val="nil"/>
                  </w:tcBorders>
                  <w:vAlign w:val="center"/>
                </w:tcPr>
                <w:p>
                  <w:pPr>
                    <w:jc w:val="center"/>
                    <w:rPr>
                      <w:b/>
                      <w:bCs/>
                      <w:color w:val="auto"/>
                      <w:sz w:val="21"/>
                      <w:szCs w:val="21"/>
                      <w:highlight w:val="none"/>
                    </w:rPr>
                  </w:pPr>
                  <w:r>
                    <w:rPr>
                      <w:b/>
                      <w:bCs/>
                      <w:color w:val="auto"/>
                      <w:sz w:val="21"/>
                      <w:szCs w:val="21"/>
                      <w:highlight w:val="none"/>
                    </w:rPr>
                    <w:t>序号</w:t>
                  </w:r>
                </w:p>
              </w:tc>
              <w:tc>
                <w:tcPr>
                  <w:tcW w:w="854" w:type="pct"/>
                  <w:vMerge w:val="restart"/>
                  <w:tcBorders>
                    <w:tl2br w:val="nil"/>
                    <w:tr2bl w:val="nil"/>
                  </w:tcBorders>
                  <w:vAlign w:val="center"/>
                </w:tcPr>
                <w:p>
                  <w:pPr>
                    <w:jc w:val="center"/>
                    <w:rPr>
                      <w:b/>
                      <w:bCs/>
                      <w:color w:val="auto"/>
                      <w:sz w:val="21"/>
                      <w:szCs w:val="21"/>
                      <w:highlight w:val="none"/>
                    </w:rPr>
                  </w:pPr>
                  <w:r>
                    <w:rPr>
                      <w:b/>
                      <w:bCs/>
                      <w:color w:val="auto"/>
                      <w:sz w:val="21"/>
                      <w:szCs w:val="21"/>
                      <w:highlight w:val="none"/>
                    </w:rPr>
                    <w:t>排放口编号</w:t>
                  </w:r>
                </w:p>
              </w:tc>
              <w:tc>
                <w:tcPr>
                  <w:tcW w:w="864" w:type="pct"/>
                  <w:vMerge w:val="restart"/>
                  <w:tcBorders>
                    <w:tl2br w:val="nil"/>
                    <w:tr2bl w:val="nil"/>
                  </w:tcBorders>
                  <w:vAlign w:val="center"/>
                </w:tcPr>
                <w:p>
                  <w:pPr>
                    <w:jc w:val="center"/>
                    <w:rPr>
                      <w:b/>
                      <w:bCs/>
                      <w:color w:val="auto"/>
                      <w:sz w:val="21"/>
                      <w:szCs w:val="21"/>
                      <w:highlight w:val="none"/>
                    </w:rPr>
                  </w:pPr>
                  <w:r>
                    <w:rPr>
                      <w:b/>
                      <w:bCs/>
                      <w:color w:val="auto"/>
                      <w:sz w:val="21"/>
                      <w:szCs w:val="21"/>
                      <w:highlight w:val="none"/>
                    </w:rPr>
                    <w:t>污染物种类</w:t>
                  </w:r>
                </w:p>
              </w:tc>
              <w:tc>
                <w:tcPr>
                  <w:tcW w:w="2782" w:type="pct"/>
                  <w:gridSpan w:val="2"/>
                  <w:tcBorders>
                    <w:tl2br w:val="nil"/>
                    <w:tr2bl w:val="nil"/>
                  </w:tcBorders>
                  <w:vAlign w:val="center"/>
                </w:tcPr>
                <w:p>
                  <w:pPr>
                    <w:jc w:val="center"/>
                    <w:rPr>
                      <w:b/>
                      <w:bCs/>
                      <w:color w:val="auto"/>
                      <w:sz w:val="21"/>
                      <w:szCs w:val="21"/>
                      <w:highlight w:val="none"/>
                    </w:rPr>
                  </w:pPr>
                  <w:r>
                    <w:rPr>
                      <w:b/>
                      <w:bCs/>
                      <w:color w:val="auto"/>
                      <w:sz w:val="21"/>
                      <w:szCs w:val="21"/>
                      <w:highlight w:val="none"/>
                    </w:rPr>
                    <w:t>国家或地方污染物排放标准及其他按规定商定的排放协议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8" w:type="pct"/>
                  <w:vMerge w:val="continue"/>
                  <w:tcBorders>
                    <w:tl2br w:val="nil"/>
                    <w:tr2bl w:val="nil"/>
                  </w:tcBorders>
                  <w:vAlign w:val="center"/>
                </w:tcPr>
                <w:p>
                  <w:pPr>
                    <w:jc w:val="center"/>
                    <w:rPr>
                      <w:b/>
                      <w:bCs/>
                      <w:color w:val="auto"/>
                      <w:sz w:val="21"/>
                      <w:szCs w:val="21"/>
                      <w:highlight w:val="none"/>
                    </w:rPr>
                  </w:pPr>
                </w:p>
              </w:tc>
              <w:tc>
                <w:tcPr>
                  <w:tcW w:w="854" w:type="pct"/>
                  <w:vMerge w:val="continue"/>
                  <w:tcBorders>
                    <w:tl2br w:val="nil"/>
                    <w:tr2bl w:val="nil"/>
                  </w:tcBorders>
                  <w:vAlign w:val="center"/>
                </w:tcPr>
                <w:p>
                  <w:pPr>
                    <w:jc w:val="center"/>
                    <w:rPr>
                      <w:b/>
                      <w:bCs/>
                      <w:color w:val="auto"/>
                      <w:sz w:val="21"/>
                      <w:szCs w:val="21"/>
                      <w:highlight w:val="none"/>
                    </w:rPr>
                  </w:pPr>
                </w:p>
              </w:tc>
              <w:tc>
                <w:tcPr>
                  <w:tcW w:w="864" w:type="pct"/>
                  <w:vMerge w:val="continue"/>
                  <w:tcBorders>
                    <w:tl2br w:val="nil"/>
                    <w:tr2bl w:val="nil"/>
                  </w:tcBorders>
                  <w:vAlign w:val="center"/>
                </w:tcPr>
                <w:p>
                  <w:pPr>
                    <w:jc w:val="center"/>
                    <w:rPr>
                      <w:b/>
                      <w:bCs/>
                      <w:color w:val="auto"/>
                      <w:sz w:val="21"/>
                      <w:szCs w:val="21"/>
                      <w:highlight w:val="none"/>
                    </w:rPr>
                  </w:pPr>
                </w:p>
              </w:tc>
              <w:tc>
                <w:tcPr>
                  <w:tcW w:w="1209" w:type="pct"/>
                  <w:tcBorders>
                    <w:tl2br w:val="nil"/>
                    <w:tr2bl w:val="nil"/>
                  </w:tcBorders>
                  <w:vAlign w:val="center"/>
                </w:tcPr>
                <w:p>
                  <w:pPr>
                    <w:jc w:val="center"/>
                    <w:rPr>
                      <w:b/>
                      <w:bCs/>
                      <w:color w:val="auto"/>
                      <w:sz w:val="21"/>
                      <w:szCs w:val="21"/>
                      <w:highlight w:val="none"/>
                    </w:rPr>
                  </w:pPr>
                  <w:r>
                    <w:rPr>
                      <w:b/>
                      <w:bCs/>
                      <w:color w:val="auto"/>
                      <w:sz w:val="21"/>
                      <w:szCs w:val="21"/>
                      <w:highlight w:val="none"/>
                    </w:rPr>
                    <w:t>名称</w:t>
                  </w:r>
                </w:p>
              </w:tc>
              <w:tc>
                <w:tcPr>
                  <w:tcW w:w="1573" w:type="pct"/>
                  <w:tcBorders>
                    <w:tl2br w:val="nil"/>
                    <w:tr2bl w:val="nil"/>
                  </w:tcBorders>
                  <w:vAlign w:val="center"/>
                </w:tcPr>
                <w:p>
                  <w:pPr>
                    <w:jc w:val="center"/>
                    <w:rPr>
                      <w:b/>
                      <w:bCs/>
                      <w:color w:val="auto"/>
                      <w:sz w:val="21"/>
                      <w:szCs w:val="21"/>
                      <w:highlight w:val="none"/>
                    </w:rPr>
                  </w:pPr>
                  <w:r>
                    <w:rPr>
                      <w:b/>
                      <w:bCs/>
                      <w:color w:val="auto"/>
                      <w:sz w:val="21"/>
                      <w:szCs w:val="21"/>
                      <w:highlight w:val="none"/>
                    </w:rPr>
                    <w:t>浓度限值mg/L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8" w:type="pct"/>
                  <w:tcBorders>
                    <w:tl2br w:val="nil"/>
                    <w:tr2bl w:val="nil"/>
                  </w:tcBorders>
                  <w:vAlign w:val="center"/>
                </w:tcPr>
                <w:p>
                  <w:pPr>
                    <w:jc w:val="center"/>
                    <w:rPr>
                      <w:color w:val="auto"/>
                      <w:sz w:val="21"/>
                      <w:szCs w:val="21"/>
                      <w:highlight w:val="none"/>
                    </w:rPr>
                  </w:pPr>
                  <w:r>
                    <w:rPr>
                      <w:color w:val="auto"/>
                      <w:sz w:val="21"/>
                      <w:szCs w:val="21"/>
                      <w:highlight w:val="none"/>
                    </w:rPr>
                    <w:t>1</w:t>
                  </w:r>
                </w:p>
              </w:tc>
              <w:tc>
                <w:tcPr>
                  <w:tcW w:w="854" w:type="pct"/>
                  <w:vMerge w:val="restart"/>
                  <w:tcBorders>
                    <w:tl2br w:val="nil"/>
                    <w:tr2bl w:val="nil"/>
                  </w:tcBorders>
                  <w:vAlign w:val="center"/>
                </w:tcPr>
                <w:p>
                  <w:pPr>
                    <w:jc w:val="center"/>
                    <w:rPr>
                      <w:color w:val="auto"/>
                      <w:sz w:val="21"/>
                      <w:szCs w:val="21"/>
                      <w:highlight w:val="none"/>
                    </w:rPr>
                  </w:pPr>
                  <w:r>
                    <w:rPr>
                      <w:color w:val="auto"/>
                      <w:sz w:val="21"/>
                      <w:szCs w:val="21"/>
                      <w:highlight w:val="none"/>
                    </w:rPr>
                    <w:t>DW001</w:t>
                  </w:r>
                </w:p>
              </w:tc>
              <w:tc>
                <w:tcPr>
                  <w:tcW w:w="864" w:type="pct"/>
                  <w:tcBorders>
                    <w:tl2br w:val="nil"/>
                    <w:tr2bl w:val="nil"/>
                  </w:tcBorders>
                  <w:vAlign w:val="center"/>
                </w:tcPr>
                <w:p>
                  <w:pPr>
                    <w:spacing w:before="48" w:beforeLines="20" w:after="48" w:afterLines="20"/>
                    <w:jc w:val="center"/>
                    <w:rPr>
                      <w:color w:val="auto"/>
                      <w:sz w:val="21"/>
                      <w:szCs w:val="21"/>
                      <w:highlight w:val="none"/>
                    </w:rPr>
                  </w:pPr>
                  <w:r>
                    <w:rPr>
                      <w:color w:val="auto"/>
                      <w:sz w:val="21"/>
                      <w:szCs w:val="21"/>
                      <w:highlight w:val="none"/>
                    </w:rPr>
                    <w:t>COD</w:t>
                  </w:r>
                </w:p>
              </w:tc>
              <w:tc>
                <w:tcPr>
                  <w:tcW w:w="1209" w:type="pct"/>
                  <w:vMerge w:val="restart"/>
                  <w:tcBorders>
                    <w:tl2br w:val="nil"/>
                    <w:tr2bl w:val="nil"/>
                  </w:tcBorders>
                  <w:vAlign w:val="center"/>
                </w:tcPr>
                <w:p>
                  <w:pPr>
                    <w:jc w:val="center"/>
                    <w:rPr>
                      <w:color w:val="auto"/>
                      <w:sz w:val="21"/>
                      <w:szCs w:val="21"/>
                      <w:highlight w:val="none"/>
                    </w:rPr>
                  </w:pP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接管要求</w:t>
                  </w:r>
                </w:p>
              </w:tc>
              <w:tc>
                <w:tcPr>
                  <w:tcW w:w="1573" w:type="pct"/>
                  <w:tcBorders>
                    <w:tl2br w:val="nil"/>
                    <w:tr2bl w:val="nil"/>
                  </w:tcBorders>
                  <w:vAlign w:val="center"/>
                </w:tcPr>
                <w:p>
                  <w:pPr>
                    <w:jc w:val="center"/>
                    <w:rPr>
                      <w:color w:val="auto"/>
                      <w:sz w:val="21"/>
                      <w:szCs w:val="21"/>
                      <w:highlight w:val="none"/>
                    </w:rPr>
                  </w:pPr>
                  <w:r>
                    <w:rPr>
                      <w:color w:val="auto"/>
                      <w:sz w:val="21"/>
                      <w:szCs w:val="21"/>
                      <w:highlight w:val="none"/>
                    </w:rPr>
                    <w:t>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8" w:type="pct"/>
                  <w:tcBorders>
                    <w:tl2br w:val="nil"/>
                    <w:tr2bl w:val="nil"/>
                  </w:tcBorders>
                  <w:vAlign w:val="center"/>
                </w:tcPr>
                <w:p>
                  <w:pPr>
                    <w:jc w:val="center"/>
                    <w:rPr>
                      <w:color w:val="auto"/>
                      <w:sz w:val="21"/>
                      <w:szCs w:val="21"/>
                      <w:highlight w:val="none"/>
                    </w:rPr>
                  </w:pPr>
                  <w:r>
                    <w:rPr>
                      <w:color w:val="auto"/>
                      <w:sz w:val="21"/>
                      <w:szCs w:val="21"/>
                      <w:highlight w:val="none"/>
                    </w:rPr>
                    <w:t>2</w:t>
                  </w:r>
                </w:p>
              </w:tc>
              <w:tc>
                <w:tcPr>
                  <w:tcW w:w="854" w:type="pct"/>
                  <w:vMerge w:val="continue"/>
                  <w:tcBorders>
                    <w:tl2br w:val="nil"/>
                    <w:tr2bl w:val="nil"/>
                  </w:tcBorders>
                  <w:vAlign w:val="center"/>
                </w:tcPr>
                <w:p>
                  <w:pPr>
                    <w:jc w:val="center"/>
                    <w:rPr>
                      <w:color w:val="auto"/>
                      <w:sz w:val="21"/>
                      <w:szCs w:val="21"/>
                      <w:highlight w:val="none"/>
                    </w:rPr>
                  </w:pPr>
                </w:p>
              </w:tc>
              <w:tc>
                <w:tcPr>
                  <w:tcW w:w="864" w:type="pct"/>
                  <w:tcBorders>
                    <w:tl2br w:val="nil"/>
                    <w:tr2bl w:val="nil"/>
                  </w:tcBorders>
                  <w:vAlign w:val="center"/>
                </w:tcPr>
                <w:p>
                  <w:pPr>
                    <w:spacing w:before="48" w:beforeLines="20" w:after="48" w:afterLines="20"/>
                    <w:jc w:val="center"/>
                    <w:rPr>
                      <w:color w:val="auto"/>
                      <w:sz w:val="21"/>
                      <w:szCs w:val="21"/>
                      <w:highlight w:val="none"/>
                    </w:rPr>
                  </w:pPr>
                  <w:r>
                    <w:rPr>
                      <w:color w:val="auto"/>
                      <w:sz w:val="21"/>
                      <w:szCs w:val="21"/>
                      <w:highlight w:val="none"/>
                    </w:rPr>
                    <w:t>SS</w:t>
                  </w:r>
                </w:p>
              </w:tc>
              <w:tc>
                <w:tcPr>
                  <w:tcW w:w="1209" w:type="pct"/>
                  <w:vMerge w:val="continue"/>
                  <w:tcBorders>
                    <w:tl2br w:val="nil"/>
                    <w:tr2bl w:val="nil"/>
                  </w:tcBorders>
                  <w:vAlign w:val="center"/>
                </w:tcPr>
                <w:p>
                  <w:pPr>
                    <w:jc w:val="center"/>
                    <w:rPr>
                      <w:color w:val="auto"/>
                      <w:sz w:val="21"/>
                      <w:szCs w:val="21"/>
                      <w:highlight w:val="none"/>
                    </w:rPr>
                  </w:pPr>
                </w:p>
              </w:tc>
              <w:tc>
                <w:tcPr>
                  <w:tcW w:w="1573" w:type="pct"/>
                  <w:tcBorders>
                    <w:tl2br w:val="nil"/>
                    <w:tr2bl w:val="nil"/>
                  </w:tcBorders>
                  <w:vAlign w:val="center"/>
                </w:tcPr>
                <w:p>
                  <w:pPr>
                    <w:jc w:val="center"/>
                    <w:rPr>
                      <w:color w:val="auto"/>
                      <w:sz w:val="21"/>
                      <w:szCs w:val="21"/>
                      <w:highlight w:val="none"/>
                    </w:rPr>
                  </w:pPr>
                  <w:r>
                    <w:rPr>
                      <w:color w:val="auto"/>
                      <w:sz w:val="21"/>
                      <w:szCs w:val="21"/>
                      <w:highlight w:val="none"/>
                    </w:rPr>
                    <w:t>250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8" w:type="pct"/>
                  <w:tcBorders>
                    <w:tl2br w:val="nil"/>
                    <w:tr2bl w:val="nil"/>
                  </w:tcBorders>
                  <w:vAlign w:val="center"/>
                </w:tcPr>
                <w:p>
                  <w:pPr>
                    <w:jc w:val="center"/>
                    <w:rPr>
                      <w:color w:val="auto"/>
                      <w:sz w:val="21"/>
                      <w:szCs w:val="21"/>
                      <w:highlight w:val="none"/>
                    </w:rPr>
                  </w:pPr>
                  <w:r>
                    <w:rPr>
                      <w:color w:val="auto"/>
                      <w:sz w:val="21"/>
                      <w:szCs w:val="21"/>
                      <w:highlight w:val="none"/>
                    </w:rPr>
                    <w:t>3</w:t>
                  </w:r>
                </w:p>
              </w:tc>
              <w:tc>
                <w:tcPr>
                  <w:tcW w:w="854" w:type="pct"/>
                  <w:vMerge w:val="continue"/>
                  <w:tcBorders>
                    <w:tl2br w:val="nil"/>
                    <w:tr2bl w:val="nil"/>
                  </w:tcBorders>
                  <w:vAlign w:val="center"/>
                </w:tcPr>
                <w:p>
                  <w:pPr>
                    <w:jc w:val="center"/>
                    <w:rPr>
                      <w:color w:val="auto"/>
                      <w:sz w:val="21"/>
                      <w:szCs w:val="21"/>
                      <w:highlight w:val="none"/>
                    </w:rPr>
                  </w:pPr>
                </w:p>
              </w:tc>
              <w:tc>
                <w:tcPr>
                  <w:tcW w:w="864" w:type="pct"/>
                  <w:tcBorders>
                    <w:tl2br w:val="nil"/>
                    <w:tr2bl w:val="nil"/>
                  </w:tcBorders>
                  <w:vAlign w:val="center"/>
                </w:tcPr>
                <w:p>
                  <w:pPr>
                    <w:spacing w:before="48" w:beforeLines="20" w:after="48" w:afterLines="20"/>
                    <w:jc w:val="center"/>
                    <w:rPr>
                      <w:color w:val="auto"/>
                      <w:sz w:val="21"/>
                      <w:szCs w:val="21"/>
                      <w:highlight w:val="none"/>
                    </w:rPr>
                  </w:pPr>
                  <w:r>
                    <w:rPr>
                      <w:color w:val="auto"/>
                      <w:sz w:val="21"/>
                      <w:szCs w:val="21"/>
                      <w:highlight w:val="none"/>
                    </w:rPr>
                    <w:t>NH</w:t>
                  </w:r>
                  <w:r>
                    <w:rPr>
                      <w:color w:val="auto"/>
                      <w:sz w:val="21"/>
                      <w:szCs w:val="21"/>
                      <w:highlight w:val="none"/>
                      <w:vertAlign w:val="subscript"/>
                    </w:rPr>
                    <w:t>3</w:t>
                  </w:r>
                  <w:r>
                    <w:rPr>
                      <w:color w:val="auto"/>
                      <w:sz w:val="21"/>
                      <w:szCs w:val="21"/>
                      <w:highlight w:val="none"/>
                    </w:rPr>
                    <w:t>-N</w:t>
                  </w:r>
                </w:p>
              </w:tc>
              <w:tc>
                <w:tcPr>
                  <w:tcW w:w="1209" w:type="pct"/>
                  <w:vMerge w:val="continue"/>
                  <w:tcBorders>
                    <w:tl2br w:val="nil"/>
                    <w:tr2bl w:val="nil"/>
                  </w:tcBorders>
                  <w:vAlign w:val="center"/>
                </w:tcPr>
                <w:p>
                  <w:pPr>
                    <w:jc w:val="center"/>
                    <w:rPr>
                      <w:color w:val="auto"/>
                      <w:sz w:val="21"/>
                      <w:szCs w:val="21"/>
                      <w:highlight w:val="none"/>
                    </w:rPr>
                  </w:pPr>
                </w:p>
              </w:tc>
              <w:tc>
                <w:tcPr>
                  <w:tcW w:w="1573" w:type="pct"/>
                  <w:tcBorders>
                    <w:tl2br w:val="nil"/>
                    <w:tr2bl w:val="nil"/>
                  </w:tcBorders>
                  <w:vAlign w:val="center"/>
                </w:tcPr>
                <w:p>
                  <w:pPr>
                    <w:jc w:val="center"/>
                    <w:rPr>
                      <w:color w:val="auto"/>
                      <w:sz w:val="21"/>
                      <w:szCs w:val="21"/>
                      <w:highlight w:val="none"/>
                    </w:rPr>
                  </w:pPr>
                  <w:r>
                    <w:rPr>
                      <w:color w:val="auto"/>
                      <w:sz w:val="21"/>
                      <w:szCs w:val="21"/>
                      <w:highlight w:val="none"/>
                    </w:rPr>
                    <w:t>35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8" w:type="pct"/>
                  <w:tcBorders>
                    <w:tl2br w:val="nil"/>
                    <w:tr2bl w:val="nil"/>
                  </w:tcBorders>
                  <w:vAlign w:val="center"/>
                </w:tcPr>
                <w:p>
                  <w:pPr>
                    <w:jc w:val="center"/>
                    <w:rPr>
                      <w:color w:val="auto"/>
                      <w:sz w:val="21"/>
                      <w:szCs w:val="21"/>
                      <w:highlight w:val="none"/>
                    </w:rPr>
                  </w:pPr>
                  <w:r>
                    <w:rPr>
                      <w:color w:val="auto"/>
                      <w:sz w:val="21"/>
                      <w:szCs w:val="21"/>
                      <w:highlight w:val="none"/>
                    </w:rPr>
                    <w:t>4</w:t>
                  </w:r>
                </w:p>
              </w:tc>
              <w:tc>
                <w:tcPr>
                  <w:tcW w:w="854" w:type="pct"/>
                  <w:vMerge w:val="continue"/>
                  <w:tcBorders>
                    <w:tl2br w:val="nil"/>
                    <w:tr2bl w:val="nil"/>
                  </w:tcBorders>
                  <w:vAlign w:val="center"/>
                </w:tcPr>
                <w:p>
                  <w:pPr>
                    <w:jc w:val="center"/>
                    <w:rPr>
                      <w:color w:val="auto"/>
                      <w:sz w:val="21"/>
                      <w:szCs w:val="21"/>
                      <w:highlight w:val="none"/>
                    </w:rPr>
                  </w:pPr>
                </w:p>
              </w:tc>
              <w:tc>
                <w:tcPr>
                  <w:tcW w:w="864" w:type="pct"/>
                  <w:tcBorders>
                    <w:tl2br w:val="nil"/>
                    <w:tr2bl w:val="nil"/>
                  </w:tcBorders>
                  <w:vAlign w:val="center"/>
                </w:tcPr>
                <w:p>
                  <w:pPr>
                    <w:spacing w:before="48" w:beforeLines="20" w:after="48" w:afterLines="20"/>
                    <w:jc w:val="center"/>
                    <w:rPr>
                      <w:color w:val="auto"/>
                      <w:sz w:val="21"/>
                      <w:szCs w:val="21"/>
                      <w:highlight w:val="none"/>
                    </w:rPr>
                  </w:pPr>
                  <w:r>
                    <w:rPr>
                      <w:color w:val="auto"/>
                      <w:sz w:val="21"/>
                      <w:szCs w:val="21"/>
                      <w:highlight w:val="none"/>
                    </w:rPr>
                    <w:t>TP</w:t>
                  </w:r>
                </w:p>
              </w:tc>
              <w:tc>
                <w:tcPr>
                  <w:tcW w:w="1209" w:type="pct"/>
                  <w:vMerge w:val="continue"/>
                  <w:tcBorders>
                    <w:tl2br w:val="nil"/>
                    <w:tr2bl w:val="nil"/>
                  </w:tcBorders>
                  <w:vAlign w:val="center"/>
                </w:tcPr>
                <w:p>
                  <w:pPr>
                    <w:jc w:val="center"/>
                    <w:rPr>
                      <w:color w:val="auto"/>
                      <w:sz w:val="21"/>
                      <w:szCs w:val="21"/>
                      <w:highlight w:val="none"/>
                    </w:rPr>
                  </w:pPr>
                </w:p>
              </w:tc>
              <w:tc>
                <w:tcPr>
                  <w:tcW w:w="1573" w:type="pct"/>
                  <w:tcBorders>
                    <w:tl2br w:val="nil"/>
                    <w:tr2bl w:val="nil"/>
                  </w:tcBorders>
                  <w:vAlign w:val="center"/>
                </w:tcPr>
                <w:p>
                  <w:pPr>
                    <w:jc w:val="center"/>
                    <w:rPr>
                      <w:color w:val="auto"/>
                      <w:sz w:val="21"/>
                      <w:szCs w:val="21"/>
                      <w:highlight w:val="none"/>
                    </w:rPr>
                  </w:pPr>
                  <w:r>
                    <w:rPr>
                      <w:color w:val="auto"/>
                      <w:sz w:val="21"/>
                      <w:szCs w:val="21"/>
                      <w:highlight w:val="none"/>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98" w:type="pct"/>
                  <w:tcBorders>
                    <w:tl2br w:val="nil"/>
                    <w:tr2bl w:val="nil"/>
                  </w:tcBorders>
                  <w:vAlign w:val="center"/>
                </w:tcPr>
                <w:p>
                  <w:pPr>
                    <w:jc w:val="center"/>
                    <w:rPr>
                      <w:color w:val="auto"/>
                      <w:sz w:val="21"/>
                      <w:szCs w:val="21"/>
                      <w:highlight w:val="none"/>
                    </w:rPr>
                  </w:pPr>
                  <w:r>
                    <w:rPr>
                      <w:color w:val="auto"/>
                      <w:sz w:val="21"/>
                      <w:szCs w:val="21"/>
                      <w:highlight w:val="none"/>
                    </w:rPr>
                    <w:t>5</w:t>
                  </w:r>
                </w:p>
              </w:tc>
              <w:tc>
                <w:tcPr>
                  <w:tcW w:w="854" w:type="pct"/>
                  <w:vMerge w:val="continue"/>
                  <w:tcBorders>
                    <w:tl2br w:val="nil"/>
                    <w:tr2bl w:val="nil"/>
                  </w:tcBorders>
                  <w:vAlign w:val="center"/>
                </w:tcPr>
                <w:p>
                  <w:pPr>
                    <w:jc w:val="center"/>
                    <w:rPr>
                      <w:color w:val="auto"/>
                      <w:sz w:val="21"/>
                      <w:szCs w:val="21"/>
                      <w:highlight w:val="none"/>
                    </w:rPr>
                  </w:pPr>
                </w:p>
              </w:tc>
              <w:tc>
                <w:tcPr>
                  <w:tcW w:w="864" w:type="pct"/>
                  <w:tcBorders>
                    <w:tl2br w:val="nil"/>
                    <w:tr2bl w:val="nil"/>
                  </w:tcBorders>
                  <w:vAlign w:val="center"/>
                </w:tcPr>
                <w:p>
                  <w:pPr>
                    <w:spacing w:before="48" w:beforeLines="20" w:after="48" w:afterLines="20"/>
                    <w:jc w:val="center"/>
                    <w:rPr>
                      <w:color w:val="auto"/>
                      <w:sz w:val="21"/>
                      <w:szCs w:val="21"/>
                      <w:highlight w:val="none"/>
                    </w:rPr>
                  </w:pPr>
                  <w:r>
                    <w:rPr>
                      <w:color w:val="auto"/>
                      <w:sz w:val="21"/>
                      <w:szCs w:val="21"/>
                      <w:highlight w:val="none"/>
                    </w:rPr>
                    <w:t>TN</w:t>
                  </w:r>
                </w:p>
              </w:tc>
              <w:tc>
                <w:tcPr>
                  <w:tcW w:w="1209" w:type="pct"/>
                  <w:vMerge w:val="continue"/>
                  <w:tcBorders>
                    <w:tl2br w:val="nil"/>
                    <w:tr2bl w:val="nil"/>
                  </w:tcBorders>
                  <w:vAlign w:val="center"/>
                </w:tcPr>
                <w:p>
                  <w:pPr>
                    <w:jc w:val="center"/>
                    <w:rPr>
                      <w:color w:val="auto"/>
                      <w:sz w:val="21"/>
                      <w:szCs w:val="21"/>
                      <w:highlight w:val="none"/>
                    </w:rPr>
                  </w:pPr>
                </w:p>
              </w:tc>
              <w:tc>
                <w:tcPr>
                  <w:tcW w:w="1573" w:type="pct"/>
                  <w:tcBorders>
                    <w:tl2br w:val="nil"/>
                    <w:tr2bl w:val="nil"/>
                  </w:tcBorders>
                  <w:vAlign w:val="center"/>
                </w:tcPr>
                <w:p>
                  <w:pPr>
                    <w:jc w:val="center"/>
                    <w:rPr>
                      <w:color w:val="auto"/>
                      <w:sz w:val="21"/>
                      <w:szCs w:val="21"/>
                      <w:highlight w:val="none"/>
                    </w:rPr>
                  </w:pPr>
                  <w:r>
                    <w:rPr>
                      <w:color w:val="auto"/>
                      <w:sz w:val="21"/>
                      <w:szCs w:val="21"/>
                      <w:highlight w:val="none"/>
                    </w:rPr>
                    <w:t>50</w:t>
                  </w:r>
                </w:p>
              </w:tc>
            </w:tr>
          </w:tbl>
          <w:p>
            <w:pPr>
              <w:pStyle w:val="58"/>
              <w:keepNext w:val="0"/>
              <w:keepLines w:val="0"/>
              <w:pageBreakBefore w:val="0"/>
              <w:widowControl w:val="0"/>
              <w:kinsoku/>
              <w:wordWrap/>
              <w:overflowPunct/>
              <w:topLinePunct w:val="0"/>
              <w:autoSpaceDE/>
              <w:autoSpaceDN/>
              <w:bidi w:val="0"/>
              <w:adjustRightInd/>
              <w:snapToGrid/>
              <w:spacing w:before="157" w:beforeLines="50" w:line="240" w:lineRule="auto"/>
              <w:ind w:firstLine="0" w:firstLineChars="0"/>
              <w:jc w:val="center"/>
              <w:textAlignment w:val="auto"/>
              <w:rPr>
                <w:b/>
                <w:bCs/>
                <w:color w:val="auto"/>
                <w:kern w:val="2"/>
                <w:sz w:val="21"/>
                <w:szCs w:val="21"/>
                <w:highlight w:val="none"/>
              </w:rPr>
            </w:pPr>
            <w:r>
              <w:rPr>
                <w:b/>
                <w:bCs/>
                <w:color w:val="auto"/>
                <w:kern w:val="2"/>
                <w:sz w:val="21"/>
                <w:szCs w:val="21"/>
                <w:highlight w:val="none"/>
              </w:rPr>
              <w:t>表4-1</w:t>
            </w:r>
            <w:r>
              <w:rPr>
                <w:rFonts w:hint="eastAsia"/>
                <w:b/>
                <w:bCs/>
                <w:color w:val="auto"/>
                <w:kern w:val="2"/>
                <w:sz w:val="21"/>
                <w:szCs w:val="21"/>
                <w:highlight w:val="none"/>
                <w:lang w:val="en-US" w:eastAsia="zh-CN"/>
              </w:rPr>
              <w:t>7</w:t>
            </w:r>
            <w:r>
              <w:rPr>
                <w:b/>
                <w:bCs/>
                <w:color w:val="auto"/>
                <w:kern w:val="2"/>
                <w:sz w:val="21"/>
                <w:szCs w:val="21"/>
                <w:highlight w:val="none"/>
              </w:rPr>
              <w:t xml:space="preserve"> 废水间接排放口基本情况详见下表</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26"/>
              <w:gridCol w:w="667"/>
              <w:gridCol w:w="886"/>
              <w:gridCol w:w="827"/>
              <w:gridCol w:w="676"/>
              <w:gridCol w:w="856"/>
              <w:gridCol w:w="781"/>
              <w:gridCol w:w="691"/>
              <w:gridCol w:w="691"/>
              <w:gridCol w:w="862"/>
              <w:gridCol w:w="111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1" w:type="pct"/>
                  <w:vMerge w:val="restart"/>
                  <w:tcBorders>
                    <w:top w:val="single" w:color="auto" w:sz="12" w:space="0"/>
                    <w:left w:val="nil"/>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序号</w:t>
                  </w:r>
                </w:p>
              </w:tc>
              <w:tc>
                <w:tcPr>
                  <w:tcW w:w="393" w:type="pct"/>
                  <w:vMerge w:val="restart"/>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排放口编号</w:t>
                  </w:r>
                </w:p>
              </w:tc>
              <w:tc>
                <w:tcPr>
                  <w:tcW w:w="1009" w:type="pct"/>
                  <w:gridSpan w:val="2"/>
                  <w:vMerge w:val="restart"/>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排放口地理坐标</w:t>
                  </w:r>
                </w:p>
              </w:tc>
              <w:tc>
                <w:tcPr>
                  <w:tcW w:w="398" w:type="pct"/>
                  <w:vMerge w:val="restart"/>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废水排放量（t/a）</w:t>
                  </w:r>
                </w:p>
              </w:tc>
              <w:tc>
                <w:tcPr>
                  <w:tcW w:w="504" w:type="pct"/>
                  <w:vMerge w:val="restart"/>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排放去向</w:t>
                  </w:r>
                </w:p>
              </w:tc>
              <w:tc>
                <w:tcPr>
                  <w:tcW w:w="460" w:type="pct"/>
                  <w:vMerge w:val="restart"/>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排放规律</w:t>
                  </w:r>
                </w:p>
              </w:tc>
              <w:tc>
                <w:tcPr>
                  <w:tcW w:w="407" w:type="pct"/>
                  <w:vMerge w:val="restart"/>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间接排放时段</w:t>
                  </w:r>
                </w:p>
              </w:tc>
              <w:tc>
                <w:tcPr>
                  <w:tcW w:w="1573" w:type="pct"/>
                  <w:gridSpan w:val="3"/>
                  <w:tcBorders>
                    <w:top w:val="single" w:color="auto" w:sz="12" w:space="0"/>
                    <w:left w:val="single" w:color="auto" w:sz="4" w:space="0"/>
                    <w:bottom w:val="single" w:color="auto" w:sz="4" w:space="0"/>
                    <w:right w:val="nil"/>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受纳污水处理厂信息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1" w:type="pct"/>
                  <w:vMerge w:val="continue"/>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p>
              </w:tc>
              <w:tc>
                <w:tcPr>
                  <w:tcW w:w="393" w:type="pct"/>
                  <w:vMerge w:val="continue"/>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p>
              </w:tc>
              <w:tc>
                <w:tcPr>
                  <w:tcW w:w="1009" w:type="pct"/>
                  <w:gridSpan w:val="2"/>
                  <w:vMerge w:val="continue"/>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p>
              </w:tc>
              <w:tc>
                <w:tcPr>
                  <w:tcW w:w="398" w:type="pct"/>
                  <w:vMerge w:val="continue"/>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p>
              </w:tc>
              <w:tc>
                <w:tcPr>
                  <w:tcW w:w="504" w:type="pct"/>
                  <w:vMerge w:val="continue"/>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p>
              </w:tc>
              <w:tc>
                <w:tcPr>
                  <w:tcW w:w="460" w:type="pct"/>
                  <w:vMerge w:val="continue"/>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p>
              </w:tc>
              <w:tc>
                <w:tcPr>
                  <w:tcW w:w="407" w:type="pct"/>
                  <w:vMerge w:val="continue"/>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p>
              </w:tc>
              <w:tc>
                <w:tcPr>
                  <w:tcW w:w="4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名称</w:t>
                  </w:r>
                </w:p>
              </w:tc>
              <w:tc>
                <w:tcPr>
                  <w:tcW w:w="5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污染物种类</w:t>
                  </w:r>
                </w:p>
              </w:tc>
              <w:tc>
                <w:tcPr>
                  <w:tcW w:w="657" w:type="pct"/>
                  <w:tcBorders>
                    <w:top w:val="single" w:color="auto" w:sz="4" w:space="0"/>
                    <w:left w:val="single" w:color="auto" w:sz="4" w:space="0"/>
                    <w:bottom w:val="single" w:color="auto" w:sz="4" w:space="0"/>
                    <w:right w:val="nil"/>
                  </w:tcBorders>
                  <w:tcMar>
                    <w:top w:w="0" w:type="dxa"/>
                    <w:left w:w="0" w:type="dxa"/>
                    <w:bottom w:w="0" w:type="dxa"/>
                    <w:right w:w="0" w:type="dxa"/>
                  </w:tcMar>
                  <w:vAlign w:val="center"/>
                </w:tcPr>
                <w:p>
                  <w:pPr>
                    <w:spacing w:before="48" w:beforeLines="20" w:after="48" w:afterLines="20"/>
                    <w:jc w:val="center"/>
                    <w:rPr>
                      <w:b/>
                      <w:bCs/>
                      <w:color w:val="auto"/>
                      <w:sz w:val="21"/>
                      <w:szCs w:val="21"/>
                      <w:highlight w:val="none"/>
                    </w:rPr>
                  </w:pPr>
                  <w:r>
                    <w:rPr>
                      <w:b/>
                      <w:bCs/>
                      <w:color w:val="auto"/>
                      <w:sz w:val="21"/>
                      <w:szCs w:val="21"/>
                      <w:highlight w:val="none"/>
                    </w:rPr>
                    <w:t>国家或地方污染物排放标准浓度限值/（mg/L）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1" w:type="pct"/>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1</w:t>
                  </w:r>
                </w:p>
              </w:tc>
              <w:tc>
                <w:tcPr>
                  <w:tcW w:w="393" w:type="pct"/>
                  <w:vMerge w:val="restart"/>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DW001</w:t>
                  </w:r>
                </w:p>
              </w:tc>
              <w:tc>
                <w:tcPr>
                  <w:tcW w:w="522" w:type="pct"/>
                  <w:vMerge w:val="restart"/>
                  <w:tcBorders>
                    <w:left w:val="single" w:color="auto" w:sz="4" w:space="0"/>
                    <w:right w:val="single" w:color="auto" w:sz="4" w:space="0"/>
                  </w:tcBorders>
                  <w:tcMar>
                    <w:top w:w="0" w:type="dxa"/>
                    <w:left w:w="0" w:type="dxa"/>
                    <w:bottom w:w="0" w:type="dxa"/>
                    <w:right w:w="0" w:type="dxa"/>
                  </w:tcMar>
                  <w:vAlign w:val="center"/>
                </w:tcPr>
                <w:p>
                  <w:pPr>
                    <w:pStyle w:val="58"/>
                    <w:spacing w:line="240" w:lineRule="auto"/>
                    <w:ind w:firstLine="0" w:firstLineChars="0"/>
                    <w:jc w:val="center"/>
                    <w:rPr>
                      <w:color w:val="auto"/>
                      <w:kern w:val="2"/>
                      <w:sz w:val="21"/>
                      <w:szCs w:val="21"/>
                      <w:highlight w:val="none"/>
                    </w:rPr>
                  </w:pPr>
                  <w:r>
                    <w:rPr>
                      <w:rFonts w:hint="eastAsia"/>
                      <w:color w:val="auto"/>
                      <w:kern w:val="2"/>
                      <w:sz w:val="21"/>
                      <w:szCs w:val="21"/>
                      <w:highlight w:val="none"/>
                    </w:rPr>
                    <w:t>119.644593</w:t>
                  </w:r>
                </w:p>
              </w:tc>
              <w:tc>
                <w:tcPr>
                  <w:tcW w:w="487" w:type="pct"/>
                  <w:vMerge w:val="restart"/>
                  <w:tcBorders>
                    <w:left w:val="single" w:color="auto" w:sz="4" w:space="0"/>
                    <w:right w:val="single" w:color="auto" w:sz="4" w:space="0"/>
                  </w:tcBorders>
                  <w:tcMar>
                    <w:top w:w="0" w:type="dxa"/>
                    <w:left w:w="0" w:type="dxa"/>
                    <w:bottom w:w="0" w:type="dxa"/>
                    <w:right w:w="0" w:type="dxa"/>
                  </w:tcMar>
                  <w:vAlign w:val="center"/>
                </w:tcPr>
                <w:p>
                  <w:pPr>
                    <w:pStyle w:val="58"/>
                    <w:spacing w:line="240" w:lineRule="auto"/>
                    <w:ind w:firstLine="0" w:firstLineChars="0"/>
                    <w:jc w:val="center"/>
                    <w:rPr>
                      <w:color w:val="auto"/>
                      <w:kern w:val="2"/>
                      <w:sz w:val="21"/>
                      <w:szCs w:val="21"/>
                      <w:highlight w:val="none"/>
                    </w:rPr>
                  </w:pPr>
                  <w:r>
                    <w:rPr>
                      <w:rFonts w:hint="eastAsia"/>
                      <w:color w:val="auto"/>
                      <w:kern w:val="2"/>
                      <w:sz w:val="21"/>
                      <w:szCs w:val="21"/>
                      <w:highlight w:val="none"/>
                    </w:rPr>
                    <w:t>31.767804</w:t>
                  </w:r>
                </w:p>
              </w:tc>
              <w:tc>
                <w:tcPr>
                  <w:tcW w:w="398" w:type="pct"/>
                  <w:vMerge w:val="restart"/>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rFonts w:hint="eastAsia"/>
                      <w:color w:val="auto"/>
                      <w:sz w:val="21"/>
                      <w:szCs w:val="21"/>
                      <w:highlight w:val="none"/>
                    </w:rPr>
                    <w:t>360</w:t>
                  </w:r>
                </w:p>
              </w:tc>
              <w:tc>
                <w:tcPr>
                  <w:tcW w:w="504" w:type="pct"/>
                  <w:vMerge w:val="restart"/>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排放至</w:t>
                  </w:r>
                  <w:r>
                    <w:rPr>
                      <w:rFonts w:hint="eastAsia" w:ascii="Times New Roman" w:hAnsi="Times New Roman" w:eastAsia="宋体" w:cs="Times New Roman"/>
                      <w:color w:val="auto"/>
                      <w:kern w:val="2"/>
                      <w:sz w:val="21"/>
                      <w:szCs w:val="21"/>
                      <w:highlight w:val="none"/>
                      <w:lang w:val="zh-CN" w:eastAsia="zh-CN"/>
                    </w:rPr>
                    <w:t>常州金坛区第二污水处理有限公司</w:t>
                  </w:r>
                </w:p>
              </w:tc>
              <w:tc>
                <w:tcPr>
                  <w:tcW w:w="460" w:type="pct"/>
                  <w:vMerge w:val="restart"/>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间断排放，流量不稳定</w:t>
                  </w:r>
                </w:p>
              </w:tc>
              <w:tc>
                <w:tcPr>
                  <w:tcW w:w="407" w:type="pct"/>
                  <w:vMerge w:val="restart"/>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w:t>
                  </w:r>
                </w:p>
              </w:tc>
              <w:tc>
                <w:tcPr>
                  <w:tcW w:w="407" w:type="pct"/>
                  <w:vMerge w:val="restart"/>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rFonts w:hint="eastAsia" w:ascii="Times New Roman" w:hAnsi="Times New Roman" w:eastAsia="宋体" w:cs="Times New Roman"/>
                      <w:color w:val="auto"/>
                      <w:kern w:val="2"/>
                      <w:sz w:val="21"/>
                      <w:szCs w:val="21"/>
                      <w:highlight w:val="none"/>
                      <w:lang w:val="zh-CN" w:eastAsia="zh-CN"/>
                    </w:rPr>
                    <w:t>常州金坛区第二污水处理有限公司</w:t>
                  </w:r>
                </w:p>
              </w:tc>
              <w:tc>
                <w:tcPr>
                  <w:tcW w:w="5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COD</w:t>
                  </w:r>
                </w:p>
              </w:tc>
              <w:tc>
                <w:tcPr>
                  <w:tcW w:w="657" w:type="pct"/>
                  <w:tcBorders>
                    <w:top w:val="single" w:color="auto" w:sz="4" w:space="0"/>
                    <w:left w:val="single" w:color="auto" w:sz="4" w:space="0"/>
                    <w:bottom w:val="single" w:color="auto" w:sz="4" w:space="0"/>
                    <w:right w:val="nil"/>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1" w:type="pct"/>
                  <w:tcBorders>
                    <w:top w:val="single" w:color="auto" w:sz="4" w:space="0"/>
                    <w:left w:val="nil"/>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2</w:t>
                  </w:r>
                </w:p>
              </w:tc>
              <w:tc>
                <w:tcPr>
                  <w:tcW w:w="393" w:type="pct"/>
                  <w:vMerge w:val="continue"/>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522" w:type="pct"/>
                  <w:vMerge w:val="continue"/>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487" w:type="pct"/>
                  <w:vMerge w:val="continue"/>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398" w:type="pct"/>
                  <w:vMerge w:val="continue"/>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504" w:type="pct"/>
                  <w:vMerge w:val="continue"/>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460" w:type="pct"/>
                  <w:vMerge w:val="continue"/>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407" w:type="pct"/>
                  <w:vMerge w:val="continue"/>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407" w:type="pct"/>
                  <w:vMerge w:val="continue"/>
                  <w:tcBorders>
                    <w:left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p>
              </w:tc>
              <w:tc>
                <w:tcPr>
                  <w:tcW w:w="508"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SS</w:t>
                  </w:r>
                </w:p>
              </w:tc>
              <w:tc>
                <w:tcPr>
                  <w:tcW w:w="657" w:type="pct"/>
                  <w:tcBorders>
                    <w:top w:val="single" w:color="auto" w:sz="4" w:space="0"/>
                    <w:left w:val="single" w:color="auto" w:sz="4" w:space="0"/>
                    <w:bottom w:val="single" w:color="auto" w:sz="4" w:space="0"/>
                    <w:right w:val="nil"/>
                  </w:tcBorders>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1"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3</w:t>
                  </w:r>
                </w:p>
              </w:tc>
              <w:tc>
                <w:tcPr>
                  <w:tcW w:w="393"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522"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487"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398"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504"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460"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407"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407"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508"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氨氮</w:t>
                  </w:r>
                </w:p>
              </w:tc>
              <w:tc>
                <w:tcPr>
                  <w:tcW w:w="65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1"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4</w:t>
                  </w:r>
                </w:p>
              </w:tc>
              <w:tc>
                <w:tcPr>
                  <w:tcW w:w="393"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522"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487"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398"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504"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460"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407"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407"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508"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TP</w:t>
                  </w:r>
                </w:p>
              </w:tc>
              <w:tc>
                <w:tcPr>
                  <w:tcW w:w="65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0.5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1"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5</w:t>
                  </w:r>
                </w:p>
              </w:tc>
              <w:tc>
                <w:tcPr>
                  <w:tcW w:w="393"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522"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487"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398"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504"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460"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407"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407" w:type="pct"/>
                  <w:vMerge w:val="continue"/>
                  <w:tcBorders>
                    <w:left w:val="single" w:color="auto" w:sz="4" w:space="0"/>
                    <w:right w:val="single" w:color="auto" w:sz="4" w:space="0"/>
                  </w:tcBorders>
                  <w:tcMar>
                    <w:top w:w="0" w:type="dxa"/>
                    <w:left w:w="0" w:type="dxa"/>
                    <w:bottom w:w="0" w:type="dxa"/>
                    <w:right w:w="0" w:type="dxa"/>
                  </w:tcMar>
                </w:tcPr>
                <w:p>
                  <w:pPr>
                    <w:spacing w:before="48" w:beforeLines="20" w:after="48" w:afterLines="20"/>
                    <w:jc w:val="center"/>
                    <w:rPr>
                      <w:color w:val="auto"/>
                      <w:sz w:val="21"/>
                      <w:szCs w:val="21"/>
                      <w:highlight w:val="none"/>
                    </w:rPr>
                  </w:pPr>
                </w:p>
              </w:tc>
              <w:tc>
                <w:tcPr>
                  <w:tcW w:w="508"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TN</w:t>
                  </w:r>
                </w:p>
              </w:tc>
              <w:tc>
                <w:tcPr>
                  <w:tcW w:w="657" w:type="pct"/>
                  <w:tcMar>
                    <w:top w:w="0" w:type="dxa"/>
                    <w:left w:w="0" w:type="dxa"/>
                    <w:bottom w:w="0" w:type="dxa"/>
                    <w:right w:w="0" w:type="dxa"/>
                  </w:tcMar>
                  <w:vAlign w:val="center"/>
                </w:tcPr>
                <w:p>
                  <w:pPr>
                    <w:spacing w:before="48" w:beforeLines="20" w:after="48" w:afterLines="20"/>
                    <w:jc w:val="center"/>
                    <w:rPr>
                      <w:color w:val="auto"/>
                      <w:sz w:val="21"/>
                      <w:szCs w:val="21"/>
                      <w:highlight w:val="none"/>
                    </w:rPr>
                  </w:pPr>
                  <w:r>
                    <w:rPr>
                      <w:color w:val="auto"/>
                      <w:sz w:val="21"/>
                      <w:szCs w:val="21"/>
                      <w:highlight w:val="none"/>
                    </w:rPr>
                    <w:t>12</w:t>
                  </w:r>
                </w:p>
              </w:tc>
            </w:tr>
          </w:tbl>
          <w:p>
            <w:pPr>
              <w:pStyle w:val="6"/>
              <w:keepNext w:val="0"/>
              <w:keepLines w:val="0"/>
              <w:pageBreakBefore w:val="0"/>
              <w:widowControl w:val="0"/>
              <w:kinsoku/>
              <w:wordWrap/>
              <w:overflowPunct/>
              <w:topLinePunct w:val="0"/>
              <w:autoSpaceDE/>
              <w:autoSpaceDN/>
              <w:bidi w:val="0"/>
              <w:adjustRightInd/>
              <w:snapToGrid/>
              <w:spacing w:before="157" w:beforeLines="50" w:line="360" w:lineRule="auto"/>
              <w:ind w:firstLine="482"/>
              <w:textAlignment w:val="auto"/>
              <w:rPr>
                <w:b/>
                <w:bCs/>
                <w:color w:val="auto"/>
                <w:sz w:val="21"/>
                <w:szCs w:val="21"/>
                <w:highlight w:val="none"/>
              </w:rPr>
            </w:pPr>
            <w:r>
              <w:rPr>
                <w:b/>
                <w:bCs/>
                <w:color w:val="auto"/>
                <w:sz w:val="21"/>
                <w:szCs w:val="21"/>
                <w:highlight w:val="none"/>
              </w:rPr>
              <w:t>3、达标情况</w:t>
            </w:r>
          </w:p>
          <w:p>
            <w:pPr>
              <w:autoSpaceDE w:val="0"/>
              <w:autoSpaceDN w:val="0"/>
              <w:adjustRightInd w:val="0"/>
              <w:spacing w:line="360" w:lineRule="auto"/>
              <w:ind w:firstLine="420" w:firstLineChars="200"/>
              <w:jc w:val="both"/>
              <w:rPr>
                <w:color w:val="auto"/>
                <w:sz w:val="21"/>
                <w:szCs w:val="21"/>
                <w:highlight w:val="none"/>
              </w:rPr>
            </w:pPr>
            <w:r>
              <w:rPr>
                <w:color w:val="auto"/>
                <w:sz w:val="21"/>
                <w:szCs w:val="21"/>
                <w:highlight w:val="none"/>
              </w:rPr>
              <w:t>项目排放的</w:t>
            </w:r>
            <w:r>
              <w:rPr>
                <w:rFonts w:hint="eastAsia"/>
                <w:color w:val="auto"/>
                <w:sz w:val="21"/>
                <w:szCs w:val="21"/>
                <w:highlight w:val="none"/>
              </w:rPr>
              <w:t>生活污水</w:t>
            </w:r>
            <w:r>
              <w:rPr>
                <w:color w:val="auto"/>
                <w:sz w:val="21"/>
                <w:szCs w:val="21"/>
                <w:highlight w:val="none"/>
              </w:rPr>
              <w:t>为COD：</w:t>
            </w:r>
            <w:r>
              <w:rPr>
                <w:rFonts w:hint="eastAsia"/>
                <w:color w:val="auto"/>
                <w:sz w:val="21"/>
                <w:szCs w:val="21"/>
                <w:highlight w:val="none"/>
              </w:rPr>
              <w:t>400</w:t>
            </w:r>
            <w:r>
              <w:rPr>
                <w:color w:val="auto"/>
                <w:sz w:val="21"/>
                <w:szCs w:val="21"/>
                <w:highlight w:val="none"/>
              </w:rPr>
              <w:t>mg/L、SS：200mg/L、氨氮：</w:t>
            </w:r>
            <w:r>
              <w:rPr>
                <w:rFonts w:hint="eastAsia"/>
                <w:color w:val="auto"/>
                <w:sz w:val="21"/>
                <w:szCs w:val="21"/>
                <w:highlight w:val="none"/>
              </w:rPr>
              <w:t>35</w:t>
            </w:r>
            <w:r>
              <w:rPr>
                <w:color w:val="auto"/>
                <w:sz w:val="21"/>
                <w:szCs w:val="21"/>
                <w:highlight w:val="none"/>
              </w:rPr>
              <w:t>mg/L、总磷：</w:t>
            </w:r>
            <w:r>
              <w:rPr>
                <w:rFonts w:hint="eastAsia"/>
                <w:color w:val="auto"/>
                <w:sz w:val="21"/>
                <w:szCs w:val="21"/>
                <w:highlight w:val="none"/>
              </w:rPr>
              <w:t>3</w:t>
            </w:r>
            <w:r>
              <w:rPr>
                <w:color w:val="auto"/>
                <w:sz w:val="21"/>
                <w:szCs w:val="21"/>
                <w:highlight w:val="none"/>
              </w:rPr>
              <w:t>mg/L、TN：</w:t>
            </w:r>
            <w:r>
              <w:rPr>
                <w:rFonts w:hint="eastAsia"/>
                <w:color w:val="auto"/>
                <w:sz w:val="21"/>
                <w:szCs w:val="21"/>
                <w:highlight w:val="none"/>
              </w:rPr>
              <w:t>50</w:t>
            </w:r>
            <w:r>
              <w:rPr>
                <w:color w:val="auto"/>
                <w:sz w:val="21"/>
                <w:szCs w:val="21"/>
                <w:highlight w:val="none"/>
              </w:rPr>
              <w:t>mg/L，可达到</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接管要求，即：COD≤500mg/L、SS≤250mg/L、氨氮≤35mg/L、TP≤3mg/L、TN≤50mg/L。</w:t>
            </w:r>
          </w:p>
          <w:p>
            <w:pPr>
              <w:autoSpaceDE w:val="0"/>
              <w:autoSpaceDN w:val="0"/>
              <w:adjustRightInd w:val="0"/>
              <w:spacing w:line="360" w:lineRule="auto"/>
              <w:ind w:firstLine="422" w:firstLineChars="200"/>
              <w:jc w:val="left"/>
              <w:rPr>
                <w:b/>
                <w:bCs/>
                <w:color w:val="auto"/>
                <w:sz w:val="21"/>
                <w:szCs w:val="21"/>
                <w:highlight w:val="none"/>
              </w:rPr>
            </w:pPr>
            <w:r>
              <w:rPr>
                <w:b/>
                <w:bCs/>
                <w:color w:val="auto"/>
                <w:sz w:val="21"/>
                <w:szCs w:val="21"/>
                <w:highlight w:val="none"/>
              </w:rPr>
              <w:t>4、依托污水处理</w:t>
            </w:r>
            <w:r>
              <w:rPr>
                <w:rFonts w:hint="eastAsia"/>
                <w:b/>
                <w:bCs/>
                <w:color w:val="auto"/>
                <w:sz w:val="21"/>
                <w:szCs w:val="21"/>
                <w:highlight w:val="none"/>
                <w:lang w:val="en-US" w:eastAsia="zh-CN"/>
              </w:rPr>
              <w:t>公司</w:t>
            </w:r>
            <w:r>
              <w:rPr>
                <w:b/>
                <w:bCs/>
                <w:color w:val="auto"/>
                <w:sz w:val="21"/>
                <w:szCs w:val="21"/>
                <w:highlight w:val="none"/>
              </w:rPr>
              <w:t>可行性分析</w:t>
            </w:r>
          </w:p>
          <w:p>
            <w:pPr>
              <w:autoSpaceDE w:val="0"/>
              <w:autoSpaceDN w:val="0"/>
              <w:adjustRightInd w:val="0"/>
              <w:spacing w:line="360" w:lineRule="auto"/>
              <w:ind w:firstLine="422" w:firstLineChars="200"/>
              <w:jc w:val="left"/>
              <w:rPr>
                <w:b/>
                <w:bCs/>
                <w:color w:val="auto"/>
                <w:sz w:val="21"/>
                <w:szCs w:val="21"/>
                <w:highlight w:val="none"/>
              </w:rPr>
            </w:pPr>
            <w:r>
              <w:rPr>
                <w:b/>
                <w:bCs/>
                <w:color w:val="auto"/>
                <w:sz w:val="21"/>
                <w:szCs w:val="21"/>
                <w:highlight w:val="none"/>
              </w:rPr>
              <w:t>（1）接管可行性分析</w:t>
            </w:r>
          </w:p>
          <w:p>
            <w:pPr>
              <w:autoSpaceDE w:val="0"/>
              <w:autoSpaceDN w:val="0"/>
              <w:adjustRightInd w:val="0"/>
              <w:spacing w:line="360" w:lineRule="auto"/>
              <w:ind w:firstLine="420" w:firstLineChars="200"/>
              <w:jc w:val="both"/>
              <w:rPr>
                <w:color w:val="auto"/>
                <w:sz w:val="21"/>
                <w:szCs w:val="21"/>
                <w:highlight w:val="none"/>
              </w:rPr>
            </w:pPr>
            <w:r>
              <w:rPr>
                <w:rFonts w:hint="eastAsia"/>
                <w:color w:val="auto"/>
                <w:sz w:val="21"/>
                <w:szCs w:val="21"/>
                <w:highlight w:val="none"/>
              </w:rPr>
              <w:t>本项目产生的废水仅为生活污水，生活污水</w:t>
            </w:r>
            <w:r>
              <w:rPr>
                <w:color w:val="auto"/>
                <w:sz w:val="21"/>
                <w:szCs w:val="21"/>
                <w:highlight w:val="none"/>
              </w:rPr>
              <w:t>收集后接管排入</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处理；本项目接管排放的废水量共计</w:t>
            </w:r>
            <w:r>
              <w:rPr>
                <w:rFonts w:hint="eastAsia"/>
                <w:color w:val="auto"/>
                <w:sz w:val="21"/>
                <w:szCs w:val="21"/>
                <w:highlight w:val="none"/>
                <w:lang w:val="en-US" w:eastAsia="zh-CN"/>
              </w:rPr>
              <w:t>360</w:t>
            </w:r>
            <w:r>
              <w:rPr>
                <w:color w:val="auto"/>
                <w:sz w:val="21"/>
                <w:szCs w:val="21"/>
                <w:highlight w:val="none"/>
              </w:rPr>
              <w:t>t/a，接管水质为COD：</w:t>
            </w:r>
            <w:r>
              <w:rPr>
                <w:rFonts w:hint="eastAsia"/>
                <w:color w:val="auto"/>
                <w:sz w:val="21"/>
                <w:szCs w:val="21"/>
                <w:highlight w:val="none"/>
              </w:rPr>
              <w:t>400</w:t>
            </w:r>
            <w:r>
              <w:rPr>
                <w:color w:val="auto"/>
                <w:sz w:val="21"/>
                <w:szCs w:val="21"/>
                <w:highlight w:val="none"/>
              </w:rPr>
              <w:t>mg/L、SS：200mg/L、氨氮：</w:t>
            </w:r>
            <w:r>
              <w:rPr>
                <w:rFonts w:hint="eastAsia"/>
                <w:color w:val="auto"/>
                <w:sz w:val="21"/>
                <w:szCs w:val="21"/>
                <w:highlight w:val="none"/>
              </w:rPr>
              <w:t>35</w:t>
            </w:r>
            <w:r>
              <w:rPr>
                <w:color w:val="auto"/>
                <w:sz w:val="21"/>
                <w:szCs w:val="21"/>
                <w:highlight w:val="none"/>
              </w:rPr>
              <w:t>mg/L、总磷：</w:t>
            </w:r>
            <w:r>
              <w:rPr>
                <w:rFonts w:hint="eastAsia"/>
                <w:color w:val="auto"/>
                <w:sz w:val="21"/>
                <w:szCs w:val="21"/>
                <w:highlight w:val="none"/>
              </w:rPr>
              <w:t>3</w:t>
            </w:r>
            <w:r>
              <w:rPr>
                <w:color w:val="auto"/>
                <w:sz w:val="21"/>
                <w:szCs w:val="21"/>
                <w:highlight w:val="none"/>
              </w:rPr>
              <w:t>mg/L、TN：</w:t>
            </w:r>
            <w:r>
              <w:rPr>
                <w:rFonts w:hint="eastAsia"/>
                <w:color w:val="auto"/>
                <w:sz w:val="21"/>
                <w:szCs w:val="21"/>
                <w:highlight w:val="none"/>
              </w:rPr>
              <w:t>50</w:t>
            </w:r>
            <w:r>
              <w:rPr>
                <w:color w:val="auto"/>
                <w:sz w:val="21"/>
                <w:szCs w:val="21"/>
                <w:highlight w:val="none"/>
              </w:rPr>
              <w:t>mg/L，可达到</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接管要求，即：COD≤500mg/L、SS≤250mg/L、氨氮≤35mg/L、TP≤3mg/L、TN≤50mg/L。</w:t>
            </w:r>
          </w:p>
          <w:p>
            <w:pPr>
              <w:spacing w:line="360" w:lineRule="auto"/>
              <w:ind w:firstLine="420" w:firstLineChars="200"/>
              <w:jc w:val="both"/>
              <w:rPr>
                <w:b/>
                <w:bCs/>
                <w:color w:val="auto"/>
                <w:sz w:val="21"/>
                <w:szCs w:val="21"/>
                <w:highlight w:val="none"/>
              </w:rPr>
            </w:pPr>
            <w:r>
              <w:rPr>
                <w:color w:val="auto"/>
                <w:sz w:val="21"/>
                <w:szCs w:val="21"/>
                <w:highlight w:val="none"/>
              </w:rPr>
              <w:t>园区现在已完成“雨污分流”，目前园区已接管市政污水管网。因此，从工程角度上，项目废水具备接管可行性。</w:t>
            </w:r>
          </w:p>
          <w:p>
            <w:pPr>
              <w:spacing w:line="360" w:lineRule="auto"/>
              <w:ind w:firstLine="422" w:firstLineChars="200"/>
              <w:jc w:val="left"/>
              <w:rPr>
                <w:b/>
                <w:bCs/>
                <w:color w:val="auto"/>
                <w:sz w:val="21"/>
                <w:szCs w:val="21"/>
                <w:highlight w:val="none"/>
              </w:rPr>
            </w:pPr>
            <w:r>
              <w:rPr>
                <w:b/>
                <w:bCs/>
                <w:color w:val="auto"/>
                <w:sz w:val="21"/>
                <w:szCs w:val="21"/>
                <w:highlight w:val="none"/>
              </w:rPr>
              <w:t>（2）</w:t>
            </w:r>
            <w:r>
              <w:rPr>
                <w:rFonts w:hint="eastAsia" w:ascii="Times New Roman" w:hAnsi="Times New Roman" w:eastAsia="宋体" w:cs="Times New Roman"/>
                <w:b/>
                <w:bCs/>
                <w:color w:val="auto"/>
                <w:kern w:val="2"/>
                <w:sz w:val="21"/>
                <w:szCs w:val="21"/>
                <w:highlight w:val="none"/>
                <w:lang w:val="zh-CN" w:eastAsia="zh-CN"/>
              </w:rPr>
              <w:t>常州金坛区第二污水处理有限公司</w:t>
            </w:r>
            <w:r>
              <w:rPr>
                <w:b/>
                <w:bCs/>
                <w:color w:val="auto"/>
                <w:sz w:val="21"/>
                <w:szCs w:val="21"/>
                <w:highlight w:val="none"/>
              </w:rPr>
              <w:t>处理负荷可行性分析：</w:t>
            </w:r>
          </w:p>
          <w:p>
            <w:pPr>
              <w:spacing w:line="360" w:lineRule="auto"/>
              <w:ind w:firstLine="420" w:firstLineChars="200"/>
              <w:jc w:val="both"/>
              <w:rPr>
                <w:color w:val="auto"/>
                <w:sz w:val="21"/>
                <w:szCs w:val="21"/>
                <w:highlight w:val="none"/>
              </w:rPr>
            </w:pP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一期建设规模2万m</w:t>
            </w:r>
            <w:r>
              <w:rPr>
                <w:color w:val="auto"/>
                <w:sz w:val="21"/>
                <w:szCs w:val="21"/>
                <w:highlight w:val="none"/>
                <w:vertAlign w:val="superscript"/>
              </w:rPr>
              <w:t>3</w:t>
            </w:r>
            <w:r>
              <w:rPr>
                <w:color w:val="auto"/>
                <w:sz w:val="21"/>
                <w:szCs w:val="21"/>
                <w:highlight w:val="none"/>
              </w:rPr>
              <w:t>/d，于2005年底建成运营；二期2万m</w:t>
            </w:r>
            <w:r>
              <w:rPr>
                <w:color w:val="auto"/>
                <w:sz w:val="21"/>
                <w:szCs w:val="21"/>
                <w:highlight w:val="none"/>
                <w:vertAlign w:val="superscript"/>
              </w:rPr>
              <w:t>3</w:t>
            </w:r>
            <w:r>
              <w:rPr>
                <w:color w:val="auto"/>
                <w:sz w:val="21"/>
                <w:szCs w:val="21"/>
                <w:highlight w:val="none"/>
              </w:rPr>
              <w:t>/d，已于2009年底正式投入运营；三期2万m</w:t>
            </w:r>
            <w:r>
              <w:rPr>
                <w:color w:val="auto"/>
                <w:sz w:val="21"/>
                <w:szCs w:val="21"/>
                <w:highlight w:val="none"/>
                <w:vertAlign w:val="superscript"/>
              </w:rPr>
              <w:t>3</w:t>
            </w:r>
            <w:r>
              <w:rPr>
                <w:color w:val="auto"/>
                <w:sz w:val="21"/>
                <w:szCs w:val="21"/>
                <w:highlight w:val="none"/>
              </w:rPr>
              <w:t>/d，已于2014年4月8日取得原金坛市环保局的环评批复。目前</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处理能力已达6万m</w:t>
            </w:r>
            <w:r>
              <w:rPr>
                <w:color w:val="auto"/>
                <w:sz w:val="21"/>
                <w:szCs w:val="21"/>
                <w:highlight w:val="none"/>
                <w:vertAlign w:val="superscript"/>
              </w:rPr>
              <w:t>3</w:t>
            </w:r>
            <w:r>
              <w:rPr>
                <w:color w:val="auto"/>
                <w:sz w:val="21"/>
                <w:szCs w:val="21"/>
                <w:highlight w:val="none"/>
              </w:rPr>
              <w:t>/d，实际污水处理量为5.5万m</w:t>
            </w:r>
            <w:r>
              <w:rPr>
                <w:color w:val="auto"/>
                <w:sz w:val="21"/>
                <w:szCs w:val="21"/>
                <w:highlight w:val="none"/>
                <w:vertAlign w:val="superscript"/>
              </w:rPr>
              <w:t>3</w:t>
            </w:r>
            <w:r>
              <w:rPr>
                <w:color w:val="auto"/>
                <w:sz w:val="21"/>
                <w:szCs w:val="21"/>
                <w:highlight w:val="none"/>
              </w:rPr>
              <w:t>/d，尚有0.5万m</w:t>
            </w:r>
            <w:r>
              <w:rPr>
                <w:color w:val="auto"/>
                <w:sz w:val="21"/>
                <w:szCs w:val="21"/>
                <w:highlight w:val="none"/>
                <w:vertAlign w:val="superscript"/>
              </w:rPr>
              <w:t>3</w:t>
            </w:r>
            <w:r>
              <w:rPr>
                <w:color w:val="auto"/>
                <w:sz w:val="21"/>
                <w:szCs w:val="21"/>
                <w:highlight w:val="none"/>
              </w:rPr>
              <w:t>/d的余量，且规划建设规模为16万m</w:t>
            </w:r>
            <w:r>
              <w:rPr>
                <w:color w:val="auto"/>
                <w:sz w:val="21"/>
                <w:szCs w:val="21"/>
                <w:highlight w:val="none"/>
                <w:vertAlign w:val="superscript"/>
              </w:rPr>
              <w:t>3</w:t>
            </w:r>
            <w:r>
              <w:rPr>
                <w:color w:val="auto"/>
                <w:sz w:val="21"/>
                <w:szCs w:val="21"/>
                <w:highlight w:val="none"/>
              </w:rPr>
              <w:t>/d。</w:t>
            </w:r>
          </w:p>
          <w:p>
            <w:pPr>
              <w:spacing w:line="360" w:lineRule="auto"/>
              <w:ind w:firstLine="420" w:firstLineChars="200"/>
              <w:jc w:val="both"/>
              <w:rPr>
                <w:color w:val="auto"/>
                <w:sz w:val="21"/>
                <w:szCs w:val="21"/>
                <w:highlight w:val="none"/>
              </w:rPr>
            </w:pPr>
            <w:r>
              <w:rPr>
                <w:color w:val="auto"/>
                <w:sz w:val="21"/>
                <w:szCs w:val="21"/>
                <w:highlight w:val="none"/>
              </w:rPr>
              <w:t>本项目建成后污水排放量为</w:t>
            </w:r>
            <w:r>
              <w:rPr>
                <w:rFonts w:hint="eastAsia"/>
                <w:color w:val="auto"/>
                <w:sz w:val="21"/>
                <w:szCs w:val="21"/>
                <w:highlight w:val="none"/>
              </w:rPr>
              <w:t>1.2</w:t>
            </w:r>
            <w:r>
              <w:rPr>
                <w:color w:val="auto"/>
                <w:sz w:val="21"/>
                <w:szCs w:val="21"/>
                <w:highlight w:val="none"/>
              </w:rPr>
              <w:t>m</w:t>
            </w:r>
            <w:r>
              <w:rPr>
                <w:color w:val="auto"/>
                <w:sz w:val="21"/>
                <w:szCs w:val="21"/>
                <w:highlight w:val="none"/>
                <w:vertAlign w:val="superscript"/>
              </w:rPr>
              <w:t>3</w:t>
            </w:r>
            <w:r>
              <w:rPr>
                <w:color w:val="auto"/>
                <w:sz w:val="21"/>
                <w:szCs w:val="21"/>
                <w:highlight w:val="none"/>
              </w:rPr>
              <w:t>/d，占</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处理余量的比例较小，仅0.0</w:t>
            </w:r>
            <w:r>
              <w:rPr>
                <w:rFonts w:hint="eastAsia"/>
                <w:color w:val="auto"/>
                <w:sz w:val="21"/>
                <w:szCs w:val="21"/>
                <w:highlight w:val="none"/>
              </w:rPr>
              <w:t>24</w:t>
            </w:r>
            <w:r>
              <w:rPr>
                <w:color w:val="auto"/>
                <w:sz w:val="21"/>
                <w:szCs w:val="21"/>
                <w:highlight w:val="none"/>
              </w:rPr>
              <w:t>%。因此，从水量分析，</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接纳本项目废水是可行的。</w:t>
            </w:r>
          </w:p>
          <w:p>
            <w:pPr>
              <w:pStyle w:val="11"/>
              <w:spacing w:line="360" w:lineRule="auto"/>
              <w:ind w:left="0" w:leftChars="0" w:right="0" w:rightChars="0" w:firstLine="482"/>
              <w:jc w:val="both"/>
              <w:rPr>
                <w:b/>
                <w:bCs/>
                <w:color w:val="auto"/>
                <w:sz w:val="21"/>
                <w:szCs w:val="21"/>
                <w:highlight w:val="none"/>
              </w:rPr>
            </w:pPr>
            <w:r>
              <w:rPr>
                <w:b/>
                <w:bCs/>
                <w:color w:val="auto"/>
                <w:sz w:val="21"/>
                <w:szCs w:val="21"/>
                <w:highlight w:val="none"/>
              </w:rPr>
              <w:t>（3）</w:t>
            </w:r>
            <w:r>
              <w:rPr>
                <w:rFonts w:hint="eastAsia" w:ascii="Times New Roman" w:hAnsi="Times New Roman" w:eastAsia="宋体" w:cs="Times New Roman"/>
                <w:b/>
                <w:bCs/>
                <w:color w:val="auto"/>
                <w:kern w:val="2"/>
                <w:sz w:val="21"/>
                <w:szCs w:val="21"/>
                <w:highlight w:val="none"/>
                <w:lang w:val="zh-CN" w:eastAsia="zh-CN"/>
              </w:rPr>
              <w:t>常州金坛区第二污水处理有限公司</w:t>
            </w:r>
            <w:r>
              <w:rPr>
                <w:b/>
                <w:bCs/>
                <w:color w:val="auto"/>
                <w:sz w:val="21"/>
                <w:szCs w:val="21"/>
                <w:highlight w:val="none"/>
              </w:rPr>
              <w:t>处理工艺可行性分析：</w:t>
            </w:r>
          </w:p>
          <w:p>
            <w:pPr>
              <w:pStyle w:val="11"/>
              <w:spacing w:line="360" w:lineRule="auto"/>
              <w:ind w:left="0" w:leftChars="0" w:right="0" w:rightChars="0" w:firstLine="480"/>
              <w:jc w:val="both"/>
              <w:rPr>
                <w:color w:val="auto"/>
                <w:sz w:val="21"/>
                <w:szCs w:val="21"/>
                <w:highlight w:val="none"/>
              </w:rPr>
            </w:pP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采用A</w:t>
            </w:r>
            <w:r>
              <w:rPr>
                <w:color w:val="auto"/>
                <w:sz w:val="21"/>
                <w:szCs w:val="21"/>
                <w:highlight w:val="none"/>
                <w:vertAlign w:val="superscript"/>
              </w:rPr>
              <w:t>2</w:t>
            </w:r>
            <w:r>
              <w:rPr>
                <w:color w:val="auto"/>
                <w:sz w:val="21"/>
                <w:szCs w:val="21"/>
                <w:highlight w:val="none"/>
              </w:rPr>
              <w:t>/O工艺，把除磷、脱氮和降解有机物三个生化过程结合起来，在厌氧段和缺氧段为除磷和脱氮提供各自不同的反应条件。</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尾水执行《城镇污水处理厂污染物排放标准》（GB18918-2002）一级A标准及《太湖地区城镇污水处理厂及重点工业行业重要水污染物排放限值》（DB32/1072-2018）标准，排入尧塘河。具体工艺流程见下图。</w:t>
            </w:r>
          </w:p>
          <w:p>
            <w:pPr>
              <w:spacing w:line="360" w:lineRule="auto"/>
              <w:jc w:val="center"/>
              <w:rPr>
                <w:color w:val="auto"/>
                <w:sz w:val="21"/>
                <w:szCs w:val="21"/>
                <w:highlight w:val="none"/>
              </w:rPr>
            </w:pPr>
            <w:r>
              <w:rPr>
                <w:color w:val="auto"/>
                <w:sz w:val="21"/>
                <w:szCs w:val="21"/>
                <w:highlight w:val="none"/>
              </w:rPr>
              <w:object>
                <v:shape id="_x0000_i1030" o:spt="75" type="#_x0000_t75" style="height:135.85pt;width:418.4pt;" o:ole="t" filled="f" o:preferrelative="t" stroked="t" coordsize="21600,21600">
                  <v:path/>
                  <v:fill on="f" focussize="0,0"/>
                  <v:stroke color="#000000"/>
                  <v:imagedata r:id="rId18" o:title=""/>
                  <o:lock v:ext="edit" aspectratio="t"/>
                  <w10:wrap type="none"/>
                  <w10:anchorlock/>
                </v:shape>
                <o:OLEObject Type="Embed" ProgID="Visio.Drawing.11" ShapeID="_x0000_i1030" DrawAspect="Content" ObjectID="_1468075730" r:id="rId17">
                  <o:LockedField>false</o:LockedField>
                </o:OLEObject>
              </w:object>
            </w:r>
          </w:p>
          <w:p>
            <w:pPr>
              <w:spacing w:line="360" w:lineRule="auto"/>
              <w:jc w:val="center"/>
              <w:rPr>
                <w:b/>
                <w:color w:val="auto"/>
                <w:sz w:val="21"/>
                <w:szCs w:val="21"/>
                <w:highlight w:val="none"/>
              </w:rPr>
            </w:pPr>
            <w:r>
              <w:rPr>
                <w:b/>
                <w:color w:val="auto"/>
                <w:sz w:val="21"/>
                <w:szCs w:val="21"/>
                <w:highlight w:val="none"/>
              </w:rPr>
              <w:t>图4-</w:t>
            </w:r>
            <w:r>
              <w:rPr>
                <w:rFonts w:hint="eastAsia"/>
                <w:b/>
                <w:color w:val="auto"/>
                <w:sz w:val="21"/>
                <w:szCs w:val="21"/>
                <w:highlight w:val="none"/>
                <w:lang w:val="en-US" w:eastAsia="zh-CN"/>
              </w:rPr>
              <w:t>3</w:t>
            </w:r>
            <w:r>
              <w:rPr>
                <w:b/>
                <w:color w:val="auto"/>
                <w:sz w:val="21"/>
                <w:szCs w:val="21"/>
                <w:highlight w:val="none"/>
              </w:rPr>
              <w:t xml:space="preserve"> </w:t>
            </w:r>
            <w:r>
              <w:rPr>
                <w:rFonts w:hint="eastAsia" w:ascii="Times New Roman" w:hAnsi="Times New Roman" w:eastAsia="宋体" w:cs="Times New Roman"/>
                <w:b/>
                <w:bCs/>
                <w:color w:val="auto"/>
                <w:kern w:val="2"/>
                <w:sz w:val="21"/>
                <w:szCs w:val="21"/>
                <w:highlight w:val="none"/>
                <w:lang w:val="zh-CN" w:eastAsia="zh-CN"/>
              </w:rPr>
              <w:t>常州金坛区第二污水处理有限公司</w:t>
            </w:r>
            <w:r>
              <w:rPr>
                <w:b/>
                <w:bCs/>
                <w:color w:val="auto"/>
                <w:sz w:val="21"/>
                <w:szCs w:val="21"/>
                <w:highlight w:val="none"/>
              </w:rPr>
              <w:t>处</w:t>
            </w:r>
            <w:r>
              <w:rPr>
                <w:b/>
                <w:color w:val="auto"/>
                <w:sz w:val="21"/>
                <w:szCs w:val="21"/>
                <w:highlight w:val="none"/>
              </w:rPr>
              <w:t>理工艺流程图</w:t>
            </w:r>
          </w:p>
          <w:p>
            <w:pPr>
              <w:pStyle w:val="11"/>
              <w:spacing w:line="360" w:lineRule="auto"/>
              <w:ind w:left="0" w:leftChars="0" w:right="0" w:rightChars="0" w:firstLine="480"/>
              <w:jc w:val="both"/>
              <w:rPr>
                <w:color w:val="auto"/>
                <w:sz w:val="21"/>
                <w:szCs w:val="21"/>
                <w:highlight w:val="none"/>
              </w:rPr>
            </w:pPr>
            <w:r>
              <w:rPr>
                <w:color w:val="auto"/>
                <w:sz w:val="21"/>
                <w:szCs w:val="21"/>
                <w:highlight w:val="none"/>
              </w:rPr>
              <w:t>污水处理工艺简述：废水经过粗格栅隔去除尺寸较大的杂质由进水泵房的污水泵将污水经细格栅打入旋流沉砂池。污水经过沉砂后进入A</w:t>
            </w:r>
            <w:r>
              <w:rPr>
                <w:color w:val="auto"/>
                <w:sz w:val="21"/>
                <w:szCs w:val="21"/>
                <w:highlight w:val="none"/>
                <w:vertAlign w:val="superscript"/>
              </w:rPr>
              <w:t>2</w:t>
            </w:r>
            <w:r>
              <w:rPr>
                <w:color w:val="auto"/>
                <w:sz w:val="21"/>
                <w:szCs w:val="21"/>
                <w:highlight w:val="none"/>
              </w:rPr>
              <w:t>/O反应池进行生化处理，通过厌氧、缺氧和好氧交替变化的环境完成除磷脱氮，处理后废水经加氯接触消毒后排放。A</w:t>
            </w:r>
            <w:r>
              <w:rPr>
                <w:color w:val="auto"/>
                <w:sz w:val="21"/>
                <w:szCs w:val="21"/>
                <w:highlight w:val="none"/>
                <w:vertAlign w:val="superscript"/>
              </w:rPr>
              <w:t>2</w:t>
            </w:r>
            <w:r>
              <w:rPr>
                <w:color w:val="auto"/>
                <w:sz w:val="21"/>
                <w:szCs w:val="21"/>
                <w:highlight w:val="none"/>
              </w:rPr>
              <w:t>/O反应池剩余污泥从沉淀区排出，进入污泥均质池（回流污泥泵房），然后进入污泥浓缩脱水车间采用板框压滤机压成泥饼外运。污泥处理产生的废水返回到废水处理工艺流程，尾水处理达标后排入尧塘河。</w:t>
            </w:r>
          </w:p>
          <w:p>
            <w:pPr>
              <w:pStyle w:val="11"/>
              <w:spacing w:line="360" w:lineRule="auto"/>
              <w:ind w:left="0" w:leftChars="0" w:right="0" w:rightChars="0" w:firstLine="480"/>
              <w:jc w:val="both"/>
              <w:rPr>
                <w:color w:val="auto"/>
                <w:sz w:val="21"/>
                <w:szCs w:val="21"/>
                <w:highlight w:val="none"/>
              </w:rPr>
            </w:pPr>
            <w:r>
              <w:rPr>
                <w:color w:val="auto"/>
                <w:sz w:val="21"/>
                <w:szCs w:val="21"/>
                <w:highlight w:val="none"/>
              </w:rPr>
              <w:t>本项目废水主要污染物为COD、SS、NH</w:t>
            </w:r>
            <w:r>
              <w:rPr>
                <w:color w:val="auto"/>
                <w:sz w:val="21"/>
                <w:szCs w:val="21"/>
                <w:highlight w:val="none"/>
                <w:vertAlign w:val="subscript"/>
              </w:rPr>
              <w:t>3</w:t>
            </w:r>
            <w:r>
              <w:rPr>
                <w:color w:val="auto"/>
                <w:sz w:val="21"/>
                <w:szCs w:val="21"/>
                <w:highlight w:val="none"/>
              </w:rPr>
              <w:t>-N、TP、TN，水质简单，可生化性好，从废水排放达标分析结果可知，废水水质满足</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接管水质要求。即从处理工艺上接管可行。此外，本项目外排废水中不含氮、磷，满足《江苏省太湖水污染防治条例》的有关规定。</w:t>
            </w:r>
          </w:p>
          <w:p>
            <w:pPr>
              <w:pStyle w:val="11"/>
              <w:spacing w:line="360" w:lineRule="auto"/>
              <w:ind w:left="0" w:leftChars="0" w:right="0" w:rightChars="0" w:firstLine="480"/>
              <w:jc w:val="both"/>
              <w:rPr>
                <w:color w:val="auto"/>
                <w:sz w:val="21"/>
                <w:szCs w:val="21"/>
                <w:highlight w:val="none"/>
              </w:rPr>
            </w:pPr>
            <w:r>
              <w:rPr>
                <w:color w:val="auto"/>
                <w:sz w:val="21"/>
                <w:szCs w:val="21"/>
                <w:highlight w:val="none"/>
              </w:rPr>
              <w:t>本项目</w:t>
            </w:r>
            <w:r>
              <w:rPr>
                <w:rFonts w:hint="eastAsia"/>
                <w:color w:val="auto"/>
                <w:sz w:val="21"/>
                <w:szCs w:val="21"/>
                <w:highlight w:val="none"/>
              </w:rPr>
              <w:t>生活污水</w:t>
            </w:r>
            <w:r>
              <w:rPr>
                <w:color w:val="auto"/>
                <w:sz w:val="21"/>
                <w:szCs w:val="21"/>
                <w:highlight w:val="none"/>
              </w:rPr>
              <w:t>经</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处理后排放至尧塘河。引用</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的环评结论，废水经</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color w:val="auto"/>
                <w:sz w:val="21"/>
                <w:szCs w:val="21"/>
                <w:highlight w:val="none"/>
              </w:rPr>
              <w:t>处理后对尧塘河的影响较小。</w:t>
            </w:r>
          </w:p>
          <w:p>
            <w:pPr>
              <w:pStyle w:val="6"/>
              <w:spacing w:line="360" w:lineRule="auto"/>
              <w:ind w:firstLine="482"/>
              <w:jc w:val="both"/>
              <w:rPr>
                <w:b/>
                <w:bCs/>
                <w:color w:val="auto"/>
                <w:sz w:val="21"/>
                <w:szCs w:val="21"/>
                <w:highlight w:val="none"/>
              </w:rPr>
            </w:pPr>
            <w:r>
              <w:rPr>
                <w:b/>
                <w:bCs/>
                <w:color w:val="auto"/>
                <w:sz w:val="21"/>
                <w:szCs w:val="21"/>
                <w:highlight w:val="none"/>
              </w:rPr>
              <w:t>5、环境监测</w:t>
            </w:r>
          </w:p>
          <w:p>
            <w:pPr>
              <w:pStyle w:val="6"/>
              <w:spacing w:line="360" w:lineRule="auto"/>
              <w:ind w:firstLine="480"/>
              <w:jc w:val="both"/>
              <w:rPr>
                <w:color w:val="auto"/>
                <w:sz w:val="21"/>
                <w:szCs w:val="21"/>
                <w:highlight w:val="none"/>
              </w:rPr>
            </w:pPr>
            <w:r>
              <w:rPr>
                <w:color w:val="auto"/>
                <w:sz w:val="21"/>
                <w:szCs w:val="21"/>
                <w:highlight w:val="none"/>
              </w:rPr>
              <w:t>根据《排污单位自行监测技术指南 总则》（HJ819-2017）中相关要求，建设单位</w:t>
            </w:r>
            <w:r>
              <w:rPr>
                <w:rFonts w:hint="eastAsia"/>
                <w:color w:val="auto"/>
                <w:sz w:val="21"/>
                <w:szCs w:val="21"/>
                <w:highlight w:val="none"/>
              </w:rPr>
              <w:t>生活污水</w:t>
            </w:r>
            <w:r>
              <w:rPr>
                <w:color w:val="auto"/>
                <w:sz w:val="21"/>
                <w:szCs w:val="21"/>
                <w:highlight w:val="none"/>
              </w:rPr>
              <w:t>监测计划和验收检测方案详见下表。</w:t>
            </w:r>
          </w:p>
          <w:p>
            <w:pPr>
              <w:pStyle w:val="6"/>
              <w:ind w:firstLine="0" w:firstLineChars="0"/>
              <w:jc w:val="center"/>
              <w:rPr>
                <w:b/>
                <w:color w:val="auto"/>
                <w:sz w:val="21"/>
                <w:szCs w:val="21"/>
                <w:highlight w:val="none"/>
              </w:rPr>
            </w:pPr>
            <w:r>
              <w:rPr>
                <w:b/>
                <w:color w:val="auto"/>
                <w:kern w:val="0"/>
                <w:sz w:val="21"/>
                <w:szCs w:val="21"/>
                <w:highlight w:val="none"/>
              </w:rPr>
              <w:t>表4-1</w:t>
            </w:r>
            <w:r>
              <w:rPr>
                <w:rFonts w:hint="eastAsia"/>
                <w:b/>
                <w:color w:val="auto"/>
                <w:kern w:val="0"/>
                <w:sz w:val="21"/>
                <w:szCs w:val="21"/>
                <w:highlight w:val="none"/>
                <w:lang w:val="en-US" w:eastAsia="zh-CN"/>
              </w:rPr>
              <w:t>8</w:t>
            </w:r>
            <w:r>
              <w:rPr>
                <w:b/>
                <w:color w:val="auto"/>
                <w:kern w:val="0"/>
                <w:sz w:val="21"/>
                <w:szCs w:val="21"/>
                <w:highlight w:val="none"/>
              </w:rPr>
              <w:t xml:space="preserve"> 污染源监测计划</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139"/>
              <w:gridCol w:w="1141"/>
              <w:gridCol w:w="1694"/>
              <w:gridCol w:w="3277"/>
              <w:gridCol w:w="123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71" w:type="pct"/>
                  <w:vAlign w:val="center"/>
                </w:tcPr>
                <w:p>
                  <w:pPr>
                    <w:jc w:val="center"/>
                    <w:rPr>
                      <w:b/>
                      <w:color w:val="auto"/>
                      <w:sz w:val="21"/>
                      <w:szCs w:val="21"/>
                      <w:highlight w:val="none"/>
                    </w:rPr>
                  </w:pPr>
                  <w:r>
                    <w:rPr>
                      <w:b/>
                      <w:color w:val="auto"/>
                      <w:sz w:val="21"/>
                      <w:szCs w:val="21"/>
                      <w:highlight w:val="none"/>
                    </w:rPr>
                    <w:t>类型</w:t>
                  </w:r>
                </w:p>
              </w:tc>
              <w:tc>
                <w:tcPr>
                  <w:tcW w:w="672" w:type="pct"/>
                  <w:vAlign w:val="center"/>
                </w:tcPr>
                <w:p>
                  <w:pPr>
                    <w:jc w:val="center"/>
                    <w:rPr>
                      <w:b/>
                      <w:color w:val="auto"/>
                      <w:sz w:val="21"/>
                      <w:szCs w:val="21"/>
                      <w:highlight w:val="none"/>
                    </w:rPr>
                  </w:pPr>
                  <w:r>
                    <w:rPr>
                      <w:b/>
                      <w:color w:val="auto"/>
                      <w:sz w:val="21"/>
                      <w:szCs w:val="21"/>
                      <w:highlight w:val="none"/>
                    </w:rPr>
                    <w:t>监测项目</w:t>
                  </w:r>
                </w:p>
              </w:tc>
              <w:tc>
                <w:tcPr>
                  <w:tcW w:w="998" w:type="pct"/>
                  <w:vAlign w:val="center"/>
                </w:tcPr>
                <w:p>
                  <w:pPr>
                    <w:jc w:val="center"/>
                    <w:rPr>
                      <w:b/>
                      <w:color w:val="auto"/>
                      <w:sz w:val="21"/>
                      <w:szCs w:val="21"/>
                      <w:highlight w:val="none"/>
                    </w:rPr>
                  </w:pPr>
                  <w:r>
                    <w:rPr>
                      <w:b/>
                      <w:color w:val="auto"/>
                      <w:sz w:val="21"/>
                      <w:szCs w:val="21"/>
                      <w:highlight w:val="none"/>
                    </w:rPr>
                    <w:t>检测点位</w:t>
                  </w:r>
                </w:p>
              </w:tc>
              <w:tc>
                <w:tcPr>
                  <w:tcW w:w="1931" w:type="pct"/>
                  <w:vAlign w:val="center"/>
                </w:tcPr>
                <w:p>
                  <w:pPr>
                    <w:jc w:val="center"/>
                    <w:rPr>
                      <w:b/>
                      <w:color w:val="auto"/>
                      <w:sz w:val="21"/>
                      <w:szCs w:val="21"/>
                      <w:highlight w:val="none"/>
                    </w:rPr>
                  </w:pPr>
                  <w:r>
                    <w:rPr>
                      <w:b/>
                      <w:color w:val="auto"/>
                      <w:sz w:val="21"/>
                      <w:szCs w:val="21"/>
                      <w:highlight w:val="none"/>
                    </w:rPr>
                    <w:t>监测因子</w:t>
                  </w:r>
                </w:p>
              </w:tc>
              <w:tc>
                <w:tcPr>
                  <w:tcW w:w="725" w:type="pct"/>
                  <w:vAlign w:val="center"/>
                </w:tcPr>
                <w:p>
                  <w:pPr>
                    <w:jc w:val="center"/>
                    <w:rPr>
                      <w:b/>
                      <w:color w:val="auto"/>
                      <w:sz w:val="21"/>
                      <w:szCs w:val="21"/>
                      <w:highlight w:val="none"/>
                    </w:rPr>
                  </w:pPr>
                  <w:r>
                    <w:rPr>
                      <w:b/>
                      <w:color w:val="auto"/>
                      <w:sz w:val="21"/>
                      <w:szCs w:val="21"/>
                      <w:highlight w:val="none"/>
                    </w:rPr>
                    <w:t>监测频率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71" w:type="pct"/>
                  <w:vAlign w:val="center"/>
                </w:tcPr>
                <w:p>
                  <w:pPr>
                    <w:jc w:val="center"/>
                    <w:rPr>
                      <w:color w:val="auto"/>
                      <w:sz w:val="21"/>
                      <w:szCs w:val="21"/>
                      <w:highlight w:val="none"/>
                    </w:rPr>
                  </w:pPr>
                  <w:r>
                    <w:rPr>
                      <w:color w:val="auto"/>
                      <w:sz w:val="21"/>
                      <w:szCs w:val="21"/>
                      <w:highlight w:val="none"/>
                    </w:rPr>
                    <w:t>例行监测</w:t>
                  </w:r>
                </w:p>
              </w:tc>
              <w:tc>
                <w:tcPr>
                  <w:tcW w:w="672" w:type="pct"/>
                  <w:vAlign w:val="center"/>
                </w:tcPr>
                <w:p>
                  <w:pPr>
                    <w:jc w:val="center"/>
                    <w:rPr>
                      <w:color w:val="auto"/>
                      <w:sz w:val="21"/>
                      <w:szCs w:val="21"/>
                      <w:highlight w:val="none"/>
                    </w:rPr>
                  </w:pPr>
                  <w:r>
                    <w:rPr>
                      <w:rFonts w:hint="eastAsia"/>
                      <w:color w:val="auto"/>
                      <w:sz w:val="21"/>
                      <w:szCs w:val="21"/>
                      <w:highlight w:val="none"/>
                    </w:rPr>
                    <w:t>生活污水</w:t>
                  </w:r>
                </w:p>
              </w:tc>
              <w:tc>
                <w:tcPr>
                  <w:tcW w:w="998" w:type="pct"/>
                  <w:vAlign w:val="center"/>
                </w:tcPr>
                <w:p>
                  <w:pPr>
                    <w:jc w:val="center"/>
                    <w:rPr>
                      <w:color w:val="auto"/>
                      <w:sz w:val="21"/>
                      <w:szCs w:val="21"/>
                      <w:highlight w:val="none"/>
                    </w:rPr>
                  </w:pPr>
                  <w:r>
                    <w:rPr>
                      <w:color w:val="auto"/>
                      <w:sz w:val="21"/>
                      <w:szCs w:val="21"/>
                      <w:highlight w:val="none"/>
                    </w:rPr>
                    <w:t>厂区总排放口</w:t>
                  </w:r>
                </w:p>
              </w:tc>
              <w:tc>
                <w:tcPr>
                  <w:tcW w:w="1931" w:type="pct"/>
                  <w:vAlign w:val="center"/>
                </w:tcPr>
                <w:p>
                  <w:pPr>
                    <w:jc w:val="center"/>
                    <w:rPr>
                      <w:color w:val="auto"/>
                      <w:sz w:val="21"/>
                      <w:szCs w:val="21"/>
                      <w:highlight w:val="none"/>
                    </w:rPr>
                  </w:pPr>
                  <w:r>
                    <w:rPr>
                      <w:color w:val="auto"/>
                      <w:sz w:val="21"/>
                      <w:szCs w:val="21"/>
                      <w:highlight w:val="none"/>
                    </w:rPr>
                    <w:t>pH值、悬浮物、化学需氧量、</w:t>
                  </w:r>
                </w:p>
                <w:p>
                  <w:pPr>
                    <w:jc w:val="center"/>
                    <w:rPr>
                      <w:color w:val="auto"/>
                      <w:sz w:val="21"/>
                      <w:szCs w:val="21"/>
                      <w:highlight w:val="none"/>
                    </w:rPr>
                  </w:pPr>
                  <w:r>
                    <w:rPr>
                      <w:color w:val="auto"/>
                      <w:sz w:val="21"/>
                      <w:szCs w:val="21"/>
                      <w:highlight w:val="none"/>
                    </w:rPr>
                    <w:t>氨氮、总磷、总氮</w:t>
                  </w:r>
                </w:p>
              </w:tc>
              <w:tc>
                <w:tcPr>
                  <w:tcW w:w="725" w:type="pct"/>
                  <w:vAlign w:val="center"/>
                </w:tcPr>
                <w:p>
                  <w:pPr>
                    <w:jc w:val="center"/>
                    <w:rPr>
                      <w:color w:val="auto"/>
                      <w:sz w:val="21"/>
                      <w:szCs w:val="21"/>
                      <w:highlight w:val="none"/>
                    </w:rPr>
                  </w:pPr>
                  <w:r>
                    <w:rPr>
                      <w:color w:val="auto"/>
                      <w:sz w:val="21"/>
                      <w:szCs w:val="21"/>
                      <w:highlight w:val="none"/>
                    </w:rPr>
                    <w:t>1次/</w:t>
                  </w:r>
                  <w:r>
                    <w:rPr>
                      <w:rFonts w:hint="eastAsia"/>
                      <w:color w:val="auto"/>
                      <w:sz w:val="21"/>
                      <w:szCs w:val="21"/>
                      <w:highlight w:val="none"/>
                    </w:rPr>
                    <w:t>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71" w:type="pct"/>
                  <w:vAlign w:val="center"/>
                </w:tcPr>
                <w:p>
                  <w:pPr>
                    <w:jc w:val="center"/>
                    <w:rPr>
                      <w:color w:val="auto"/>
                      <w:sz w:val="21"/>
                      <w:szCs w:val="21"/>
                      <w:highlight w:val="none"/>
                    </w:rPr>
                  </w:pPr>
                  <w:r>
                    <w:rPr>
                      <w:color w:val="auto"/>
                      <w:sz w:val="21"/>
                      <w:szCs w:val="21"/>
                      <w:highlight w:val="none"/>
                    </w:rPr>
                    <w:t>验收监测方案</w:t>
                  </w:r>
                </w:p>
              </w:tc>
              <w:tc>
                <w:tcPr>
                  <w:tcW w:w="672" w:type="pct"/>
                  <w:vAlign w:val="center"/>
                </w:tcPr>
                <w:p>
                  <w:pPr>
                    <w:jc w:val="center"/>
                    <w:rPr>
                      <w:color w:val="auto"/>
                      <w:sz w:val="21"/>
                      <w:szCs w:val="21"/>
                      <w:highlight w:val="none"/>
                    </w:rPr>
                  </w:pPr>
                  <w:r>
                    <w:rPr>
                      <w:rFonts w:hint="eastAsia"/>
                      <w:color w:val="auto"/>
                      <w:sz w:val="21"/>
                      <w:szCs w:val="21"/>
                      <w:highlight w:val="none"/>
                    </w:rPr>
                    <w:t>生活污水</w:t>
                  </w:r>
                </w:p>
              </w:tc>
              <w:tc>
                <w:tcPr>
                  <w:tcW w:w="998" w:type="pct"/>
                  <w:vAlign w:val="center"/>
                </w:tcPr>
                <w:p>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废水排放口</w:t>
                  </w:r>
                </w:p>
              </w:tc>
              <w:tc>
                <w:tcPr>
                  <w:tcW w:w="1931" w:type="pct"/>
                  <w:vAlign w:val="center"/>
                </w:tcPr>
                <w:p>
                  <w:pPr>
                    <w:jc w:val="center"/>
                    <w:rPr>
                      <w:color w:val="auto"/>
                      <w:sz w:val="21"/>
                      <w:szCs w:val="21"/>
                      <w:highlight w:val="none"/>
                    </w:rPr>
                  </w:pPr>
                  <w:r>
                    <w:rPr>
                      <w:color w:val="auto"/>
                      <w:sz w:val="21"/>
                      <w:szCs w:val="21"/>
                      <w:highlight w:val="none"/>
                    </w:rPr>
                    <w:t>pH值、悬浮物、化学需氧量、</w:t>
                  </w:r>
                </w:p>
                <w:p>
                  <w:pPr>
                    <w:jc w:val="center"/>
                    <w:rPr>
                      <w:color w:val="auto"/>
                      <w:sz w:val="21"/>
                      <w:szCs w:val="21"/>
                      <w:highlight w:val="none"/>
                    </w:rPr>
                  </w:pPr>
                  <w:r>
                    <w:rPr>
                      <w:color w:val="auto"/>
                      <w:sz w:val="21"/>
                      <w:szCs w:val="21"/>
                      <w:highlight w:val="none"/>
                    </w:rPr>
                    <w:t>氨氮、总磷、总氮</w:t>
                  </w:r>
                </w:p>
              </w:tc>
              <w:tc>
                <w:tcPr>
                  <w:tcW w:w="725" w:type="pct"/>
                  <w:vAlign w:val="center"/>
                </w:tcPr>
                <w:p>
                  <w:pPr>
                    <w:jc w:val="center"/>
                    <w:rPr>
                      <w:color w:val="auto"/>
                      <w:sz w:val="21"/>
                      <w:szCs w:val="21"/>
                      <w:highlight w:val="none"/>
                    </w:rPr>
                  </w:pPr>
                  <w:r>
                    <w:rPr>
                      <w:color w:val="auto"/>
                      <w:sz w:val="21"/>
                      <w:szCs w:val="21"/>
                      <w:highlight w:val="none"/>
                    </w:rPr>
                    <w:t>4次/天，连续2天</w:t>
                  </w:r>
                </w:p>
              </w:tc>
            </w:tr>
          </w:tbl>
          <w:p>
            <w:pPr>
              <w:pStyle w:val="6"/>
              <w:spacing w:before="120" w:beforeLines="50" w:line="360" w:lineRule="auto"/>
              <w:ind w:left="105" w:leftChars="50" w:right="105" w:rightChars="50" w:firstLine="482"/>
              <w:rPr>
                <w:b/>
                <w:bCs/>
                <w:color w:val="auto"/>
                <w:sz w:val="21"/>
                <w:szCs w:val="21"/>
                <w:highlight w:val="none"/>
              </w:rPr>
            </w:pPr>
            <w:r>
              <w:rPr>
                <w:b/>
                <w:bCs/>
                <w:color w:val="auto"/>
                <w:sz w:val="21"/>
                <w:szCs w:val="21"/>
                <w:highlight w:val="none"/>
              </w:rPr>
              <w:t>6、结论</w:t>
            </w:r>
          </w:p>
          <w:p>
            <w:pPr>
              <w:pStyle w:val="37"/>
              <w:spacing w:line="360" w:lineRule="auto"/>
              <w:ind w:firstLine="480"/>
              <w:rPr>
                <w:rFonts w:eastAsia="宋体"/>
                <w:color w:val="auto"/>
                <w:sz w:val="21"/>
                <w:szCs w:val="21"/>
                <w:highlight w:val="none"/>
              </w:rPr>
            </w:pPr>
            <w:r>
              <w:rPr>
                <w:rFonts w:eastAsia="宋体"/>
                <w:color w:val="auto"/>
                <w:sz w:val="21"/>
                <w:szCs w:val="21"/>
                <w:highlight w:val="none"/>
              </w:rPr>
              <w:t>综上，项目纳污河流满足《地表水环境质量标准》（GB3838-2002）中III类标准。项目所在地已满足接管城市污水处理厂条件，水质满足</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rFonts w:eastAsia="宋体"/>
                <w:color w:val="auto"/>
                <w:sz w:val="21"/>
                <w:szCs w:val="21"/>
                <w:highlight w:val="none"/>
              </w:rPr>
              <w:t>接管限值。引用</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rFonts w:eastAsia="宋体"/>
                <w:color w:val="auto"/>
                <w:sz w:val="21"/>
                <w:szCs w:val="21"/>
                <w:highlight w:val="none"/>
              </w:rPr>
              <w:t>环评结论可知，项目</w:t>
            </w:r>
            <w:r>
              <w:rPr>
                <w:rFonts w:hint="eastAsia" w:eastAsia="宋体"/>
                <w:color w:val="auto"/>
                <w:sz w:val="21"/>
                <w:szCs w:val="21"/>
                <w:highlight w:val="none"/>
              </w:rPr>
              <w:t>生活污水</w:t>
            </w:r>
            <w:r>
              <w:rPr>
                <w:rFonts w:eastAsia="宋体"/>
                <w:color w:val="auto"/>
                <w:sz w:val="21"/>
                <w:szCs w:val="21"/>
                <w:highlight w:val="none"/>
              </w:rPr>
              <w:t>经</w:t>
            </w:r>
            <w:r>
              <w:rPr>
                <w:rFonts w:hint="eastAsia" w:ascii="Times New Roman" w:hAnsi="Times New Roman" w:eastAsia="宋体" w:cs="Times New Roman"/>
                <w:color w:val="auto"/>
                <w:kern w:val="2"/>
                <w:sz w:val="21"/>
                <w:szCs w:val="21"/>
                <w:highlight w:val="none"/>
                <w:lang w:val="zh-CN" w:eastAsia="zh-CN"/>
              </w:rPr>
              <w:t>常州金坛区第二污水处理有限公司</w:t>
            </w:r>
            <w:r>
              <w:rPr>
                <w:rFonts w:eastAsia="宋体"/>
                <w:color w:val="auto"/>
                <w:sz w:val="21"/>
                <w:szCs w:val="21"/>
                <w:highlight w:val="none"/>
              </w:rPr>
              <w:t>处理达标排放后对地表水环境影响较小。因此本次评价认为本项目对地表水环境影响是可以接受的。</w:t>
            </w:r>
          </w:p>
          <w:p>
            <w:pPr>
              <w:pStyle w:val="6"/>
              <w:spacing w:line="360" w:lineRule="auto"/>
              <w:ind w:firstLine="482"/>
              <w:rPr>
                <w:b/>
                <w:bCs/>
                <w:color w:val="auto"/>
                <w:sz w:val="21"/>
                <w:szCs w:val="21"/>
                <w:highlight w:val="none"/>
              </w:rPr>
            </w:pPr>
            <w:r>
              <w:rPr>
                <w:b/>
                <w:bCs/>
                <w:color w:val="auto"/>
                <w:sz w:val="21"/>
                <w:szCs w:val="21"/>
                <w:highlight w:val="none"/>
              </w:rPr>
              <w:t>三、噪声</w:t>
            </w:r>
          </w:p>
          <w:p>
            <w:pPr>
              <w:pStyle w:val="6"/>
              <w:spacing w:line="360" w:lineRule="auto"/>
              <w:ind w:firstLine="482"/>
              <w:rPr>
                <w:b/>
                <w:bCs/>
                <w:color w:val="auto"/>
                <w:sz w:val="21"/>
                <w:szCs w:val="21"/>
                <w:highlight w:val="none"/>
              </w:rPr>
            </w:pPr>
            <w:r>
              <w:rPr>
                <w:b/>
                <w:bCs/>
                <w:color w:val="auto"/>
                <w:sz w:val="21"/>
                <w:szCs w:val="21"/>
                <w:highlight w:val="none"/>
              </w:rPr>
              <w:t>1、噪声源</w:t>
            </w:r>
          </w:p>
          <w:p>
            <w:pPr>
              <w:spacing w:line="360" w:lineRule="auto"/>
              <w:ind w:firstLine="465"/>
              <w:jc w:val="left"/>
              <w:rPr>
                <w:color w:val="auto"/>
                <w:sz w:val="21"/>
                <w:szCs w:val="21"/>
                <w:highlight w:val="none"/>
              </w:rPr>
            </w:pPr>
            <w:r>
              <w:rPr>
                <w:color w:val="auto"/>
                <w:sz w:val="21"/>
                <w:szCs w:val="21"/>
                <w:highlight w:val="none"/>
              </w:rPr>
              <w:t>本项目主要</w:t>
            </w:r>
            <w:r>
              <w:rPr>
                <w:rFonts w:hint="eastAsia"/>
                <w:color w:val="auto"/>
                <w:kern w:val="0"/>
                <w:sz w:val="21"/>
                <w:szCs w:val="21"/>
                <w:highlight w:val="none"/>
                <w:lang w:bidi="ar"/>
              </w:rPr>
              <w:t>为挤出成型机、修边机、压花机、分切机、粉碎机、风机</w:t>
            </w:r>
            <w:r>
              <w:rPr>
                <w:rFonts w:hint="eastAsia"/>
                <w:color w:val="auto"/>
                <w:kern w:val="0"/>
                <w:sz w:val="21"/>
                <w:szCs w:val="21"/>
                <w:highlight w:val="none"/>
                <w:lang w:eastAsia="zh-CN" w:bidi="ar"/>
              </w:rPr>
              <w:t>、</w:t>
            </w:r>
            <w:r>
              <w:rPr>
                <w:rFonts w:hint="eastAsia"/>
                <w:color w:val="auto"/>
                <w:kern w:val="0"/>
                <w:sz w:val="21"/>
                <w:szCs w:val="21"/>
                <w:highlight w:val="none"/>
                <w:lang w:val="en-US" w:eastAsia="zh-CN" w:bidi="ar"/>
              </w:rPr>
              <w:t>空压机、冷却塔</w:t>
            </w:r>
            <w:r>
              <w:rPr>
                <w:color w:val="auto"/>
                <w:sz w:val="21"/>
                <w:szCs w:val="21"/>
                <w:highlight w:val="none"/>
              </w:rPr>
              <w:t>设备的运行噪声，单台设备噪声源强为</w:t>
            </w:r>
            <w:r>
              <w:rPr>
                <w:rFonts w:hint="eastAsia"/>
                <w:color w:val="auto"/>
                <w:sz w:val="21"/>
                <w:szCs w:val="21"/>
                <w:highlight w:val="none"/>
              </w:rPr>
              <w:t>80</w:t>
            </w:r>
            <w:r>
              <w:rPr>
                <w:color w:val="auto"/>
                <w:sz w:val="21"/>
                <w:szCs w:val="21"/>
                <w:highlight w:val="none"/>
              </w:rPr>
              <w:t>-</w:t>
            </w:r>
            <w:r>
              <w:rPr>
                <w:rFonts w:hint="eastAsia"/>
                <w:color w:val="auto"/>
                <w:sz w:val="21"/>
                <w:szCs w:val="21"/>
                <w:highlight w:val="none"/>
              </w:rPr>
              <w:t>85</w:t>
            </w:r>
            <w:r>
              <w:rPr>
                <w:color w:val="auto"/>
                <w:sz w:val="21"/>
                <w:szCs w:val="21"/>
                <w:highlight w:val="none"/>
              </w:rPr>
              <w:t>dB（A），本项目主要高噪声设备详见下表。</w:t>
            </w:r>
          </w:p>
          <w:p>
            <w:pPr>
              <w:keepNext w:val="0"/>
              <w:keepLines w:val="0"/>
              <w:widowControl/>
              <w:suppressLineNumbers w:val="0"/>
              <w:spacing w:line="24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rPr>
              <w:t>表4</w:t>
            </w:r>
            <w:r>
              <w:rPr>
                <w:rFonts w:hint="eastAsia" w:ascii="Times New Roman" w:hAnsi="Times New Roman" w:eastAsia="宋体" w:cs="Times New Roman"/>
                <w:b/>
                <w:bCs/>
                <w:color w:val="auto"/>
                <w:sz w:val="21"/>
                <w:szCs w:val="21"/>
                <w:highlight w:val="none"/>
                <w:lang w:val="en-US" w:eastAsia="zh-CN"/>
              </w:rPr>
              <w:t>-1</w:t>
            </w:r>
            <w:r>
              <w:rPr>
                <w:rFonts w:hint="eastAsia" w:cs="Times New Roman"/>
                <w:b/>
                <w:bCs/>
                <w:color w:val="auto"/>
                <w:sz w:val="21"/>
                <w:szCs w:val="21"/>
                <w:highlight w:val="none"/>
                <w:lang w:val="en-US" w:eastAsia="zh-CN"/>
              </w:rPr>
              <w:t>9</w:t>
            </w:r>
            <w:r>
              <w:rPr>
                <w:rFonts w:hint="eastAsia" w:ascii="Times New Roman" w:hAnsi="Times New Roman" w:eastAsia="宋体" w:cs="Times New Roman"/>
                <w:b/>
                <w:bCs/>
                <w:color w:val="auto"/>
                <w:sz w:val="21"/>
                <w:szCs w:val="21"/>
                <w:highlight w:val="none"/>
                <w:lang w:val="en-US" w:eastAsia="zh-CN"/>
              </w:rPr>
              <w:t xml:space="preserve"> </w:t>
            </w:r>
            <w:r>
              <w:rPr>
                <w:rFonts w:hint="default" w:ascii="Times New Roman" w:hAnsi="Times New Roman" w:eastAsia="宋体" w:cs="Times New Roman"/>
                <w:b/>
                <w:bCs/>
                <w:color w:val="auto"/>
                <w:sz w:val="21"/>
                <w:szCs w:val="21"/>
                <w:highlight w:val="none"/>
                <w:lang w:val="en-US" w:eastAsia="zh-CN"/>
              </w:rPr>
              <w:t>项目主要噪声源强调查一览表（室外声源）</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502"/>
              <w:gridCol w:w="887"/>
              <w:gridCol w:w="847"/>
              <w:gridCol w:w="786"/>
              <w:gridCol w:w="770"/>
              <w:gridCol w:w="648"/>
              <w:gridCol w:w="1510"/>
              <w:gridCol w:w="1247"/>
              <w:gridCol w:w="128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96" w:type="pct"/>
                  <w:vMerge w:val="restart"/>
                  <w:noWrap w:val="0"/>
                  <w:vAlign w:val="center"/>
                </w:tcPr>
                <w:p>
                  <w:pPr>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序号</w:t>
                  </w:r>
                </w:p>
              </w:tc>
              <w:tc>
                <w:tcPr>
                  <w:tcW w:w="523" w:type="pct"/>
                  <w:vMerge w:val="restart"/>
                  <w:noWrap w:val="0"/>
                  <w:vAlign w:val="center"/>
                </w:tcPr>
                <w:p>
                  <w:pPr>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lang w:val="en-US" w:eastAsia="zh-CN"/>
                    </w:rPr>
                    <w:t>声源名称</w:t>
                  </w:r>
                </w:p>
              </w:tc>
              <w:tc>
                <w:tcPr>
                  <w:tcW w:w="499" w:type="pct"/>
                  <w:vMerge w:val="restart"/>
                  <w:noWrap w:val="0"/>
                  <w:vAlign w:val="center"/>
                </w:tcPr>
                <w:p>
                  <w:pPr>
                    <w:spacing w:line="240" w:lineRule="auto"/>
                    <w:ind w:firstLine="0" w:firstLineChars="0"/>
                    <w:jc w:val="center"/>
                    <w:rPr>
                      <w:rFonts w:hint="eastAsia" w:ascii="Times New Roman" w:hAnsi="Times New Roman" w:eastAsia="宋体" w:cs="Times New Roman"/>
                      <w:b/>
                      <w:color w:val="auto"/>
                      <w:sz w:val="21"/>
                      <w:szCs w:val="21"/>
                      <w:highlight w:val="none"/>
                      <w:lang w:eastAsia="zh-CN"/>
                    </w:rPr>
                  </w:pPr>
                  <w:r>
                    <w:rPr>
                      <w:rFonts w:hint="default" w:ascii="Times New Roman" w:hAnsi="Times New Roman" w:eastAsia="宋体" w:cs="Times New Roman"/>
                      <w:b/>
                      <w:color w:val="auto"/>
                      <w:sz w:val="21"/>
                      <w:szCs w:val="21"/>
                      <w:highlight w:val="none"/>
                    </w:rPr>
                    <w:t>数量</w:t>
                  </w:r>
                  <w:r>
                    <w:rPr>
                      <w:rFonts w:hint="eastAsia" w:cs="Times New Roman"/>
                      <w:b/>
                      <w:color w:val="auto"/>
                      <w:sz w:val="21"/>
                      <w:szCs w:val="21"/>
                      <w:highlight w:val="none"/>
                      <w:lang w:eastAsia="zh-CN"/>
                    </w:rPr>
                    <w:t>（</w:t>
                  </w:r>
                  <w:r>
                    <w:rPr>
                      <w:rFonts w:hint="eastAsia" w:cs="Times New Roman"/>
                      <w:b/>
                      <w:color w:val="auto"/>
                      <w:sz w:val="21"/>
                      <w:szCs w:val="21"/>
                      <w:highlight w:val="none"/>
                      <w:lang w:val="en-US" w:eastAsia="zh-CN"/>
                    </w:rPr>
                    <w:t>台</w:t>
                  </w:r>
                  <w:r>
                    <w:rPr>
                      <w:rFonts w:hint="eastAsia" w:cs="Times New Roman"/>
                      <w:b/>
                      <w:color w:val="auto"/>
                      <w:sz w:val="21"/>
                      <w:szCs w:val="21"/>
                      <w:highlight w:val="none"/>
                      <w:lang w:eastAsia="zh-CN"/>
                    </w:rPr>
                    <w:t>）</w:t>
                  </w:r>
                </w:p>
              </w:tc>
              <w:tc>
                <w:tcPr>
                  <w:tcW w:w="1299" w:type="pct"/>
                  <w:gridSpan w:val="3"/>
                  <w:noWrap w:val="0"/>
                  <w:vAlign w:val="center"/>
                </w:tcPr>
                <w:p>
                  <w:pPr>
                    <w:spacing w:line="240" w:lineRule="auto"/>
                    <w:ind w:firstLine="0" w:firstLineChars="0"/>
                    <w:jc w:val="center"/>
                    <w:rPr>
                      <w:rFonts w:hint="default" w:ascii="Times New Roman" w:hAnsi="Times New Roman" w:eastAsia="宋体" w:cs="Times New Roman"/>
                      <w:b/>
                      <w:color w:val="auto"/>
                      <w:sz w:val="21"/>
                      <w:szCs w:val="21"/>
                      <w:highlight w:val="none"/>
                      <w:lang w:val="en-US" w:eastAsia="zh-CN"/>
                    </w:rPr>
                  </w:pPr>
                  <w:r>
                    <w:rPr>
                      <w:rFonts w:hint="default" w:ascii="Times New Roman" w:hAnsi="Times New Roman" w:eastAsia="宋体" w:cs="Times New Roman"/>
                      <w:b/>
                      <w:color w:val="auto"/>
                      <w:sz w:val="21"/>
                      <w:szCs w:val="21"/>
                      <w:highlight w:val="none"/>
                      <w:lang w:val="en-US" w:eastAsia="zh-CN"/>
                    </w:rPr>
                    <w:t>空间相对位置</w:t>
                  </w:r>
                </w:p>
              </w:tc>
              <w:tc>
                <w:tcPr>
                  <w:tcW w:w="890" w:type="pct"/>
                  <w:vMerge w:val="restart"/>
                  <w:noWrap w:val="0"/>
                  <w:vAlign w:val="center"/>
                </w:tcPr>
                <w:p>
                  <w:pPr>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lang w:val="en-US" w:eastAsia="zh-CN"/>
                    </w:rPr>
                    <w:t>声源源强声功率级/dB（A）</w:t>
                  </w:r>
                </w:p>
              </w:tc>
              <w:tc>
                <w:tcPr>
                  <w:tcW w:w="735" w:type="pct"/>
                  <w:vMerge w:val="restart"/>
                  <w:noWrap w:val="0"/>
                  <w:vAlign w:val="center"/>
                </w:tcPr>
                <w:p>
                  <w:pPr>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lang w:val="en-US" w:eastAsia="zh-CN"/>
                    </w:rPr>
                    <w:t>声源控制措施</w:t>
                  </w:r>
                </w:p>
              </w:tc>
              <w:tc>
                <w:tcPr>
                  <w:tcW w:w="756" w:type="pct"/>
                  <w:vMerge w:val="restart"/>
                  <w:noWrap w:val="0"/>
                  <w:vAlign w:val="center"/>
                </w:tcPr>
                <w:p>
                  <w:pPr>
                    <w:spacing w:line="240" w:lineRule="auto"/>
                    <w:ind w:firstLine="0" w:firstLineChars="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lang w:val="en-US" w:eastAsia="zh-CN"/>
                    </w:rPr>
                    <w:t>运行时段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96" w:type="pct"/>
                  <w:vMerge w:val="continue"/>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rPr>
                  </w:pPr>
                </w:p>
              </w:tc>
              <w:tc>
                <w:tcPr>
                  <w:tcW w:w="523" w:type="pct"/>
                  <w:vMerge w:val="continue"/>
                  <w:noWrap w:val="0"/>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p>
              </w:tc>
              <w:tc>
                <w:tcPr>
                  <w:tcW w:w="499" w:type="pct"/>
                  <w:vMerge w:val="continue"/>
                  <w:noWrap w:val="0"/>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p>
              </w:tc>
              <w:tc>
                <w:tcPr>
                  <w:tcW w:w="463" w:type="pct"/>
                  <w:noWrap w:val="0"/>
                  <w:vAlign w:val="center"/>
                </w:tcPr>
                <w:p>
                  <w:pPr>
                    <w:spacing w:line="240" w:lineRule="auto"/>
                    <w:ind w:firstLine="0" w:firstLineChars="0"/>
                    <w:jc w:val="center"/>
                    <w:rPr>
                      <w:rFonts w:hint="default" w:ascii="Times New Roman" w:hAnsi="Times New Roman" w:eastAsia="宋体" w:cs="Times New Roman"/>
                      <w:b/>
                      <w:color w:val="auto"/>
                      <w:sz w:val="21"/>
                      <w:szCs w:val="21"/>
                      <w:highlight w:val="none"/>
                      <w:lang w:val="en-US" w:eastAsia="zh-CN"/>
                    </w:rPr>
                  </w:pPr>
                  <w:r>
                    <w:rPr>
                      <w:rFonts w:hint="default" w:ascii="Times New Roman" w:hAnsi="Times New Roman" w:eastAsia="宋体" w:cs="Times New Roman"/>
                      <w:b/>
                      <w:color w:val="auto"/>
                      <w:sz w:val="21"/>
                      <w:szCs w:val="21"/>
                      <w:highlight w:val="none"/>
                      <w:lang w:val="en-US" w:eastAsia="zh-CN"/>
                    </w:rPr>
                    <w:t>X</w:t>
                  </w:r>
                </w:p>
              </w:tc>
              <w:tc>
                <w:tcPr>
                  <w:tcW w:w="454" w:type="pct"/>
                  <w:noWrap w:val="0"/>
                  <w:vAlign w:val="center"/>
                </w:tcPr>
                <w:p>
                  <w:pPr>
                    <w:spacing w:line="240" w:lineRule="auto"/>
                    <w:ind w:firstLine="0" w:firstLineChars="0"/>
                    <w:jc w:val="center"/>
                    <w:rPr>
                      <w:rFonts w:hint="default" w:ascii="Times New Roman" w:hAnsi="Times New Roman" w:eastAsia="宋体" w:cs="Times New Roman"/>
                      <w:b/>
                      <w:color w:val="auto"/>
                      <w:sz w:val="21"/>
                      <w:szCs w:val="21"/>
                      <w:highlight w:val="none"/>
                      <w:lang w:val="en-US" w:eastAsia="zh-CN"/>
                    </w:rPr>
                  </w:pPr>
                  <w:r>
                    <w:rPr>
                      <w:rFonts w:hint="default" w:ascii="Times New Roman" w:hAnsi="Times New Roman" w:eastAsia="宋体" w:cs="Times New Roman"/>
                      <w:b/>
                      <w:color w:val="auto"/>
                      <w:sz w:val="21"/>
                      <w:szCs w:val="21"/>
                      <w:highlight w:val="none"/>
                      <w:lang w:val="en-US" w:eastAsia="zh-CN"/>
                    </w:rPr>
                    <w:t>Y</w:t>
                  </w:r>
                </w:p>
              </w:tc>
              <w:tc>
                <w:tcPr>
                  <w:tcW w:w="382" w:type="pct"/>
                  <w:noWrap w:val="0"/>
                  <w:vAlign w:val="center"/>
                </w:tcPr>
                <w:p>
                  <w:pPr>
                    <w:spacing w:line="240" w:lineRule="auto"/>
                    <w:ind w:firstLine="0" w:firstLineChars="0"/>
                    <w:jc w:val="center"/>
                    <w:rPr>
                      <w:rFonts w:hint="default" w:ascii="Times New Roman" w:hAnsi="Times New Roman" w:eastAsia="宋体" w:cs="Times New Roman"/>
                      <w:b/>
                      <w:color w:val="auto"/>
                      <w:sz w:val="21"/>
                      <w:szCs w:val="21"/>
                      <w:highlight w:val="none"/>
                      <w:lang w:val="en-US" w:eastAsia="zh-CN"/>
                    </w:rPr>
                  </w:pPr>
                  <w:r>
                    <w:rPr>
                      <w:rFonts w:hint="default" w:ascii="Times New Roman" w:hAnsi="Times New Roman" w:eastAsia="宋体" w:cs="Times New Roman"/>
                      <w:b/>
                      <w:color w:val="auto"/>
                      <w:sz w:val="21"/>
                      <w:szCs w:val="21"/>
                      <w:highlight w:val="none"/>
                      <w:lang w:val="en-US" w:eastAsia="zh-CN"/>
                    </w:rPr>
                    <w:t>Z</w:t>
                  </w:r>
                </w:p>
              </w:tc>
              <w:tc>
                <w:tcPr>
                  <w:tcW w:w="890" w:type="pct"/>
                  <w:vMerge w:val="continue"/>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p>
              </w:tc>
              <w:tc>
                <w:tcPr>
                  <w:tcW w:w="735" w:type="pct"/>
                  <w:vMerge w:val="continue"/>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p>
              </w:tc>
              <w:tc>
                <w:tcPr>
                  <w:tcW w:w="756" w:type="pct"/>
                  <w:vMerge w:val="continue"/>
                  <w:noWrap w:val="0"/>
                  <w:vAlign w:val="center"/>
                </w:tcPr>
                <w:p>
                  <w:pPr>
                    <w:spacing w:line="240" w:lineRule="auto"/>
                    <w:ind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96" w:type="pct"/>
                  <w:noWrap w:val="0"/>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cs="Times New Roman"/>
                      <w:i w:val="0"/>
                      <w:iCs w:val="0"/>
                      <w:color w:val="auto"/>
                      <w:kern w:val="0"/>
                      <w:sz w:val="21"/>
                      <w:szCs w:val="21"/>
                      <w:highlight w:val="none"/>
                      <w:u w:val="none"/>
                      <w:lang w:val="en-US" w:eastAsia="zh-CN" w:bidi="ar"/>
                    </w:rPr>
                    <w:t>1</w:t>
                  </w:r>
                </w:p>
              </w:tc>
              <w:tc>
                <w:tcPr>
                  <w:tcW w:w="523" w:type="pct"/>
                  <w:noWrap w:val="0"/>
                  <w:vAlign w:val="center"/>
                </w:tcPr>
                <w:p>
                  <w:pPr>
                    <w:keepNext w:val="0"/>
                    <w:keepLines w:val="0"/>
                    <w:widowControl/>
                    <w:suppressLineNumbers w:val="0"/>
                    <w:spacing w:line="240" w:lineRule="auto"/>
                    <w:jc w:val="center"/>
                    <w:textAlignment w:val="center"/>
                    <w:rPr>
                      <w:rFonts w:hint="eastAsia" w:ascii="Times New Roman" w:hAnsi="Times New Roman" w:eastAsia="宋体" w:cs="Times New Roman"/>
                      <w:i w:val="0"/>
                      <w:iCs w:val="0"/>
                      <w:color w:val="auto"/>
                      <w:kern w:val="0"/>
                      <w:sz w:val="21"/>
                      <w:szCs w:val="21"/>
                      <w:highlight w:val="none"/>
                      <w:u w:val="none"/>
                      <w:lang w:val="en-US" w:eastAsia="zh-CN" w:bidi="ar"/>
                    </w:rPr>
                  </w:pPr>
                  <w:r>
                    <w:rPr>
                      <w:rFonts w:hint="eastAsia" w:ascii="Times New Roman" w:hAnsi="Times New Roman" w:eastAsia="宋体" w:cs="Times New Roman"/>
                      <w:i w:val="0"/>
                      <w:iCs w:val="0"/>
                      <w:color w:val="auto"/>
                      <w:kern w:val="0"/>
                      <w:sz w:val="21"/>
                      <w:szCs w:val="21"/>
                      <w:highlight w:val="none"/>
                      <w:u w:val="none"/>
                      <w:lang w:val="en-US" w:eastAsia="zh-CN" w:bidi="ar"/>
                    </w:rPr>
                    <w:t>冷却塔</w:t>
                  </w:r>
                </w:p>
              </w:tc>
              <w:tc>
                <w:tcPr>
                  <w:tcW w:w="499" w:type="pct"/>
                  <w:noWrap w:val="0"/>
                  <w:vAlign w:val="center"/>
                </w:tcPr>
                <w:p>
                  <w:pPr>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1</w:t>
                  </w:r>
                </w:p>
              </w:tc>
              <w:tc>
                <w:tcPr>
                  <w:tcW w:w="463" w:type="pct"/>
                  <w:noWrap w:val="0"/>
                  <w:vAlign w:val="center"/>
                </w:tcPr>
                <w:p>
                  <w:pPr>
                    <w:spacing w:line="240" w:lineRule="auto"/>
                    <w:ind w:firstLine="0" w:firstLine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sz w:val="21"/>
                      <w:szCs w:val="21"/>
                      <w:highlight w:val="none"/>
                      <w:lang w:val="en-US" w:eastAsia="zh-CN"/>
                    </w:rPr>
                    <w:t>50</w:t>
                  </w:r>
                </w:p>
              </w:tc>
              <w:tc>
                <w:tcPr>
                  <w:tcW w:w="454" w:type="pct"/>
                  <w:noWrap w:val="0"/>
                  <w:vAlign w:val="center"/>
                </w:tcPr>
                <w:p>
                  <w:pPr>
                    <w:spacing w:line="240" w:lineRule="auto"/>
                    <w:ind w:firstLine="0" w:firstLine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sz w:val="21"/>
                      <w:szCs w:val="21"/>
                      <w:highlight w:val="none"/>
                      <w:lang w:val="en-US" w:eastAsia="zh-CN"/>
                    </w:rPr>
                    <w:t>7</w:t>
                  </w:r>
                </w:p>
              </w:tc>
              <w:tc>
                <w:tcPr>
                  <w:tcW w:w="382" w:type="pct"/>
                  <w:noWrap w:val="0"/>
                  <w:vAlign w:val="center"/>
                </w:tcPr>
                <w:p>
                  <w:pPr>
                    <w:spacing w:line="240" w:lineRule="auto"/>
                    <w:ind w:firstLine="0" w:firstLine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sz w:val="21"/>
                      <w:szCs w:val="21"/>
                      <w:highlight w:val="none"/>
                      <w:lang w:val="en-US" w:eastAsia="zh-CN"/>
                    </w:rPr>
                    <w:t>12</w:t>
                  </w:r>
                </w:p>
              </w:tc>
              <w:tc>
                <w:tcPr>
                  <w:tcW w:w="890" w:type="pct"/>
                  <w:noWrap w:val="0"/>
                  <w:vAlign w:val="center"/>
                </w:tcPr>
                <w:p>
                  <w:pPr>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sz w:val="21"/>
                      <w:szCs w:val="21"/>
                      <w:highlight w:val="none"/>
                      <w:lang w:val="en-US" w:eastAsia="zh-CN"/>
                    </w:rPr>
                    <w:t>85</w:t>
                  </w:r>
                </w:p>
              </w:tc>
              <w:tc>
                <w:tcPr>
                  <w:tcW w:w="735" w:type="pct"/>
                  <w:noWrap w:val="0"/>
                  <w:vAlign w:val="center"/>
                </w:tcPr>
                <w:p>
                  <w:pPr>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减振</w:t>
                  </w:r>
                  <w:r>
                    <w:rPr>
                      <w:rFonts w:hint="eastAsia" w:ascii="Times New Roman" w:hAnsi="Times New Roman" w:eastAsia="宋体" w:cs="Times New Roman"/>
                      <w:color w:val="auto"/>
                      <w:sz w:val="21"/>
                      <w:szCs w:val="21"/>
                      <w:highlight w:val="none"/>
                      <w:lang w:val="en-US" w:eastAsia="zh-CN"/>
                    </w:rPr>
                    <w:t>措施</w:t>
                  </w:r>
                  <w:r>
                    <w:rPr>
                      <w:rFonts w:hint="default" w:ascii="Times New Roman" w:hAnsi="Times New Roman" w:eastAsia="宋体" w:cs="Times New Roman"/>
                      <w:color w:val="auto"/>
                      <w:sz w:val="21"/>
                      <w:szCs w:val="21"/>
                      <w:highlight w:val="none"/>
                      <w:lang w:val="en-US" w:eastAsia="zh-CN"/>
                    </w:rPr>
                    <w:t>、距离衰减</w:t>
                  </w:r>
                </w:p>
              </w:tc>
              <w:tc>
                <w:tcPr>
                  <w:tcW w:w="756" w:type="pct"/>
                  <w:noWrap w:val="0"/>
                  <w:vAlign w:val="center"/>
                </w:tcPr>
                <w:p>
                  <w:pPr>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0</w:t>
                  </w:r>
                  <w:r>
                    <w:rPr>
                      <w:rFonts w:hint="eastAsia" w:ascii="Times New Roman" w:hAnsi="Times New Roman" w:eastAsia="宋体"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lang w:val="en-US" w:eastAsia="zh-CN"/>
                    </w:rPr>
                    <w:t>:00~</w:t>
                  </w:r>
                  <w:r>
                    <w:rPr>
                      <w:rFonts w:hint="eastAsia" w:ascii="Times New Roman" w:hAnsi="Times New Roman" w:eastAsia="宋体" w:cs="Times New Roman"/>
                      <w:color w:val="auto"/>
                      <w:sz w:val="21"/>
                      <w:szCs w:val="21"/>
                      <w:highlight w:val="none"/>
                      <w:lang w:val="en-US" w:eastAsia="zh-CN"/>
                    </w:rPr>
                    <w:t>24</w:t>
                  </w:r>
                  <w:r>
                    <w:rPr>
                      <w:rFonts w:hint="default" w:ascii="Times New Roman" w:hAnsi="Times New Roman" w:eastAsia="宋体" w:cs="Times New Roman"/>
                      <w:color w:val="auto"/>
                      <w:sz w:val="21"/>
                      <w:szCs w:val="21"/>
                      <w:highlight w:val="none"/>
                      <w:lang w:val="en-US" w:eastAsia="zh-CN"/>
                    </w:rPr>
                    <w:t>:00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96" w:type="pct"/>
                  <w:noWrap w:val="0"/>
                  <w:vAlign w:val="center"/>
                </w:tcPr>
                <w:p>
                  <w:pPr>
                    <w:keepNext w:val="0"/>
                    <w:keepLines w:val="0"/>
                    <w:widowControl/>
                    <w:suppressLineNumbers w:val="0"/>
                    <w:spacing w:line="240" w:lineRule="auto"/>
                    <w:jc w:val="center"/>
                    <w:textAlignment w:val="center"/>
                    <w:rPr>
                      <w:rFonts w:hint="default" w:cs="Times New Roman"/>
                      <w:i w:val="0"/>
                      <w:iCs w:val="0"/>
                      <w:color w:val="auto"/>
                      <w:kern w:val="0"/>
                      <w:sz w:val="21"/>
                      <w:szCs w:val="21"/>
                      <w:highlight w:val="none"/>
                      <w:u w:val="none"/>
                      <w:lang w:val="en-US" w:eastAsia="zh-CN" w:bidi="ar"/>
                    </w:rPr>
                  </w:pPr>
                  <w:r>
                    <w:rPr>
                      <w:rFonts w:hint="eastAsia" w:cs="Times New Roman"/>
                      <w:i w:val="0"/>
                      <w:iCs w:val="0"/>
                      <w:color w:val="auto"/>
                      <w:kern w:val="0"/>
                      <w:sz w:val="21"/>
                      <w:szCs w:val="21"/>
                      <w:highlight w:val="none"/>
                      <w:u w:val="none"/>
                      <w:lang w:val="en-US" w:eastAsia="zh-CN" w:bidi="ar"/>
                    </w:rPr>
                    <w:t>2</w:t>
                  </w:r>
                </w:p>
              </w:tc>
              <w:tc>
                <w:tcPr>
                  <w:tcW w:w="523" w:type="pct"/>
                  <w:noWrap w:val="0"/>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风机</w:t>
                  </w:r>
                </w:p>
              </w:tc>
              <w:tc>
                <w:tcPr>
                  <w:tcW w:w="499" w:type="pct"/>
                  <w:noWrap w:val="0"/>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2</w:t>
                  </w:r>
                </w:p>
              </w:tc>
              <w:tc>
                <w:tcPr>
                  <w:tcW w:w="463" w:type="pct"/>
                  <w:noWrap w:val="0"/>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45</w:t>
                  </w:r>
                </w:p>
              </w:tc>
              <w:tc>
                <w:tcPr>
                  <w:tcW w:w="454" w:type="pct"/>
                  <w:noWrap w:val="0"/>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default" w:ascii="Times New Roman" w:hAnsi="Times New Roman" w:eastAsia="宋体" w:cs="Times New Roman"/>
                      <w:i w:val="0"/>
                      <w:iCs w:val="0"/>
                      <w:color w:val="auto"/>
                      <w:kern w:val="0"/>
                      <w:sz w:val="21"/>
                      <w:szCs w:val="21"/>
                      <w:highlight w:val="none"/>
                      <w:u w:val="none"/>
                      <w:lang w:val="en-US" w:eastAsia="zh-CN" w:bidi="ar"/>
                    </w:rPr>
                    <w:t>7</w:t>
                  </w:r>
                </w:p>
              </w:tc>
              <w:tc>
                <w:tcPr>
                  <w:tcW w:w="382" w:type="pct"/>
                  <w:noWrap w:val="0"/>
                  <w:vAlign w:val="center"/>
                </w:tcPr>
                <w:p>
                  <w:pPr>
                    <w:spacing w:line="240" w:lineRule="auto"/>
                    <w:ind w:firstLine="0" w:firstLineChars="0"/>
                    <w:jc w:val="center"/>
                    <w:rPr>
                      <w:rFonts w:hint="eastAsia" w:ascii="Times New Roman" w:hAnsi="Times New Roman" w:eastAsia="宋体" w:cs="Times New Roman"/>
                      <w:color w:val="auto"/>
                      <w:kern w:val="2"/>
                      <w:sz w:val="18"/>
                      <w:szCs w:val="18"/>
                      <w:lang w:val="en-US" w:eastAsia="zh-CN" w:bidi="ar-SA"/>
                    </w:rPr>
                  </w:pPr>
                  <w:r>
                    <w:rPr>
                      <w:rFonts w:hint="eastAsia" w:cs="Times New Roman"/>
                      <w:color w:val="auto"/>
                      <w:sz w:val="18"/>
                      <w:szCs w:val="18"/>
                      <w:lang w:val="en-US" w:eastAsia="zh-CN"/>
                    </w:rPr>
                    <w:t>12</w:t>
                  </w:r>
                </w:p>
              </w:tc>
              <w:tc>
                <w:tcPr>
                  <w:tcW w:w="890" w:type="pct"/>
                  <w:noWrap w:val="0"/>
                  <w:vAlign w:val="center"/>
                </w:tcPr>
                <w:p>
                  <w:pPr>
                    <w:spacing w:line="240" w:lineRule="auto"/>
                    <w:ind w:firstLine="0" w:firstLine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cs="Times New Roman"/>
                      <w:color w:val="auto"/>
                      <w:sz w:val="21"/>
                      <w:szCs w:val="21"/>
                      <w:highlight w:val="none"/>
                      <w:lang w:val="en-US" w:eastAsia="zh-CN"/>
                    </w:rPr>
                    <w:t>85</w:t>
                  </w:r>
                </w:p>
              </w:tc>
              <w:tc>
                <w:tcPr>
                  <w:tcW w:w="735" w:type="pct"/>
                  <w:noWrap w:val="0"/>
                  <w:vAlign w:val="center"/>
                </w:tcPr>
                <w:p>
                  <w:pPr>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减振</w:t>
                  </w:r>
                  <w:r>
                    <w:rPr>
                      <w:rFonts w:hint="eastAsia" w:ascii="Times New Roman" w:hAnsi="Times New Roman" w:eastAsia="宋体" w:cs="Times New Roman"/>
                      <w:color w:val="auto"/>
                      <w:sz w:val="21"/>
                      <w:szCs w:val="21"/>
                      <w:highlight w:val="none"/>
                      <w:lang w:val="en-US" w:eastAsia="zh-CN"/>
                    </w:rPr>
                    <w:t>措施</w:t>
                  </w:r>
                  <w:r>
                    <w:rPr>
                      <w:rFonts w:hint="default" w:ascii="Times New Roman" w:hAnsi="Times New Roman" w:eastAsia="宋体" w:cs="Times New Roman"/>
                      <w:color w:val="auto"/>
                      <w:sz w:val="21"/>
                      <w:szCs w:val="21"/>
                      <w:highlight w:val="none"/>
                      <w:lang w:val="en-US" w:eastAsia="zh-CN"/>
                    </w:rPr>
                    <w:t>、距离衰减</w:t>
                  </w:r>
                </w:p>
              </w:tc>
              <w:tc>
                <w:tcPr>
                  <w:tcW w:w="756" w:type="pct"/>
                  <w:noWrap w:val="0"/>
                  <w:vAlign w:val="center"/>
                </w:tcPr>
                <w:p>
                  <w:pPr>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0</w:t>
                  </w:r>
                  <w:r>
                    <w:rPr>
                      <w:rFonts w:hint="eastAsia" w:ascii="Times New Roman" w:hAnsi="Times New Roman" w:eastAsia="宋体"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lang w:val="en-US" w:eastAsia="zh-CN"/>
                    </w:rPr>
                    <w:t>:00~</w:t>
                  </w:r>
                  <w:r>
                    <w:rPr>
                      <w:rFonts w:hint="eastAsia" w:ascii="Times New Roman" w:hAnsi="Times New Roman" w:eastAsia="宋体" w:cs="Times New Roman"/>
                      <w:color w:val="auto"/>
                      <w:sz w:val="21"/>
                      <w:szCs w:val="21"/>
                      <w:highlight w:val="none"/>
                      <w:lang w:val="en-US" w:eastAsia="zh-CN"/>
                    </w:rPr>
                    <w:t>24</w:t>
                  </w:r>
                  <w:r>
                    <w:rPr>
                      <w:rFonts w:hint="default" w:ascii="Times New Roman" w:hAnsi="Times New Roman" w:eastAsia="宋体" w:cs="Times New Roman"/>
                      <w:color w:val="auto"/>
                      <w:sz w:val="21"/>
                      <w:szCs w:val="21"/>
                      <w:highlight w:val="none"/>
                      <w:lang w:val="en-US" w:eastAsia="zh-CN"/>
                    </w:rPr>
                    <w:t>:00</w:t>
                  </w:r>
                </w:p>
              </w:tc>
            </w:tr>
          </w:tbl>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rPr>
                <w:rFonts w:hint="default" w:ascii="Times New Roman" w:hAnsi="Times New Roman" w:eastAsia="宋体" w:cs="Times New Roman"/>
                <w:b/>
                <w:bCs/>
                <w:color w:val="auto"/>
                <w:kern w:val="0"/>
                <w:sz w:val="21"/>
                <w:szCs w:val="21"/>
                <w:lang w:val="en-US" w:eastAsia="zh-CN" w:bidi="ar"/>
              </w:rPr>
            </w:pPr>
            <w:r>
              <w:rPr>
                <w:rFonts w:hint="default" w:ascii="Times New Roman" w:hAnsi="Times New Roman" w:eastAsia="宋体" w:cs="Times New Roman"/>
                <w:b/>
                <w:bCs/>
                <w:color w:val="auto"/>
                <w:kern w:val="0"/>
                <w:sz w:val="20"/>
                <w:szCs w:val="20"/>
                <w:highlight w:val="none"/>
                <w:lang w:val="en-US" w:eastAsia="zh-CN" w:bidi="ar"/>
              </w:rPr>
              <w:t>注：空间相对</w:t>
            </w:r>
            <w:r>
              <w:rPr>
                <w:rFonts w:hint="default" w:ascii="Times New Roman" w:hAnsi="Times New Roman" w:eastAsia="宋体" w:cs="Times New Roman"/>
                <w:b/>
                <w:bCs/>
                <w:color w:val="auto"/>
                <w:kern w:val="0"/>
                <w:sz w:val="21"/>
                <w:szCs w:val="21"/>
                <w:highlight w:val="none"/>
                <w:lang w:val="en-US" w:eastAsia="zh-CN" w:bidi="ar"/>
              </w:rPr>
              <w:t>位置原点为车间西南角，Z轴以</w:t>
            </w:r>
            <w:r>
              <w:rPr>
                <w:rFonts w:hint="default" w:ascii="Times New Roman" w:hAnsi="Times New Roman" w:eastAsia="宋体" w:cs="Times New Roman"/>
                <w:b/>
                <w:bCs/>
                <w:color w:val="auto"/>
                <w:kern w:val="0"/>
                <w:sz w:val="21"/>
                <w:szCs w:val="21"/>
                <w:lang w:val="en-US" w:eastAsia="zh-CN" w:bidi="ar"/>
              </w:rPr>
              <w:t>地面高度为0点。</w:t>
            </w:r>
          </w:p>
          <w:p>
            <w:pPr>
              <w:keepNext w:val="0"/>
              <w:keepLines w:val="0"/>
              <w:widowControl/>
              <w:suppressLineNumbers w:val="0"/>
              <w:spacing w:line="240" w:lineRule="auto"/>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表</w:t>
            </w:r>
            <w:r>
              <w:rPr>
                <w:rFonts w:hint="eastAsia" w:ascii="Times New Roman" w:hAnsi="Times New Roman" w:eastAsia="宋体" w:cs="Times New Roman"/>
                <w:b/>
                <w:bCs/>
                <w:color w:val="auto"/>
                <w:sz w:val="21"/>
                <w:szCs w:val="21"/>
                <w:lang w:val="en-US" w:eastAsia="zh-CN"/>
              </w:rPr>
              <w:t>4-</w:t>
            </w:r>
            <w:r>
              <w:rPr>
                <w:rFonts w:hint="eastAsia" w:cs="Times New Roman"/>
                <w:b/>
                <w:bCs/>
                <w:color w:val="auto"/>
                <w:sz w:val="21"/>
                <w:szCs w:val="21"/>
                <w:lang w:val="en-US" w:eastAsia="zh-CN"/>
              </w:rPr>
              <w:t>20</w:t>
            </w:r>
            <w:r>
              <w:rPr>
                <w:rFonts w:hint="eastAsia" w:ascii="Times New Roman" w:hAnsi="Times New Roman" w:eastAsia="宋体" w:cs="Times New Roman"/>
                <w:b/>
                <w:bCs/>
                <w:color w:val="auto"/>
                <w:sz w:val="21"/>
                <w:szCs w:val="21"/>
                <w:lang w:val="en-US" w:eastAsia="zh-CN"/>
              </w:rPr>
              <w:t xml:space="preserve"> </w:t>
            </w:r>
            <w:r>
              <w:rPr>
                <w:rFonts w:hint="default" w:ascii="Times New Roman" w:hAnsi="Times New Roman" w:eastAsia="宋体" w:cs="Times New Roman"/>
                <w:b/>
                <w:bCs/>
                <w:color w:val="auto"/>
                <w:sz w:val="21"/>
                <w:szCs w:val="21"/>
                <w:lang w:val="en-US" w:eastAsia="zh-CN"/>
              </w:rPr>
              <w:t>项目主要噪声源强调查一览表（室内源强）</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30"/>
              <w:gridCol w:w="321"/>
              <w:gridCol w:w="795"/>
              <w:gridCol w:w="795"/>
              <w:gridCol w:w="620"/>
              <w:gridCol w:w="436"/>
              <w:gridCol w:w="402"/>
              <w:gridCol w:w="428"/>
              <w:gridCol w:w="725"/>
              <w:gridCol w:w="783"/>
              <w:gridCol w:w="667"/>
              <w:gridCol w:w="783"/>
              <w:gridCol w:w="713"/>
              <w:gridCol w:w="68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5" w:type="pct"/>
                  <w:vMerge w:val="restar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序号</w:t>
                  </w:r>
                </w:p>
              </w:tc>
              <w:tc>
                <w:tcPr>
                  <w:tcW w:w="189" w:type="pct"/>
                  <w:vMerge w:val="restar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eastAsia" w:cs="Times New Roman"/>
                      <w:b/>
                      <w:bCs/>
                      <w:color w:val="auto"/>
                      <w:kern w:val="2"/>
                      <w:sz w:val="21"/>
                      <w:szCs w:val="21"/>
                      <w:highlight w:val="none"/>
                      <w:lang w:val="en-US" w:eastAsia="zh-CN" w:bidi="ar-SA"/>
                    </w:rPr>
                    <w:t>建筑物名称</w:t>
                  </w:r>
                </w:p>
              </w:tc>
              <w:tc>
                <w:tcPr>
                  <w:tcW w:w="468" w:type="pct"/>
                  <w:vMerge w:val="restar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声源名称</w:t>
                  </w:r>
                </w:p>
              </w:tc>
              <w:tc>
                <w:tcPr>
                  <w:tcW w:w="468" w:type="pct"/>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b/>
                      <w:bCs/>
                      <w:color w:val="auto"/>
                      <w:kern w:val="2"/>
                      <w:sz w:val="21"/>
                      <w:szCs w:val="21"/>
                      <w:highlight w:val="none"/>
                      <w:lang w:val="en-US" w:eastAsia="zh-CN" w:bidi="ar-SA"/>
                    </w:rPr>
                  </w:pPr>
                  <w:r>
                    <w:rPr>
                      <w:rFonts w:hint="eastAsia" w:cs="Times New Roman"/>
                      <w:b/>
                      <w:bCs/>
                      <w:color w:val="auto"/>
                      <w:sz w:val="21"/>
                      <w:szCs w:val="21"/>
                      <w:highlight w:val="none"/>
                      <w:lang w:val="en-US" w:eastAsia="zh-CN"/>
                    </w:rPr>
                    <w:t>声源源强</w:t>
                  </w:r>
                </w:p>
              </w:tc>
              <w:tc>
                <w:tcPr>
                  <w:tcW w:w="365" w:type="pct"/>
                  <w:vMerge w:val="restar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声源控制措施</w:t>
                  </w:r>
                </w:p>
              </w:tc>
              <w:tc>
                <w:tcPr>
                  <w:tcW w:w="746" w:type="pct"/>
                  <w:gridSpan w:val="3"/>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空间相对位置/m</w:t>
                  </w:r>
                </w:p>
              </w:tc>
              <w:tc>
                <w:tcPr>
                  <w:tcW w:w="427" w:type="pct"/>
                  <w:vMerge w:val="restar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距室内边界距离/m</w:t>
                  </w:r>
                </w:p>
              </w:tc>
              <w:tc>
                <w:tcPr>
                  <w:tcW w:w="461" w:type="pct"/>
                  <w:vMerge w:val="restar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室内边界声级/dB(A)</w:t>
                  </w:r>
                </w:p>
              </w:tc>
              <w:tc>
                <w:tcPr>
                  <w:tcW w:w="393" w:type="pct"/>
                  <w:vMerge w:val="restar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运行</w:t>
                  </w:r>
                </w:p>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时段</w:t>
                  </w:r>
                </w:p>
              </w:tc>
              <w:tc>
                <w:tcPr>
                  <w:tcW w:w="461" w:type="pct"/>
                  <w:vMerge w:val="restar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建筑物插入损失/dB(A)</w:t>
                  </w:r>
                </w:p>
              </w:tc>
              <w:tc>
                <w:tcPr>
                  <w:tcW w:w="822" w:type="pct"/>
                  <w:gridSpan w:val="2"/>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建筑物外噪声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5" w:type="pct"/>
                  <w:vMerge w:val="continue"/>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p>
              </w:tc>
              <w:tc>
                <w:tcPr>
                  <w:tcW w:w="189" w:type="pct"/>
                  <w:vMerge w:val="continue"/>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p>
              </w:tc>
              <w:tc>
                <w:tcPr>
                  <w:tcW w:w="468" w:type="pct"/>
                  <w:vMerge w:val="continue"/>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p>
              </w:tc>
              <w:tc>
                <w:tcPr>
                  <w:tcW w:w="468" w:type="pct"/>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b/>
                      <w:bCs/>
                      <w:color w:val="auto"/>
                      <w:kern w:val="2"/>
                      <w:sz w:val="21"/>
                      <w:szCs w:val="21"/>
                      <w:highlight w:val="none"/>
                      <w:lang w:val="en-US" w:eastAsia="zh-CN" w:bidi="ar-SA"/>
                    </w:rPr>
                  </w:pPr>
                  <w:r>
                    <w:rPr>
                      <w:rFonts w:hint="eastAsia" w:ascii="Times New Roman" w:hAnsi="Times New Roman" w:cs="Times New Roman"/>
                      <w:b/>
                      <w:bCs/>
                      <w:color w:val="auto"/>
                      <w:sz w:val="21"/>
                      <w:szCs w:val="21"/>
                      <w:highlight w:val="none"/>
                      <w:lang w:val="en-US" w:eastAsia="zh-CN"/>
                    </w:rPr>
                    <w:t>声功率级/dB（A）</w:t>
                  </w:r>
                </w:p>
              </w:tc>
              <w:tc>
                <w:tcPr>
                  <w:tcW w:w="365" w:type="pct"/>
                  <w:vMerge w:val="continue"/>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p>
              </w:tc>
              <w:tc>
                <w:tcPr>
                  <w:tcW w:w="257" w:type="pc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X</w:t>
                  </w:r>
                </w:p>
              </w:tc>
              <w:tc>
                <w:tcPr>
                  <w:tcW w:w="237" w:type="pc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Y</w:t>
                  </w:r>
                </w:p>
              </w:tc>
              <w:tc>
                <w:tcPr>
                  <w:tcW w:w="251" w:type="pc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Z</w:t>
                  </w:r>
                </w:p>
              </w:tc>
              <w:tc>
                <w:tcPr>
                  <w:tcW w:w="427" w:type="pct"/>
                  <w:vMerge w:val="continue"/>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p>
              </w:tc>
              <w:tc>
                <w:tcPr>
                  <w:tcW w:w="461" w:type="pct"/>
                  <w:vMerge w:val="continue"/>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p>
              </w:tc>
              <w:tc>
                <w:tcPr>
                  <w:tcW w:w="393" w:type="pct"/>
                  <w:vMerge w:val="continue"/>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p>
              </w:tc>
              <w:tc>
                <w:tcPr>
                  <w:tcW w:w="461" w:type="pct"/>
                  <w:vMerge w:val="continue"/>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p>
              </w:tc>
              <w:tc>
                <w:tcPr>
                  <w:tcW w:w="420" w:type="pc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声压级dB(A)</w:t>
                  </w:r>
                </w:p>
              </w:tc>
              <w:tc>
                <w:tcPr>
                  <w:tcW w:w="401" w:type="pct"/>
                  <w:tcBorders>
                    <w:tl2br w:val="nil"/>
                    <w:tr2bl w:val="nil"/>
                  </w:tcBorders>
                  <w:noWrap w:val="0"/>
                  <w:tcMar>
                    <w:top w:w="0" w:type="dxa"/>
                    <w:left w:w="0" w:type="dxa"/>
                    <w:bottom w:w="0" w:type="dxa"/>
                    <w:right w:w="0" w:type="dxa"/>
                  </w:tcMar>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建筑物外距离/m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5" w:type="pct"/>
                  <w:tcBorders>
                    <w:tl2br w:val="nil"/>
                    <w:tr2bl w:val="nil"/>
                  </w:tcBorders>
                  <w:noWrap w:val="0"/>
                  <w:tcMar>
                    <w:top w:w="0" w:type="dxa"/>
                    <w:left w:w="0" w:type="dxa"/>
                    <w:bottom w:w="0" w:type="dxa"/>
                    <w:right w:w="0" w:type="dxa"/>
                  </w:tcMar>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1</w:t>
                  </w:r>
                </w:p>
              </w:tc>
              <w:tc>
                <w:tcPr>
                  <w:tcW w:w="189" w:type="pct"/>
                  <w:vMerge w:val="restart"/>
                  <w:tcBorders>
                    <w:tl2br w:val="nil"/>
                    <w:tr2bl w:val="nil"/>
                  </w:tcBorders>
                  <w:noWrap w:val="0"/>
                  <w:tcMar>
                    <w:top w:w="0" w:type="dxa"/>
                    <w:left w:w="0" w:type="dxa"/>
                    <w:bottom w:w="0" w:type="dxa"/>
                    <w:right w:w="0" w:type="dxa"/>
                  </w:tcMar>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车间</w:t>
                  </w:r>
                </w:p>
              </w:tc>
              <w:tc>
                <w:tcPr>
                  <w:tcW w:w="468"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挤出成型机</w:t>
                  </w:r>
                </w:p>
              </w:tc>
              <w:tc>
                <w:tcPr>
                  <w:tcW w:w="468"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80</w:t>
                  </w:r>
                </w:p>
              </w:tc>
              <w:tc>
                <w:tcPr>
                  <w:tcW w:w="365" w:type="pct"/>
                  <w:vMerge w:val="restart"/>
                  <w:tcBorders>
                    <w:tl2br w:val="nil"/>
                    <w:tr2bl w:val="nil"/>
                  </w:tcBorders>
                  <w:noWrap w:val="0"/>
                  <w:tcMar>
                    <w:top w:w="0" w:type="dxa"/>
                    <w:left w:w="0" w:type="dxa"/>
                    <w:bottom w:w="0" w:type="dxa"/>
                    <w:right w:w="0" w:type="dxa"/>
                  </w:tcMar>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减振、隔声、距离衰减</w:t>
                  </w:r>
                </w:p>
              </w:tc>
              <w:tc>
                <w:tcPr>
                  <w:tcW w:w="257"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35</w:t>
                  </w:r>
                </w:p>
              </w:tc>
              <w:tc>
                <w:tcPr>
                  <w:tcW w:w="237"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6</w:t>
                  </w:r>
                </w:p>
              </w:tc>
              <w:tc>
                <w:tcPr>
                  <w:tcW w:w="251" w:type="pct"/>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12</w:t>
                  </w:r>
                </w:p>
              </w:tc>
              <w:tc>
                <w:tcPr>
                  <w:tcW w:w="427"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w:t>
                  </w:r>
                </w:p>
              </w:tc>
              <w:tc>
                <w:tcPr>
                  <w:tcW w:w="461"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76.99</w:t>
                  </w:r>
                </w:p>
              </w:tc>
              <w:tc>
                <w:tcPr>
                  <w:tcW w:w="393" w:type="pct"/>
                  <w:vMerge w:val="restart"/>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00:00-24:00</w:t>
                  </w:r>
                </w:p>
              </w:tc>
              <w:tc>
                <w:tcPr>
                  <w:tcW w:w="461" w:type="pct"/>
                  <w:vMerge w:val="restart"/>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10</w:t>
                  </w:r>
                </w:p>
              </w:tc>
              <w:tc>
                <w:tcPr>
                  <w:tcW w:w="420"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66.99</w:t>
                  </w:r>
                </w:p>
              </w:tc>
              <w:tc>
                <w:tcPr>
                  <w:tcW w:w="401" w:type="pct"/>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5" w:type="pct"/>
                  <w:tcBorders>
                    <w:tl2br w:val="nil"/>
                    <w:tr2bl w:val="nil"/>
                  </w:tcBorders>
                  <w:noWrap w:val="0"/>
                  <w:tcMar>
                    <w:top w:w="0" w:type="dxa"/>
                    <w:left w:w="0" w:type="dxa"/>
                    <w:bottom w:w="0" w:type="dxa"/>
                    <w:right w:w="0" w:type="dxa"/>
                  </w:tcMar>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2</w:t>
                  </w:r>
                </w:p>
              </w:tc>
              <w:tc>
                <w:tcPr>
                  <w:tcW w:w="189" w:type="pct"/>
                  <w:vMerge w:val="continue"/>
                  <w:tcBorders>
                    <w:tl2br w:val="nil"/>
                    <w:tr2bl w:val="nil"/>
                  </w:tcBorders>
                  <w:noWrap w:val="0"/>
                  <w:tcMar>
                    <w:top w:w="0" w:type="dxa"/>
                    <w:left w:w="0" w:type="dxa"/>
                    <w:bottom w:w="0" w:type="dxa"/>
                    <w:right w:w="0" w:type="dxa"/>
                  </w:tcMar>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p>
              </w:tc>
              <w:tc>
                <w:tcPr>
                  <w:tcW w:w="468"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修边机</w:t>
                  </w:r>
                </w:p>
              </w:tc>
              <w:tc>
                <w:tcPr>
                  <w:tcW w:w="468"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80</w:t>
                  </w:r>
                </w:p>
              </w:tc>
              <w:tc>
                <w:tcPr>
                  <w:tcW w:w="365" w:type="pct"/>
                  <w:vMerge w:val="continue"/>
                  <w:tcBorders>
                    <w:tl2br w:val="nil"/>
                    <w:tr2bl w:val="nil"/>
                  </w:tcBorders>
                  <w:noWrap w:val="0"/>
                  <w:tcMar>
                    <w:top w:w="0" w:type="dxa"/>
                    <w:left w:w="0" w:type="dxa"/>
                    <w:bottom w:w="0" w:type="dxa"/>
                    <w:right w:w="0" w:type="dxa"/>
                  </w:tcMar>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p>
              </w:tc>
              <w:tc>
                <w:tcPr>
                  <w:tcW w:w="257"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30</w:t>
                  </w:r>
                </w:p>
              </w:tc>
              <w:tc>
                <w:tcPr>
                  <w:tcW w:w="237"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6</w:t>
                  </w:r>
                </w:p>
              </w:tc>
              <w:tc>
                <w:tcPr>
                  <w:tcW w:w="251" w:type="pct"/>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12</w:t>
                  </w:r>
                </w:p>
              </w:tc>
              <w:tc>
                <w:tcPr>
                  <w:tcW w:w="427"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6</w:t>
                  </w:r>
                </w:p>
              </w:tc>
              <w:tc>
                <w:tcPr>
                  <w:tcW w:w="461"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67.45</w:t>
                  </w:r>
                </w:p>
              </w:tc>
              <w:tc>
                <w:tcPr>
                  <w:tcW w:w="393" w:type="pct"/>
                  <w:vMerge w:val="continue"/>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p>
              </w:tc>
              <w:tc>
                <w:tcPr>
                  <w:tcW w:w="461" w:type="pct"/>
                  <w:vMerge w:val="continue"/>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p>
              </w:tc>
              <w:tc>
                <w:tcPr>
                  <w:tcW w:w="420"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57.45</w:t>
                  </w:r>
                </w:p>
              </w:tc>
              <w:tc>
                <w:tcPr>
                  <w:tcW w:w="401" w:type="pct"/>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5" w:type="pct"/>
                  <w:tcBorders>
                    <w:tl2br w:val="nil"/>
                    <w:tr2bl w:val="nil"/>
                  </w:tcBorders>
                  <w:noWrap w:val="0"/>
                  <w:tcMar>
                    <w:top w:w="0" w:type="dxa"/>
                    <w:left w:w="0" w:type="dxa"/>
                    <w:bottom w:w="0" w:type="dxa"/>
                    <w:right w:w="0" w:type="dxa"/>
                  </w:tcMar>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3</w:t>
                  </w:r>
                </w:p>
              </w:tc>
              <w:tc>
                <w:tcPr>
                  <w:tcW w:w="189" w:type="pct"/>
                  <w:vMerge w:val="continue"/>
                  <w:tcBorders>
                    <w:tl2br w:val="nil"/>
                    <w:tr2bl w:val="nil"/>
                  </w:tcBorders>
                  <w:noWrap w:val="0"/>
                  <w:tcMar>
                    <w:top w:w="0" w:type="dxa"/>
                    <w:left w:w="0" w:type="dxa"/>
                    <w:bottom w:w="0" w:type="dxa"/>
                    <w:right w:w="0" w:type="dxa"/>
                  </w:tcMar>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p>
              </w:tc>
              <w:tc>
                <w:tcPr>
                  <w:tcW w:w="468"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压花机</w:t>
                  </w:r>
                </w:p>
              </w:tc>
              <w:tc>
                <w:tcPr>
                  <w:tcW w:w="468"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80</w:t>
                  </w:r>
                </w:p>
              </w:tc>
              <w:tc>
                <w:tcPr>
                  <w:tcW w:w="365" w:type="pct"/>
                  <w:vMerge w:val="continue"/>
                  <w:tcBorders>
                    <w:tl2br w:val="nil"/>
                    <w:tr2bl w:val="nil"/>
                  </w:tcBorders>
                  <w:noWrap w:val="0"/>
                  <w:tcMar>
                    <w:top w:w="0" w:type="dxa"/>
                    <w:left w:w="0" w:type="dxa"/>
                    <w:bottom w:w="0" w:type="dxa"/>
                    <w:right w:w="0" w:type="dxa"/>
                  </w:tcMar>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p>
              </w:tc>
              <w:tc>
                <w:tcPr>
                  <w:tcW w:w="257"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20</w:t>
                  </w:r>
                </w:p>
              </w:tc>
              <w:tc>
                <w:tcPr>
                  <w:tcW w:w="237"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6</w:t>
                  </w:r>
                </w:p>
              </w:tc>
              <w:tc>
                <w:tcPr>
                  <w:tcW w:w="251" w:type="pct"/>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12</w:t>
                  </w:r>
                </w:p>
              </w:tc>
              <w:tc>
                <w:tcPr>
                  <w:tcW w:w="427"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6</w:t>
                  </w:r>
                </w:p>
              </w:tc>
              <w:tc>
                <w:tcPr>
                  <w:tcW w:w="461"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67.45</w:t>
                  </w:r>
                </w:p>
              </w:tc>
              <w:tc>
                <w:tcPr>
                  <w:tcW w:w="393" w:type="pct"/>
                  <w:vMerge w:val="continue"/>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p>
              </w:tc>
              <w:tc>
                <w:tcPr>
                  <w:tcW w:w="461" w:type="pct"/>
                  <w:vMerge w:val="continue"/>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p>
              </w:tc>
              <w:tc>
                <w:tcPr>
                  <w:tcW w:w="420" w:type="pct"/>
                  <w:tcBorders>
                    <w:tl2br w:val="nil"/>
                    <w:tr2bl w:val="nil"/>
                  </w:tcBorders>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57.45</w:t>
                  </w:r>
                </w:p>
              </w:tc>
              <w:tc>
                <w:tcPr>
                  <w:tcW w:w="401" w:type="pct"/>
                  <w:tcBorders>
                    <w:tl2br w:val="nil"/>
                    <w:tr2bl w:val="nil"/>
                  </w:tcBorders>
                  <w:noWrap w:val="0"/>
                  <w:tcMar>
                    <w:top w:w="0" w:type="dxa"/>
                    <w:left w:w="0" w:type="dxa"/>
                    <w:bottom w:w="0" w:type="dxa"/>
                    <w:right w:w="0" w:type="dxa"/>
                  </w:tcMar>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5" w:type="pct"/>
                  <w:tcBorders>
                    <w:tl2br w:val="nil"/>
                    <w:tr2bl w:val="nil"/>
                  </w:tcBorders>
                  <w:noWrap w:val="0"/>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4</w:t>
                  </w:r>
                </w:p>
              </w:tc>
              <w:tc>
                <w:tcPr>
                  <w:tcW w:w="189" w:type="pct"/>
                  <w:vMerge w:val="continue"/>
                  <w:tcBorders>
                    <w:tl2br w:val="nil"/>
                    <w:tr2bl w:val="nil"/>
                  </w:tcBorders>
                  <w:noWrap w:val="0"/>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p>
              </w:tc>
              <w:tc>
                <w:tcPr>
                  <w:tcW w:w="46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分切机</w:t>
                  </w:r>
                </w:p>
              </w:tc>
              <w:tc>
                <w:tcPr>
                  <w:tcW w:w="46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80</w:t>
                  </w:r>
                </w:p>
              </w:tc>
              <w:tc>
                <w:tcPr>
                  <w:tcW w:w="365" w:type="pct"/>
                  <w:vMerge w:val="continue"/>
                  <w:tcBorders>
                    <w:tl2br w:val="nil"/>
                    <w:tr2bl w:val="nil"/>
                  </w:tcBorders>
                  <w:noWrap w:val="0"/>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p>
              </w:tc>
              <w:tc>
                <w:tcPr>
                  <w:tcW w:w="257"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15</w:t>
                  </w:r>
                </w:p>
              </w:tc>
              <w:tc>
                <w:tcPr>
                  <w:tcW w:w="237"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6</w:t>
                  </w:r>
                </w:p>
              </w:tc>
              <w:tc>
                <w:tcPr>
                  <w:tcW w:w="251"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12</w:t>
                  </w:r>
                </w:p>
              </w:tc>
              <w:tc>
                <w:tcPr>
                  <w:tcW w:w="427"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6</w:t>
                  </w:r>
                </w:p>
              </w:tc>
              <w:tc>
                <w:tcPr>
                  <w:tcW w:w="461"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67.45</w:t>
                  </w:r>
                </w:p>
              </w:tc>
              <w:tc>
                <w:tcPr>
                  <w:tcW w:w="393" w:type="pct"/>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p>
              </w:tc>
              <w:tc>
                <w:tcPr>
                  <w:tcW w:w="461" w:type="pct"/>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p>
              </w:tc>
              <w:tc>
                <w:tcPr>
                  <w:tcW w:w="420"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57.45</w:t>
                  </w:r>
                </w:p>
              </w:tc>
              <w:tc>
                <w:tcPr>
                  <w:tcW w:w="401"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5" w:type="pct"/>
                  <w:tcBorders>
                    <w:tl2br w:val="nil"/>
                    <w:tr2bl w:val="nil"/>
                  </w:tcBorders>
                  <w:noWrap w:val="0"/>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5</w:t>
                  </w:r>
                </w:p>
              </w:tc>
              <w:tc>
                <w:tcPr>
                  <w:tcW w:w="189" w:type="pct"/>
                  <w:vMerge w:val="continue"/>
                  <w:tcBorders>
                    <w:tl2br w:val="nil"/>
                    <w:tr2bl w:val="nil"/>
                  </w:tcBorders>
                  <w:noWrap w:val="0"/>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p>
              </w:tc>
              <w:tc>
                <w:tcPr>
                  <w:tcW w:w="46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粉碎机</w:t>
                  </w:r>
                </w:p>
              </w:tc>
              <w:tc>
                <w:tcPr>
                  <w:tcW w:w="46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85</w:t>
                  </w:r>
                </w:p>
              </w:tc>
              <w:tc>
                <w:tcPr>
                  <w:tcW w:w="365" w:type="pct"/>
                  <w:vMerge w:val="continue"/>
                  <w:tcBorders>
                    <w:tl2br w:val="nil"/>
                    <w:tr2bl w:val="nil"/>
                  </w:tcBorders>
                  <w:noWrap w:val="0"/>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p>
              </w:tc>
              <w:tc>
                <w:tcPr>
                  <w:tcW w:w="257"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40</w:t>
                  </w:r>
                </w:p>
              </w:tc>
              <w:tc>
                <w:tcPr>
                  <w:tcW w:w="237"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13</w:t>
                  </w:r>
                </w:p>
              </w:tc>
              <w:tc>
                <w:tcPr>
                  <w:tcW w:w="251"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12</w:t>
                  </w:r>
                </w:p>
              </w:tc>
              <w:tc>
                <w:tcPr>
                  <w:tcW w:w="427"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w:t>
                  </w:r>
                </w:p>
              </w:tc>
              <w:tc>
                <w:tcPr>
                  <w:tcW w:w="461"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71.02</w:t>
                  </w:r>
                </w:p>
              </w:tc>
              <w:tc>
                <w:tcPr>
                  <w:tcW w:w="393" w:type="pct"/>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p>
              </w:tc>
              <w:tc>
                <w:tcPr>
                  <w:tcW w:w="461" w:type="pct"/>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p>
              </w:tc>
              <w:tc>
                <w:tcPr>
                  <w:tcW w:w="420"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61.02</w:t>
                  </w:r>
                </w:p>
              </w:tc>
              <w:tc>
                <w:tcPr>
                  <w:tcW w:w="401"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5" w:type="pct"/>
                  <w:tcBorders>
                    <w:tl2br w:val="nil"/>
                    <w:tr2bl w:val="nil"/>
                  </w:tcBorders>
                  <w:noWrap w:val="0"/>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7</w:t>
                  </w:r>
                </w:p>
              </w:tc>
              <w:tc>
                <w:tcPr>
                  <w:tcW w:w="189" w:type="pct"/>
                  <w:vMerge w:val="continue"/>
                  <w:tcBorders>
                    <w:tl2br w:val="nil"/>
                    <w:tr2bl w:val="nil"/>
                  </w:tcBorders>
                  <w:noWrap w:val="0"/>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p>
              </w:tc>
              <w:tc>
                <w:tcPr>
                  <w:tcW w:w="46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空压机</w:t>
                  </w:r>
                </w:p>
              </w:tc>
              <w:tc>
                <w:tcPr>
                  <w:tcW w:w="468"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85</w:t>
                  </w:r>
                </w:p>
              </w:tc>
              <w:tc>
                <w:tcPr>
                  <w:tcW w:w="365" w:type="pct"/>
                  <w:vMerge w:val="continue"/>
                  <w:tcBorders>
                    <w:tl2br w:val="nil"/>
                    <w:tr2bl w:val="nil"/>
                  </w:tcBorders>
                  <w:noWrap w:val="0"/>
                  <w:vAlign w:val="center"/>
                </w:tcPr>
                <w:p>
                  <w:pPr>
                    <w:autoSpaceDE w:val="0"/>
                    <w:autoSpaceDN w:val="0"/>
                    <w:spacing w:line="240" w:lineRule="auto"/>
                    <w:ind w:firstLine="0" w:firstLineChars="0"/>
                    <w:jc w:val="center"/>
                    <w:rPr>
                      <w:rFonts w:hint="default" w:ascii="Times New Roman" w:hAnsi="Times New Roman" w:eastAsia="宋体" w:cs="Times New Roman"/>
                      <w:color w:val="auto"/>
                      <w:kern w:val="2"/>
                      <w:sz w:val="21"/>
                      <w:szCs w:val="21"/>
                      <w:highlight w:val="none"/>
                      <w:lang w:val="en-US" w:eastAsia="zh-CN" w:bidi="ar-SA"/>
                    </w:rPr>
                  </w:pPr>
                </w:p>
              </w:tc>
              <w:tc>
                <w:tcPr>
                  <w:tcW w:w="257"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14</w:t>
                  </w:r>
                </w:p>
              </w:tc>
              <w:tc>
                <w:tcPr>
                  <w:tcW w:w="237"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w:t>
                  </w:r>
                </w:p>
              </w:tc>
              <w:tc>
                <w:tcPr>
                  <w:tcW w:w="251"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12</w:t>
                  </w:r>
                </w:p>
              </w:tc>
              <w:tc>
                <w:tcPr>
                  <w:tcW w:w="427"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7</w:t>
                  </w:r>
                </w:p>
              </w:tc>
              <w:tc>
                <w:tcPr>
                  <w:tcW w:w="461"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68.10</w:t>
                  </w:r>
                </w:p>
              </w:tc>
              <w:tc>
                <w:tcPr>
                  <w:tcW w:w="393" w:type="pct"/>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p>
              </w:tc>
              <w:tc>
                <w:tcPr>
                  <w:tcW w:w="461" w:type="pct"/>
                  <w:vMerge w:val="continue"/>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p>
              </w:tc>
              <w:tc>
                <w:tcPr>
                  <w:tcW w:w="420" w:type="pct"/>
                  <w:tcBorders>
                    <w:tl2br w:val="nil"/>
                    <w:tr2bl w:val="nil"/>
                  </w:tcBorders>
                  <w:noWrap w:val="0"/>
                  <w:vAlign w:val="center"/>
                </w:tcPr>
                <w:p>
                  <w:pPr>
                    <w:keepNext w:val="0"/>
                    <w:keepLines w:val="0"/>
                    <w:widowControl/>
                    <w:suppressLineNumbers w:val="0"/>
                    <w:jc w:val="center"/>
                    <w:textAlignment w:val="bottom"/>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58.10</w:t>
                  </w:r>
                </w:p>
              </w:tc>
              <w:tc>
                <w:tcPr>
                  <w:tcW w:w="401"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w:t>
                  </w:r>
                </w:p>
              </w:tc>
            </w:tr>
          </w:tbl>
          <w:p>
            <w:pPr>
              <w:pStyle w:val="6"/>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rPr>
                <w:b/>
                <w:color w:val="auto"/>
                <w:kern w:val="0"/>
                <w:sz w:val="21"/>
                <w:szCs w:val="21"/>
                <w:lang w:val="zh-CN"/>
              </w:rPr>
            </w:pPr>
            <w:r>
              <w:rPr>
                <w:rFonts w:hint="default" w:ascii="Times New Roman" w:hAnsi="Times New Roman" w:eastAsia="宋体" w:cs="Times New Roman"/>
                <w:b/>
                <w:bCs/>
                <w:color w:val="auto"/>
                <w:lang w:val="en-US" w:eastAsia="zh-CN"/>
              </w:rPr>
              <w:t>注：空间相对位置原点为企业西南角，Z轴以地面高度为0点。</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（2）噪声污染防治措施</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1）企业在选购设备时购置符合国家颁布的各类机械噪声标准的低噪声设备，保证运行时能符合工业企业车间噪声卫生标准，同时能保证达到厂界噪声控制值。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2）对噪声污染大的设备，如风机</w:t>
            </w:r>
            <w:r>
              <w:rPr>
                <w:rFonts w:hint="eastAsia" w:cs="Times New Roman"/>
                <w:color w:val="auto"/>
                <w:sz w:val="21"/>
                <w:szCs w:val="21"/>
                <w:lang w:val="en-US" w:eastAsia="zh-CN"/>
              </w:rPr>
              <w:t>、冷却塔</w:t>
            </w:r>
            <w:r>
              <w:rPr>
                <w:rFonts w:hint="default" w:ascii="Times New Roman" w:hAnsi="Times New Roman" w:eastAsia="宋体" w:cs="Times New Roman"/>
                <w:color w:val="auto"/>
                <w:sz w:val="21"/>
                <w:szCs w:val="21"/>
                <w:lang w:val="en-US" w:eastAsia="zh-CN"/>
              </w:rPr>
              <w:t>等须配置减振装置，安装隔声罩或消声器。</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lang w:val="en-US" w:eastAsia="zh-CN"/>
              </w:rPr>
              <w:t>3）在噪声传播途径上采取措施加以控制，如强噪声源车间的建筑围护结构均以封闭为主，同时采取车间外及厂界的绿化，利用建筑物与</w:t>
            </w:r>
            <w:r>
              <w:rPr>
                <w:rFonts w:hint="default" w:ascii="Times New Roman" w:hAnsi="Times New Roman" w:eastAsia="宋体" w:cs="Times New Roman"/>
                <w:color w:val="auto"/>
                <w:sz w:val="21"/>
                <w:szCs w:val="21"/>
                <w:highlight w:val="none"/>
                <w:lang w:val="en-US" w:eastAsia="zh-CN"/>
              </w:rPr>
              <w:t>树木阻隔声音的传播。</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4）项目噪声污染防治工作执行“三同时”制度。对防振垫、隔声、吸声、消声器等降噪设备应进行定期检查、维修，对不符合要求的及时更换，防止机械噪声的升高。</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5）加强设备的维修保养，使设备处于最佳工作状态。</w:t>
            </w:r>
          </w:p>
          <w:p>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（3）厂界和环境保护目标达标情况分析</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项目区运营期噪声源主要为设备噪声，根据有关资料和类比调查，这些机械设备的单机噪声在</w:t>
            </w:r>
            <w:r>
              <w:rPr>
                <w:rFonts w:hint="eastAsia" w:ascii="Times New Roman" w:hAnsi="Times New Roman" w:eastAsia="宋体" w:cs="Times New Roman"/>
                <w:color w:val="auto"/>
                <w:sz w:val="21"/>
                <w:szCs w:val="21"/>
                <w:highlight w:val="none"/>
                <w:lang w:val="en-US" w:eastAsia="zh-CN"/>
              </w:rPr>
              <w:t>80</w:t>
            </w:r>
            <w:r>
              <w:rPr>
                <w:rFonts w:hint="default" w:ascii="Times New Roman" w:hAnsi="Times New Roman" w:eastAsia="宋体" w:cs="Times New Roman"/>
                <w:color w:val="auto"/>
                <w:sz w:val="21"/>
                <w:szCs w:val="21"/>
                <w:highlight w:val="none"/>
                <w:lang w:val="en-US" w:eastAsia="zh-CN"/>
              </w:rPr>
              <w:t>~</w:t>
            </w:r>
            <w:r>
              <w:rPr>
                <w:rFonts w:hint="eastAsia" w:eastAsia="宋体" w:cs="Times New Roman"/>
                <w:color w:val="auto"/>
                <w:sz w:val="21"/>
                <w:szCs w:val="21"/>
                <w:highlight w:val="none"/>
                <w:lang w:val="en-US" w:eastAsia="zh-CN"/>
              </w:rPr>
              <w:t>85</w:t>
            </w:r>
            <w:r>
              <w:rPr>
                <w:rFonts w:hint="default" w:ascii="Times New Roman" w:hAnsi="Times New Roman" w:eastAsia="宋体" w:cs="Times New Roman"/>
                <w:color w:val="auto"/>
                <w:sz w:val="21"/>
                <w:szCs w:val="21"/>
                <w:highlight w:val="none"/>
                <w:lang w:val="en-US" w:eastAsia="zh-CN"/>
              </w:rPr>
              <w:t>dB(A)之间。依据《环境影响评价技术导则—声环境》（HJ2.4-2021）中的数学模型，选用点声源噪声发散衰减模式预测项目厂界噪声的达标情况。预测模式如下：</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a.噪声贡献值（L</w:t>
            </w:r>
            <w:r>
              <w:rPr>
                <w:rFonts w:hint="default" w:ascii="Times New Roman" w:hAnsi="Times New Roman" w:eastAsia="宋体" w:cs="Times New Roman"/>
                <w:color w:val="auto"/>
                <w:sz w:val="21"/>
                <w:szCs w:val="21"/>
                <w:highlight w:val="none"/>
                <w:vertAlign w:val="subscript"/>
                <w:lang w:val="en-US" w:eastAsia="zh-CN"/>
              </w:rPr>
              <w:t>eqg</w:t>
            </w:r>
            <w:r>
              <w:rPr>
                <w:rFonts w:hint="default" w:ascii="Times New Roman" w:hAnsi="Times New Roman" w:eastAsia="宋体" w:cs="Times New Roman"/>
                <w:color w:val="auto"/>
                <w:sz w:val="21"/>
                <w:szCs w:val="21"/>
                <w:highlight w:val="none"/>
                <w:lang w:val="en-US" w:eastAsia="zh-CN"/>
              </w:rPr>
              <w:t>）计算公式为：</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drawing>
                <wp:inline distT="0" distB="0" distL="114300" distR="114300">
                  <wp:extent cx="2256155" cy="531495"/>
                  <wp:effectExtent l="0" t="0" r="10795" b="190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9"/>
                          <a:stretch>
                            <a:fillRect/>
                          </a:stretch>
                        </pic:blipFill>
                        <pic:spPr>
                          <a:xfrm>
                            <a:off x="0" y="0"/>
                            <a:ext cx="2256155" cy="53149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式中：L</w:t>
            </w:r>
            <w:r>
              <w:rPr>
                <w:rFonts w:hint="default" w:ascii="Times New Roman" w:hAnsi="Times New Roman" w:eastAsia="宋体" w:cs="Times New Roman"/>
                <w:color w:val="auto"/>
                <w:sz w:val="21"/>
                <w:szCs w:val="21"/>
                <w:highlight w:val="none"/>
                <w:vertAlign w:val="subscript"/>
                <w:lang w:val="en-US" w:eastAsia="zh-CN"/>
              </w:rPr>
              <w:t>aqg</w:t>
            </w:r>
            <w:r>
              <w:rPr>
                <w:rFonts w:hint="default" w:ascii="Times New Roman" w:hAnsi="Times New Roman" w:eastAsia="宋体" w:cs="Times New Roman"/>
                <w:color w:val="auto"/>
                <w:sz w:val="21"/>
                <w:szCs w:val="21"/>
                <w:highlight w:val="none"/>
                <w:lang w:val="en-US" w:eastAsia="zh-CN"/>
              </w:rPr>
              <w:t>——噪声贡献值，dB；</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T——预测计算的时间段，s；</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vertAlign w:val="subscript"/>
                <w:lang w:val="en-US" w:eastAsia="zh-CN"/>
              </w:rPr>
              <w:t>i</w:t>
            </w:r>
            <w:r>
              <w:rPr>
                <w:rFonts w:hint="default" w:ascii="Times New Roman" w:hAnsi="Times New Roman" w:eastAsia="宋体" w:cs="Times New Roman"/>
                <w:color w:val="auto"/>
                <w:sz w:val="21"/>
                <w:szCs w:val="21"/>
                <w:highlight w:val="none"/>
                <w:lang w:val="en-US" w:eastAsia="zh-CN"/>
              </w:rPr>
              <w:t xml:space="preserve">——i声源在T时间段内的运行时间，s； </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LAi——i声源在预测点产生的等效连续A声级，dB。</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b.无指向性点声源几何发散衰减的基本公式：</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drawing>
                <wp:inline distT="0" distB="0" distL="114300" distR="114300">
                  <wp:extent cx="1917065" cy="400685"/>
                  <wp:effectExtent l="0" t="0" r="6985" b="1841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20"/>
                          <a:stretch>
                            <a:fillRect/>
                          </a:stretch>
                        </pic:blipFill>
                        <pic:spPr>
                          <a:xfrm>
                            <a:off x="0" y="0"/>
                            <a:ext cx="1917065" cy="4006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式中：LP(r)——预测点声压级，dB(A)；</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LP(r0)——噪声源声压级，dB(A)；</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r——预测点离噪声源的距离，m。</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考虑到厂房、车间窗隔声约</w:t>
            </w:r>
            <w:r>
              <w:rPr>
                <w:rFonts w:hint="eastAsia" w:eastAsia="宋体" w:cs="Times New Roman"/>
                <w:color w:val="auto"/>
                <w:sz w:val="21"/>
                <w:szCs w:val="21"/>
                <w:highlight w:val="none"/>
                <w:lang w:val="en-US" w:eastAsia="zh-CN"/>
              </w:rPr>
              <w:t>10</w:t>
            </w:r>
            <w:r>
              <w:rPr>
                <w:rFonts w:hint="default" w:ascii="Times New Roman" w:hAnsi="Times New Roman" w:eastAsia="宋体" w:cs="Times New Roman"/>
                <w:color w:val="auto"/>
                <w:sz w:val="21"/>
                <w:szCs w:val="21"/>
                <w:highlight w:val="none"/>
                <w:lang w:val="en-US" w:eastAsia="zh-CN"/>
              </w:rPr>
              <w:t>dB(A)，因此本次预测按照降低后的声源强度进行。</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c.噪声预测值</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预测点的贡献值和背景值按能量叠加方法计算得到的声级。</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噪声预测值（Leq）计算公式为：</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drawing>
                <wp:inline distT="0" distB="0" distL="114300" distR="114300">
                  <wp:extent cx="2271395" cy="428625"/>
                  <wp:effectExtent l="0" t="0" r="14605" b="9525"/>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21"/>
                          <a:stretch>
                            <a:fillRect/>
                          </a:stretch>
                        </pic:blipFill>
                        <pic:spPr>
                          <a:xfrm>
                            <a:off x="0" y="0"/>
                            <a:ext cx="2271395" cy="4286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式中：L</w:t>
            </w:r>
            <w:r>
              <w:rPr>
                <w:rFonts w:hint="default" w:ascii="Times New Roman" w:hAnsi="Times New Roman" w:eastAsia="宋体" w:cs="Times New Roman"/>
                <w:color w:val="auto"/>
                <w:sz w:val="21"/>
                <w:szCs w:val="21"/>
                <w:highlight w:val="none"/>
                <w:vertAlign w:val="subscript"/>
                <w:lang w:val="en-US" w:eastAsia="zh-CN"/>
              </w:rPr>
              <w:t>eq</w:t>
            </w:r>
            <w:r>
              <w:rPr>
                <w:rFonts w:hint="default" w:ascii="Times New Roman" w:hAnsi="Times New Roman" w:eastAsia="宋体" w:cs="Times New Roman"/>
                <w:color w:val="auto"/>
                <w:sz w:val="21"/>
                <w:szCs w:val="21"/>
                <w:highlight w:val="none"/>
                <w:lang w:val="en-US" w:eastAsia="zh-CN"/>
              </w:rPr>
              <w:t>——预测点噪声预测值，dB(A)；</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L</w:t>
            </w:r>
            <w:r>
              <w:rPr>
                <w:rFonts w:hint="default" w:ascii="Times New Roman" w:hAnsi="Times New Roman" w:eastAsia="宋体" w:cs="Times New Roman"/>
                <w:color w:val="auto"/>
                <w:sz w:val="21"/>
                <w:szCs w:val="21"/>
                <w:highlight w:val="none"/>
                <w:vertAlign w:val="subscript"/>
                <w:lang w:val="en-US" w:eastAsia="zh-CN"/>
              </w:rPr>
              <w:t>eqg</w:t>
            </w:r>
            <w:r>
              <w:rPr>
                <w:rFonts w:hint="default" w:ascii="Times New Roman" w:hAnsi="Times New Roman" w:eastAsia="宋体" w:cs="Times New Roman"/>
                <w:color w:val="auto"/>
                <w:sz w:val="21"/>
                <w:szCs w:val="21"/>
                <w:highlight w:val="none"/>
                <w:lang w:val="en-US" w:eastAsia="zh-CN"/>
              </w:rPr>
              <w:t>——建设项目声源在预测点产生的噪声贡献值，dB(A)；</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L</w:t>
            </w:r>
            <w:r>
              <w:rPr>
                <w:rFonts w:hint="default" w:ascii="Times New Roman" w:hAnsi="Times New Roman" w:eastAsia="宋体" w:cs="Times New Roman"/>
                <w:color w:val="auto"/>
                <w:sz w:val="21"/>
                <w:szCs w:val="21"/>
                <w:highlight w:val="none"/>
                <w:vertAlign w:val="subscript"/>
                <w:lang w:val="en-US" w:eastAsia="zh-CN"/>
              </w:rPr>
              <w:t>eqb</w:t>
            </w:r>
            <w:r>
              <w:rPr>
                <w:rFonts w:hint="default" w:ascii="Times New Roman" w:hAnsi="Times New Roman" w:eastAsia="宋体" w:cs="Times New Roman"/>
                <w:color w:val="auto"/>
                <w:sz w:val="21"/>
                <w:szCs w:val="21"/>
                <w:highlight w:val="none"/>
                <w:lang w:val="en-US" w:eastAsia="zh-CN"/>
              </w:rPr>
              <w:t>——预测点的背景噪声值，dB(A)。</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d.计算结果</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按上述预测模式，项目厂界噪声的达标情况见下表。</w:t>
            </w:r>
          </w:p>
          <w:p>
            <w:pPr>
              <w:keepNext w:val="0"/>
              <w:keepLines w:val="0"/>
              <w:pageBreakBefore w:val="0"/>
              <w:widowControl/>
              <w:suppressLineNumbers w:val="0"/>
              <w:kinsoku/>
              <w:wordWrap/>
              <w:overflowPunct/>
              <w:topLinePunct w:val="0"/>
              <w:bidi w:val="0"/>
              <w:adjustRightInd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表4-</w:t>
            </w:r>
            <w:r>
              <w:rPr>
                <w:rFonts w:hint="eastAsia" w:ascii="Times New Roman" w:hAnsi="Times New Roman" w:eastAsia="宋体" w:cs="Times New Roman"/>
                <w:b/>
                <w:bCs/>
                <w:color w:val="auto"/>
                <w:sz w:val="21"/>
                <w:szCs w:val="21"/>
                <w:highlight w:val="none"/>
                <w:lang w:val="en-US" w:eastAsia="zh-CN"/>
              </w:rPr>
              <w:t>2</w:t>
            </w:r>
            <w:r>
              <w:rPr>
                <w:rFonts w:hint="eastAsia" w:cs="Times New Roman"/>
                <w:b/>
                <w:bCs/>
                <w:color w:val="auto"/>
                <w:sz w:val="21"/>
                <w:szCs w:val="21"/>
                <w:highlight w:val="none"/>
                <w:lang w:val="en-US" w:eastAsia="zh-CN"/>
              </w:rPr>
              <w:t xml:space="preserve">1 </w:t>
            </w:r>
            <w:r>
              <w:rPr>
                <w:rFonts w:hint="default" w:ascii="Times New Roman" w:hAnsi="Times New Roman" w:eastAsia="宋体" w:cs="Times New Roman"/>
                <w:b/>
                <w:bCs/>
                <w:color w:val="auto"/>
                <w:sz w:val="21"/>
                <w:szCs w:val="21"/>
                <w:highlight w:val="none"/>
                <w:lang w:val="en-US" w:eastAsia="zh-CN"/>
              </w:rPr>
              <w:t>噪声预测结果与达标分析 单位：dB(A)</w:t>
            </w:r>
          </w:p>
          <w:tbl>
            <w:tblPr>
              <w:tblStyle w:val="26"/>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738"/>
              <w:gridCol w:w="1237"/>
              <w:gridCol w:w="963"/>
              <w:gridCol w:w="892"/>
              <w:gridCol w:w="1106"/>
              <w:gridCol w:w="1182"/>
              <w:gridCol w:w="1237"/>
              <w:gridCol w:w="112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35" w:type="pct"/>
                  <w:vMerge w:val="restar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序号</w:t>
                  </w:r>
                </w:p>
              </w:tc>
              <w:tc>
                <w:tcPr>
                  <w:tcW w:w="729" w:type="pct"/>
                  <w:vMerge w:val="restar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声环境保护目标</w:t>
                  </w:r>
                </w:p>
              </w:tc>
              <w:tc>
                <w:tcPr>
                  <w:tcW w:w="1094" w:type="pct"/>
                  <w:gridSpan w:val="2"/>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噪声标准dB（A）</w:t>
                  </w:r>
                </w:p>
              </w:tc>
              <w:tc>
                <w:tcPr>
                  <w:tcW w:w="1349" w:type="pct"/>
                  <w:gridSpan w:val="2"/>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噪声贡献值dB（A）</w:t>
                  </w:r>
                </w:p>
              </w:tc>
              <w:tc>
                <w:tcPr>
                  <w:tcW w:w="1391" w:type="pct"/>
                  <w:gridSpan w:val="2"/>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超标和达标情况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35"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p>
              </w:tc>
              <w:tc>
                <w:tcPr>
                  <w:tcW w:w="729" w:type="pct"/>
                  <w:vMerge w:val="continue"/>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p>
              </w:tc>
              <w:tc>
                <w:tcPr>
                  <w:tcW w:w="568"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昼间</w:t>
                  </w:r>
                </w:p>
              </w:tc>
              <w:tc>
                <w:tcPr>
                  <w:tcW w:w="526"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夜间</w:t>
                  </w:r>
                </w:p>
              </w:tc>
              <w:tc>
                <w:tcPr>
                  <w:tcW w:w="6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昼间</w:t>
                  </w:r>
                </w:p>
              </w:tc>
              <w:tc>
                <w:tcPr>
                  <w:tcW w:w="696"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夜间</w:t>
                  </w:r>
                </w:p>
              </w:tc>
              <w:tc>
                <w:tcPr>
                  <w:tcW w:w="729"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昼间</w:t>
                  </w:r>
                </w:p>
              </w:tc>
              <w:tc>
                <w:tcPr>
                  <w:tcW w:w="661"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夜间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35"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1</w:t>
                  </w:r>
                </w:p>
              </w:tc>
              <w:tc>
                <w:tcPr>
                  <w:tcW w:w="729"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东厂界</w:t>
                  </w:r>
                </w:p>
              </w:tc>
              <w:tc>
                <w:tcPr>
                  <w:tcW w:w="568"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60</w:t>
                  </w:r>
                </w:p>
              </w:tc>
              <w:tc>
                <w:tcPr>
                  <w:tcW w:w="526"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50</w:t>
                  </w:r>
                </w:p>
              </w:tc>
              <w:tc>
                <w:tcPr>
                  <w:tcW w:w="6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kern w:val="2"/>
                      <w:sz w:val="21"/>
                      <w:szCs w:val="21"/>
                      <w:highlight w:val="none"/>
                      <w:lang w:val="en-US" w:eastAsia="zh-CN" w:bidi="ar-SA"/>
                    </w:rPr>
                    <w:t>33.11</w:t>
                  </w:r>
                </w:p>
              </w:tc>
              <w:tc>
                <w:tcPr>
                  <w:tcW w:w="696"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kern w:val="2"/>
                      <w:sz w:val="21"/>
                      <w:szCs w:val="21"/>
                      <w:highlight w:val="none"/>
                      <w:lang w:val="en-US" w:eastAsia="zh-CN" w:bidi="ar-SA"/>
                    </w:rPr>
                    <w:t>33.11</w:t>
                  </w:r>
                </w:p>
              </w:tc>
              <w:tc>
                <w:tcPr>
                  <w:tcW w:w="729"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达标</w:t>
                  </w:r>
                </w:p>
              </w:tc>
              <w:tc>
                <w:tcPr>
                  <w:tcW w:w="661"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35"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2</w:t>
                  </w:r>
                </w:p>
              </w:tc>
              <w:tc>
                <w:tcPr>
                  <w:tcW w:w="729"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南厂界</w:t>
                  </w:r>
                </w:p>
              </w:tc>
              <w:tc>
                <w:tcPr>
                  <w:tcW w:w="568"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60</w:t>
                  </w:r>
                </w:p>
              </w:tc>
              <w:tc>
                <w:tcPr>
                  <w:tcW w:w="526"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50</w:t>
                  </w:r>
                </w:p>
              </w:tc>
              <w:tc>
                <w:tcPr>
                  <w:tcW w:w="6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kern w:val="2"/>
                      <w:sz w:val="21"/>
                      <w:szCs w:val="21"/>
                      <w:highlight w:val="none"/>
                      <w:lang w:val="en-US" w:eastAsia="zh-CN" w:bidi="ar-SA"/>
                    </w:rPr>
                    <w:t>40.53</w:t>
                  </w:r>
                </w:p>
              </w:tc>
              <w:tc>
                <w:tcPr>
                  <w:tcW w:w="696"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kern w:val="2"/>
                      <w:sz w:val="21"/>
                      <w:szCs w:val="21"/>
                      <w:highlight w:val="none"/>
                      <w:lang w:val="en-US" w:eastAsia="zh-CN" w:bidi="ar-SA"/>
                    </w:rPr>
                    <w:t>40.53</w:t>
                  </w:r>
                </w:p>
              </w:tc>
              <w:tc>
                <w:tcPr>
                  <w:tcW w:w="729"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达标</w:t>
                  </w:r>
                </w:p>
              </w:tc>
              <w:tc>
                <w:tcPr>
                  <w:tcW w:w="661"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35"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3</w:t>
                  </w:r>
                </w:p>
              </w:tc>
              <w:tc>
                <w:tcPr>
                  <w:tcW w:w="729"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西厂界</w:t>
                  </w:r>
                </w:p>
              </w:tc>
              <w:tc>
                <w:tcPr>
                  <w:tcW w:w="568"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60</w:t>
                  </w:r>
                </w:p>
              </w:tc>
              <w:tc>
                <w:tcPr>
                  <w:tcW w:w="526"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50</w:t>
                  </w:r>
                </w:p>
              </w:tc>
              <w:tc>
                <w:tcPr>
                  <w:tcW w:w="6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kern w:val="2"/>
                      <w:sz w:val="21"/>
                      <w:szCs w:val="21"/>
                      <w:highlight w:val="none"/>
                      <w:lang w:val="en-US" w:eastAsia="zh-CN" w:bidi="ar-SA"/>
                    </w:rPr>
                    <w:t>33.84</w:t>
                  </w:r>
                </w:p>
              </w:tc>
              <w:tc>
                <w:tcPr>
                  <w:tcW w:w="696"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kern w:val="2"/>
                      <w:sz w:val="21"/>
                      <w:szCs w:val="21"/>
                      <w:highlight w:val="none"/>
                      <w:lang w:val="en-US" w:eastAsia="zh-CN" w:bidi="ar-SA"/>
                    </w:rPr>
                    <w:t>33.84</w:t>
                  </w:r>
                </w:p>
              </w:tc>
              <w:tc>
                <w:tcPr>
                  <w:tcW w:w="729"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达标</w:t>
                  </w:r>
                </w:p>
              </w:tc>
              <w:tc>
                <w:tcPr>
                  <w:tcW w:w="661"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35"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4</w:t>
                  </w:r>
                </w:p>
              </w:tc>
              <w:tc>
                <w:tcPr>
                  <w:tcW w:w="729"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北厂界</w:t>
                  </w:r>
                </w:p>
              </w:tc>
              <w:tc>
                <w:tcPr>
                  <w:tcW w:w="568"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60</w:t>
                  </w:r>
                </w:p>
              </w:tc>
              <w:tc>
                <w:tcPr>
                  <w:tcW w:w="526"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50</w:t>
                  </w:r>
                </w:p>
              </w:tc>
              <w:tc>
                <w:tcPr>
                  <w:tcW w:w="652"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kern w:val="2"/>
                      <w:sz w:val="21"/>
                      <w:szCs w:val="21"/>
                      <w:highlight w:val="none"/>
                      <w:lang w:val="en-US" w:eastAsia="zh-CN" w:bidi="ar-SA"/>
                    </w:rPr>
                    <w:t>48.21</w:t>
                  </w:r>
                </w:p>
              </w:tc>
              <w:tc>
                <w:tcPr>
                  <w:tcW w:w="696" w:type="pct"/>
                  <w:tcBorders>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kern w:val="2"/>
                      <w:sz w:val="21"/>
                      <w:szCs w:val="21"/>
                      <w:highlight w:val="none"/>
                      <w:lang w:val="en-US" w:eastAsia="zh-CN" w:bidi="ar-SA"/>
                    </w:rPr>
                    <w:t>48.21</w:t>
                  </w:r>
                </w:p>
              </w:tc>
              <w:tc>
                <w:tcPr>
                  <w:tcW w:w="729"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达标</w:t>
                  </w:r>
                </w:p>
              </w:tc>
              <w:tc>
                <w:tcPr>
                  <w:tcW w:w="661"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napToGrid w:val="0"/>
                    <w:spacing w:line="240" w:lineRule="auto"/>
                    <w:ind w:firstLine="0" w:firstLine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达标</w:t>
                  </w:r>
                </w:p>
              </w:tc>
            </w:tr>
          </w:tbl>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0" w:firstLineChars="200"/>
              <w:textAlignment w:val="auto"/>
              <w:rPr>
                <w:b/>
                <w:color w:val="auto"/>
                <w:kern w:val="0"/>
                <w:sz w:val="21"/>
                <w:szCs w:val="21"/>
                <w:highlight w:val="none"/>
                <w:lang w:val="zh-CN"/>
              </w:rPr>
            </w:pPr>
            <w:r>
              <w:rPr>
                <w:rFonts w:hint="default" w:ascii="Times New Roman" w:hAnsi="Times New Roman" w:eastAsia="宋体" w:cs="Times New Roman"/>
                <w:color w:val="auto"/>
                <w:kern w:val="2"/>
                <w:sz w:val="21"/>
                <w:szCs w:val="21"/>
                <w:highlight w:val="none"/>
                <w:lang w:val="en-US" w:eastAsia="zh-CN" w:bidi="ar-SA"/>
              </w:rPr>
              <w:t>综上，项目</w:t>
            </w:r>
            <w:r>
              <w:rPr>
                <w:rFonts w:hint="eastAsia" w:eastAsia="宋体" w:cs="Times New Roman"/>
                <w:color w:val="auto"/>
                <w:kern w:val="2"/>
                <w:sz w:val="21"/>
                <w:szCs w:val="21"/>
                <w:highlight w:val="none"/>
                <w:lang w:val="en-US" w:eastAsia="zh-CN" w:bidi="ar-SA"/>
              </w:rPr>
              <w:t>生产车间外50</w:t>
            </w:r>
            <w:r>
              <w:rPr>
                <w:rFonts w:hint="default" w:ascii="Times New Roman" w:hAnsi="Times New Roman" w:eastAsia="宋体" w:cs="Times New Roman"/>
                <w:color w:val="auto"/>
                <w:kern w:val="2"/>
                <w:sz w:val="21"/>
                <w:szCs w:val="21"/>
                <w:highlight w:val="none"/>
                <w:lang w:val="en-US" w:eastAsia="zh-CN" w:bidi="ar-SA"/>
              </w:rPr>
              <w:t>m范围内没有敏感目标，经以上防护措施及墙体隔声和距离的自然衰减后，项目四周厂界昼</w:t>
            </w:r>
            <w:r>
              <w:rPr>
                <w:rFonts w:hint="eastAsia" w:ascii="Times New Roman" w:hAnsi="Times New Roman" w:eastAsia="宋体" w:cs="Times New Roman"/>
                <w:color w:val="auto"/>
                <w:kern w:val="2"/>
                <w:sz w:val="21"/>
                <w:szCs w:val="21"/>
                <w:highlight w:val="none"/>
                <w:lang w:val="en-US" w:eastAsia="zh-CN" w:bidi="ar-SA"/>
              </w:rPr>
              <w:t>、夜间</w:t>
            </w:r>
            <w:r>
              <w:rPr>
                <w:rFonts w:hint="default" w:ascii="Times New Roman" w:hAnsi="Times New Roman" w:eastAsia="宋体" w:cs="Times New Roman"/>
                <w:color w:val="auto"/>
                <w:kern w:val="2"/>
                <w:sz w:val="21"/>
                <w:szCs w:val="21"/>
                <w:highlight w:val="none"/>
                <w:lang w:val="en-US" w:eastAsia="zh-CN" w:bidi="ar-SA"/>
              </w:rPr>
              <w:t>间的噪声</w:t>
            </w:r>
            <w:r>
              <w:rPr>
                <w:rFonts w:hint="eastAsia" w:ascii="Times New Roman" w:hAnsi="Times New Roman" w:eastAsia="宋体" w:cs="Times New Roman"/>
                <w:color w:val="auto"/>
                <w:kern w:val="2"/>
                <w:sz w:val="21"/>
                <w:szCs w:val="21"/>
                <w:highlight w:val="none"/>
                <w:lang w:val="en-US" w:eastAsia="zh-CN" w:bidi="ar-SA"/>
              </w:rPr>
              <w:t>贡献值</w:t>
            </w:r>
            <w:r>
              <w:rPr>
                <w:rFonts w:hint="default" w:ascii="Times New Roman" w:hAnsi="Times New Roman" w:eastAsia="宋体" w:cs="Times New Roman"/>
                <w:color w:val="auto"/>
                <w:kern w:val="2"/>
                <w:sz w:val="21"/>
                <w:szCs w:val="21"/>
                <w:highlight w:val="none"/>
                <w:lang w:val="en-US" w:eastAsia="zh-CN" w:bidi="ar-SA"/>
              </w:rPr>
              <w:t>全部低于《工业企业厂界噪声排放标准》（GB12348-2008）</w:t>
            </w:r>
            <w:r>
              <w:rPr>
                <w:rFonts w:hint="eastAsia" w:ascii="Times New Roman" w:hAnsi="Times New Roman" w:eastAsia="宋体" w:cs="Times New Roman"/>
                <w:color w:val="auto"/>
                <w:kern w:val="2"/>
                <w:sz w:val="21"/>
                <w:szCs w:val="21"/>
                <w:highlight w:val="none"/>
                <w:lang w:val="en-US" w:eastAsia="zh-CN" w:bidi="ar-SA"/>
              </w:rPr>
              <w:t>2</w:t>
            </w:r>
            <w:r>
              <w:rPr>
                <w:rFonts w:hint="default" w:ascii="Times New Roman" w:hAnsi="Times New Roman" w:eastAsia="宋体" w:cs="Times New Roman"/>
                <w:color w:val="auto"/>
                <w:kern w:val="2"/>
                <w:sz w:val="21"/>
                <w:szCs w:val="21"/>
                <w:highlight w:val="none"/>
                <w:lang w:val="en-US" w:eastAsia="zh-CN" w:bidi="ar-SA"/>
              </w:rPr>
              <w:t>类标准限值，满足项目地声环境功能要求。因此，本项目的建设对项目地周边的声环境影响较小。</w:t>
            </w:r>
          </w:p>
          <w:p>
            <w:pPr>
              <w:pStyle w:val="11"/>
              <w:spacing w:line="360" w:lineRule="auto"/>
              <w:ind w:left="0" w:leftChars="0" w:right="0" w:rightChars="0" w:firstLine="482"/>
              <w:jc w:val="left"/>
              <w:rPr>
                <w:b/>
                <w:bCs/>
                <w:color w:val="auto"/>
                <w:sz w:val="21"/>
                <w:szCs w:val="21"/>
                <w:highlight w:val="none"/>
              </w:rPr>
            </w:pPr>
            <w:r>
              <w:rPr>
                <w:rFonts w:hint="eastAsia"/>
                <w:b/>
                <w:bCs/>
                <w:color w:val="auto"/>
                <w:sz w:val="21"/>
                <w:szCs w:val="21"/>
                <w:highlight w:val="none"/>
              </w:rPr>
              <w:t>（4）</w:t>
            </w:r>
            <w:r>
              <w:rPr>
                <w:b/>
                <w:bCs/>
                <w:color w:val="auto"/>
                <w:sz w:val="21"/>
                <w:szCs w:val="21"/>
                <w:highlight w:val="none"/>
              </w:rPr>
              <w:t>噪声源监测计划</w:t>
            </w:r>
          </w:p>
          <w:p>
            <w:pPr>
              <w:pStyle w:val="6"/>
              <w:adjustRightInd w:val="0"/>
              <w:snapToGrid w:val="0"/>
              <w:spacing w:line="360" w:lineRule="auto"/>
              <w:ind w:firstLine="480"/>
              <w:rPr>
                <w:color w:val="auto"/>
                <w:sz w:val="21"/>
                <w:szCs w:val="21"/>
                <w:highlight w:val="none"/>
              </w:rPr>
            </w:pPr>
            <w:r>
              <w:rPr>
                <w:color w:val="auto"/>
                <w:sz w:val="21"/>
                <w:szCs w:val="21"/>
                <w:highlight w:val="none"/>
              </w:rPr>
              <w:t>根据《</w:t>
            </w:r>
            <w:r>
              <w:rPr>
                <w:rFonts w:hint="eastAsia"/>
                <w:color w:val="auto"/>
                <w:sz w:val="21"/>
                <w:szCs w:val="21"/>
                <w:highlight w:val="none"/>
              </w:rPr>
              <w:t>排污单位自行监测技术指南 总则</w:t>
            </w:r>
            <w:r>
              <w:rPr>
                <w:color w:val="auto"/>
                <w:sz w:val="21"/>
                <w:szCs w:val="21"/>
                <w:highlight w:val="none"/>
              </w:rPr>
              <w:t>》（HJ</w:t>
            </w:r>
            <w:r>
              <w:rPr>
                <w:rFonts w:hint="eastAsia"/>
                <w:color w:val="auto"/>
                <w:sz w:val="21"/>
                <w:szCs w:val="21"/>
                <w:highlight w:val="none"/>
              </w:rPr>
              <w:t>819-2017</w:t>
            </w:r>
            <w:r>
              <w:rPr>
                <w:color w:val="auto"/>
                <w:sz w:val="21"/>
                <w:szCs w:val="21"/>
                <w:highlight w:val="none"/>
              </w:rPr>
              <w:t>）中相关要求</w:t>
            </w:r>
            <w:r>
              <w:rPr>
                <w:rFonts w:hint="eastAsia"/>
                <w:color w:val="auto"/>
                <w:sz w:val="21"/>
                <w:szCs w:val="21"/>
                <w:highlight w:val="none"/>
              </w:rPr>
              <w:t>，</w:t>
            </w:r>
            <w:r>
              <w:rPr>
                <w:color w:val="auto"/>
                <w:sz w:val="21"/>
                <w:szCs w:val="21"/>
                <w:highlight w:val="none"/>
              </w:rPr>
              <w:t>建设单位噪声例行监测计划和验收检测方案详见表</w:t>
            </w:r>
            <w:r>
              <w:rPr>
                <w:rFonts w:hint="eastAsia"/>
                <w:color w:val="auto"/>
                <w:sz w:val="21"/>
                <w:szCs w:val="21"/>
                <w:highlight w:val="none"/>
              </w:rPr>
              <w:t>4-</w:t>
            </w:r>
            <w:r>
              <w:rPr>
                <w:rFonts w:hint="eastAsia"/>
                <w:color w:val="auto"/>
                <w:sz w:val="21"/>
                <w:szCs w:val="21"/>
                <w:highlight w:val="none"/>
                <w:lang w:val="en-US" w:eastAsia="zh-CN"/>
              </w:rPr>
              <w:t>22</w:t>
            </w:r>
            <w:r>
              <w:rPr>
                <w:color w:val="auto"/>
                <w:sz w:val="21"/>
                <w:szCs w:val="21"/>
                <w:highlight w:val="none"/>
              </w:rPr>
              <w:t>。</w:t>
            </w:r>
          </w:p>
          <w:p>
            <w:pPr>
              <w:adjustRightInd w:val="0"/>
              <w:snapToGrid w:val="0"/>
              <w:spacing w:line="240" w:lineRule="auto"/>
              <w:jc w:val="center"/>
              <w:rPr>
                <w:b/>
                <w:color w:val="auto"/>
                <w:sz w:val="21"/>
                <w:szCs w:val="21"/>
              </w:rPr>
            </w:pPr>
            <w:r>
              <w:rPr>
                <w:b/>
                <w:color w:val="auto"/>
                <w:sz w:val="21"/>
                <w:szCs w:val="21"/>
                <w:highlight w:val="none"/>
              </w:rPr>
              <w:t>表4</w:t>
            </w:r>
            <w:r>
              <w:rPr>
                <w:rFonts w:hint="eastAsia"/>
                <w:b/>
                <w:color w:val="auto"/>
                <w:sz w:val="21"/>
                <w:szCs w:val="21"/>
                <w:highlight w:val="none"/>
                <w:lang w:val="en-US" w:eastAsia="zh-CN"/>
              </w:rPr>
              <w:t xml:space="preserve">-22 </w:t>
            </w:r>
            <w:r>
              <w:rPr>
                <w:b/>
                <w:color w:val="auto"/>
                <w:sz w:val="21"/>
                <w:szCs w:val="21"/>
                <w:highlight w:val="none"/>
              </w:rPr>
              <w:t>噪</w:t>
            </w:r>
            <w:r>
              <w:rPr>
                <w:b/>
                <w:color w:val="auto"/>
                <w:sz w:val="21"/>
                <w:szCs w:val="21"/>
              </w:rPr>
              <w:t>声日常监测计划要求</w:t>
            </w:r>
          </w:p>
          <w:tbl>
            <w:tblPr>
              <w:tblStyle w:val="25"/>
              <w:tblW w:w="4998" w:type="pct"/>
              <w:tblInd w:w="0"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fixed"/>
              <w:tblCellMar>
                <w:top w:w="0" w:type="dxa"/>
                <w:left w:w="0" w:type="dxa"/>
                <w:bottom w:w="0" w:type="dxa"/>
                <w:right w:w="0" w:type="dxa"/>
              </w:tblCellMar>
            </w:tblPr>
            <w:tblGrid>
              <w:gridCol w:w="736"/>
              <w:gridCol w:w="735"/>
              <w:gridCol w:w="782"/>
              <w:gridCol w:w="1392"/>
              <w:gridCol w:w="1247"/>
              <w:gridCol w:w="1419"/>
              <w:gridCol w:w="2167"/>
            </w:tblGrid>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434" w:type="pct"/>
                  <w:noWrap w:val="0"/>
                  <w:vAlign w:val="center"/>
                </w:tcPr>
                <w:p>
                  <w:pPr>
                    <w:adjustRightInd w:val="0"/>
                    <w:snapToGrid w:val="0"/>
                    <w:jc w:val="center"/>
                    <w:rPr>
                      <w:b/>
                      <w:color w:val="auto"/>
                      <w:sz w:val="21"/>
                      <w:szCs w:val="21"/>
                    </w:rPr>
                  </w:pPr>
                  <w:r>
                    <w:rPr>
                      <w:b/>
                      <w:color w:val="auto"/>
                      <w:sz w:val="21"/>
                      <w:szCs w:val="21"/>
                    </w:rPr>
                    <w:t>类型</w:t>
                  </w:r>
                </w:p>
              </w:tc>
              <w:tc>
                <w:tcPr>
                  <w:tcW w:w="433" w:type="pct"/>
                  <w:noWrap w:val="0"/>
                  <w:vAlign w:val="center"/>
                </w:tcPr>
                <w:p>
                  <w:pPr>
                    <w:adjustRightInd w:val="0"/>
                    <w:snapToGrid w:val="0"/>
                    <w:jc w:val="center"/>
                    <w:rPr>
                      <w:b/>
                      <w:color w:val="auto"/>
                      <w:sz w:val="21"/>
                      <w:szCs w:val="21"/>
                    </w:rPr>
                  </w:pPr>
                  <w:r>
                    <w:rPr>
                      <w:b/>
                      <w:color w:val="auto"/>
                      <w:sz w:val="21"/>
                      <w:szCs w:val="21"/>
                    </w:rPr>
                    <w:t>监测时间</w:t>
                  </w:r>
                </w:p>
              </w:tc>
              <w:tc>
                <w:tcPr>
                  <w:tcW w:w="461" w:type="pct"/>
                  <w:noWrap w:val="0"/>
                  <w:vAlign w:val="center"/>
                </w:tcPr>
                <w:p>
                  <w:pPr>
                    <w:adjustRightInd w:val="0"/>
                    <w:snapToGrid w:val="0"/>
                    <w:jc w:val="center"/>
                    <w:rPr>
                      <w:b/>
                      <w:color w:val="auto"/>
                      <w:sz w:val="21"/>
                      <w:szCs w:val="21"/>
                    </w:rPr>
                  </w:pPr>
                  <w:r>
                    <w:rPr>
                      <w:b/>
                      <w:color w:val="auto"/>
                      <w:sz w:val="21"/>
                      <w:szCs w:val="21"/>
                    </w:rPr>
                    <w:t>类别</w:t>
                  </w:r>
                </w:p>
              </w:tc>
              <w:tc>
                <w:tcPr>
                  <w:tcW w:w="820" w:type="pct"/>
                  <w:noWrap w:val="0"/>
                  <w:vAlign w:val="center"/>
                </w:tcPr>
                <w:p>
                  <w:pPr>
                    <w:adjustRightInd w:val="0"/>
                    <w:snapToGrid w:val="0"/>
                    <w:jc w:val="center"/>
                    <w:rPr>
                      <w:b/>
                      <w:color w:val="auto"/>
                      <w:sz w:val="21"/>
                      <w:szCs w:val="21"/>
                    </w:rPr>
                  </w:pPr>
                  <w:r>
                    <w:rPr>
                      <w:b/>
                      <w:color w:val="auto"/>
                      <w:sz w:val="21"/>
                      <w:szCs w:val="21"/>
                    </w:rPr>
                    <w:t>监测点位</w:t>
                  </w:r>
                </w:p>
              </w:tc>
              <w:tc>
                <w:tcPr>
                  <w:tcW w:w="735" w:type="pct"/>
                  <w:noWrap w:val="0"/>
                  <w:vAlign w:val="center"/>
                </w:tcPr>
                <w:p>
                  <w:pPr>
                    <w:adjustRightInd w:val="0"/>
                    <w:snapToGrid w:val="0"/>
                    <w:jc w:val="center"/>
                    <w:rPr>
                      <w:b/>
                      <w:color w:val="auto"/>
                      <w:sz w:val="21"/>
                      <w:szCs w:val="21"/>
                    </w:rPr>
                  </w:pPr>
                  <w:r>
                    <w:rPr>
                      <w:b/>
                      <w:color w:val="auto"/>
                      <w:sz w:val="21"/>
                      <w:szCs w:val="21"/>
                    </w:rPr>
                    <w:t>监测因子</w:t>
                  </w:r>
                </w:p>
              </w:tc>
              <w:tc>
                <w:tcPr>
                  <w:tcW w:w="836" w:type="pct"/>
                  <w:noWrap w:val="0"/>
                  <w:vAlign w:val="center"/>
                </w:tcPr>
                <w:p>
                  <w:pPr>
                    <w:adjustRightInd w:val="0"/>
                    <w:snapToGrid w:val="0"/>
                    <w:jc w:val="center"/>
                    <w:rPr>
                      <w:b/>
                      <w:color w:val="auto"/>
                      <w:sz w:val="21"/>
                      <w:szCs w:val="21"/>
                    </w:rPr>
                  </w:pPr>
                  <w:r>
                    <w:rPr>
                      <w:b/>
                      <w:color w:val="auto"/>
                      <w:sz w:val="21"/>
                      <w:szCs w:val="21"/>
                    </w:rPr>
                    <w:t>监测频次</w:t>
                  </w:r>
                </w:p>
              </w:tc>
              <w:tc>
                <w:tcPr>
                  <w:tcW w:w="1277" w:type="pct"/>
                  <w:noWrap w:val="0"/>
                  <w:vAlign w:val="center"/>
                </w:tcPr>
                <w:p>
                  <w:pPr>
                    <w:adjustRightInd w:val="0"/>
                    <w:snapToGrid w:val="0"/>
                    <w:jc w:val="center"/>
                    <w:rPr>
                      <w:b/>
                      <w:color w:val="auto"/>
                      <w:sz w:val="21"/>
                      <w:szCs w:val="21"/>
                    </w:rPr>
                  </w:pPr>
                  <w:r>
                    <w:rPr>
                      <w:b/>
                      <w:color w:val="auto"/>
                      <w:sz w:val="21"/>
                      <w:szCs w:val="21"/>
                    </w:rPr>
                    <w:t>执行标准</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434" w:type="pct"/>
                  <w:noWrap w:val="0"/>
                  <w:vAlign w:val="center"/>
                </w:tcPr>
                <w:p>
                  <w:pPr>
                    <w:adjustRightInd w:val="0"/>
                    <w:snapToGrid w:val="0"/>
                    <w:jc w:val="center"/>
                    <w:rPr>
                      <w:color w:val="auto"/>
                      <w:sz w:val="21"/>
                      <w:szCs w:val="21"/>
                    </w:rPr>
                  </w:pPr>
                  <w:r>
                    <w:rPr>
                      <w:color w:val="auto"/>
                      <w:sz w:val="21"/>
                      <w:szCs w:val="21"/>
                    </w:rPr>
                    <w:t>例行监测</w:t>
                  </w:r>
                </w:p>
              </w:tc>
              <w:tc>
                <w:tcPr>
                  <w:tcW w:w="433" w:type="pct"/>
                  <w:noWrap w:val="0"/>
                  <w:vAlign w:val="center"/>
                </w:tcPr>
                <w:p>
                  <w:pPr>
                    <w:adjustRightInd w:val="0"/>
                    <w:snapToGrid w:val="0"/>
                    <w:jc w:val="center"/>
                    <w:rPr>
                      <w:color w:val="auto"/>
                      <w:sz w:val="21"/>
                      <w:szCs w:val="21"/>
                    </w:rPr>
                  </w:pPr>
                  <w:r>
                    <w:rPr>
                      <w:color w:val="auto"/>
                      <w:sz w:val="21"/>
                      <w:szCs w:val="21"/>
                    </w:rPr>
                    <w:t>昼</w:t>
                  </w:r>
                  <w:r>
                    <w:rPr>
                      <w:rFonts w:hint="eastAsia"/>
                      <w:color w:val="auto"/>
                      <w:sz w:val="21"/>
                      <w:szCs w:val="21"/>
                      <w:lang w:eastAsia="zh-CN"/>
                    </w:rPr>
                    <w:t>、</w:t>
                  </w:r>
                  <w:r>
                    <w:rPr>
                      <w:rFonts w:hint="eastAsia"/>
                      <w:color w:val="auto"/>
                      <w:sz w:val="21"/>
                      <w:szCs w:val="21"/>
                      <w:lang w:val="en-US" w:eastAsia="zh-CN"/>
                    </w:rPr>
                    <w:t>夜</w:t>
                  </w:r>
                  <w:r>
                    <w:rPr>
                      <w:color w:val="auto"/>
                      <w:sz w:val="21"/>
                      <w:szCs w:val="21"/>
                    </w:rPr>
                    <w:t>间</w:t>
                  </w:r>
                </w:p>
              </w:tc>
              <w:tc>
                <w:tcPr>
                  <w:tcW w:w="461" w:type="pct"/>
                  <w:noWrap w:val="0"/>
                  <w:vAlign w:val="center"/>
                </w:tcPr>
                <w:p>
                  <w:pPr>
                    <w:adjustRightInd w:val="0"/>
                    <w:snapToGrid w:val="0"/>
                    <w:jc w:val="center"/>
                    <w:rPr>
                      <w:color w:val="auto"/>
                      <w:sz w:val="21"/>
                      <w:szCs w:val="21"/>
                    </w:rPr>
                  </w:pPr>
                  <w:r>
                    <w:rPr>
                      <w:color w:val="auto"/>
                      <w:sz w:val="21"/>
                      <w:szCs w:val="21"/>
                    </w:rPr>
                    <w:t>噪声</w:t>
                  </w:r>
                </w:p>
              </w:tc>
              <w:tc>
                <w:tcPr>
                  <w:tcW w:w="820" w:type="pct"/>
                  <w:noWrap w:val="0"/>
                  <w:vAlign w:val="center"/>
                </w:tcPr>
                <w:p>
                  <w:pPr>
                    <w:adjustRightInd w:val="0"/>
                    <w:snapToGrid w:val="0"/>
                    <w:jc w:val="center"/>
                    <w:rPr>
                      <w:rFonts w:hint="eastAsia"/>
                      <w:color w:val="auto"/>
                      <w:sz w:val="21"/>
                      <w:szCs w:val="21"/>
                    </w:rPr>
                  </w:pPr>
                  <w:r>
                    <w:rPr>
                      <w:color w:val="auto"/>
                      <w:sz w:val="21"/>
                      <w:szCs w:val="21"/>
                    </w:rPr>
                    <w:t>厂界四周</w:t>
                  </w:r>
                </w:p>
              </w:tc>
              <w:tc>
                <w:tcPr>
                  <w:tcW w:w="735" w:type="pct"/>
                  <w:noWrap w:val="0"/>
                  <w:vAlign w:val="center"/>
                </w:tcPr>
                <w:p>
                  <w:pPr>
                    <w:adjustRightInd w:val="0"/>
                    <w:snapToGrid w:val="0"/>
                    <w:jc w:val="center"/>
                    <w:rPr>
                      <w:color w:val="auto"/>
                      <w:sz w:val="21"/>
                      <w:szCs w:val="21"/>
                    </w:rPr>
                  </w:pPr>
                  <w:r>
                    <w:rPr>
                      <w:color w:val="auto"/>
                      <w:sz w:val="21"/>
                      <w:szCs w:val="21"/>
                    </w:rPr>
                    <w:t>Leq（A）</w:t>
                  </w:r>
                </w:p>
              </w:tc>
              <w:tc>
                <w:tcPr>
                  <w:tcW w:w="836" w:type="pct"/>
                  <w:noWrap w:val="0"/>
                  <w:vAlign w:val="center"/>
                </w:tcPr>
                <w:p>
                  <w:pPr>
                    <w:adjustRightInd w:val="0"/>
                    <w:snapToGrid w:val="0"/>
                    <w:jc w:val="center"/>
                    <w:rPr>
                      <w:color w:val="auto"/>
                      <w:sz w:val="21"/>
                      <w:szCs w:val="21"/>
                    </w:rPr>
                  </w:pPr>
                  <w:r>
                    <w:rPr>
                      <w:color w:val="auto"/>
                      <w:sz w:val="21"/>
                      <w:szCs w:val="21"/>
                    </w:rPr>
                    <w:t>每季度一次</w:t>
                  </w:r>
                </w:p>
              </w:tc>
              <w:tc>
                <w:tcPr>
                  <w:tcW w:w="1277" w:type="pct"/>
                  <w:noWrap w:val="0"/>
                  <w:vAlign w:val="center"/>
                </w:tcPr>
                <w:p>
                  <w:pPr>
                    <w:adjustRightInd w:val="0"/>
                    <w:snapToGrid w:val="0"/>
                    <w:jc w:val="center"/>
                    <w:rPr>
                      <w:color w:val="auto"/>
                      <w:sz w:val="21"/>
                      <w:szCs w:val="21"/>
                    </w:rPr>
                  </w:pPr>
                  <w:r>
                    <w:rPr>
                      <w:color w:val="auto"/>
                      <w:sz w:val="21"/>
                      <w:szCs w:val="21"/>
                    </w:rPr>
                    <w:t>《工业企业厂界环境噪声排放标准》</w:t>
                  </w:r>
                  <w:r>
                    <w:rPr>
                      <w:rFonts w:hint="eastAsia" w:ascii="宋体" w:hAnsi="宋体" w:cs="宋体"/>
                      <w:color w:val="auto"/>
                      <w:sz w:val="21"/>
                      <w:szCs w:val="21"/>
                    </w:rPr>
                    <w:t>(</w:t>
                  </w:r>
                  <w:r>
                    <w:rPr>
                      <w:color w:val="auto"/>
                      <w:sz w:val="21"/>
                      <w:szCs w:val="21"/>
                    </w:rPr>
                    <w:t>GB12348-2008</w:t>
                  </w:r>
                  <w:r>
                    <w:rPr>
                      <w:rFonts w:hint="eastAsia" w:ascii="宋体" w:hAnsi="宋体" w:cs="宋体"/>
                      <w:color w:val="auto"/>
                      <w:sz w:val="21"/>
                      <w:szCs w:val="21"/>
                    </w:rPr>
                    <w:t>)</w:t>
                  </w:r>
                  <w:r>
                    <w:rPr>
                      <w:rFonts w:hint="eastAsia"/>
                      <w:color w:val="auto"/>
                      <w:sz w:val="21"/>
                      <w:szCs w:val="21"/>
                    </w:rPr>
                    <w:t>2</w:t>
                  </w:r>
                  <w:r>
                    <w:rPr>
                      <w:color w:val="auto"/>
                      <w:sz w:val="21"/>
                      <w:szCs w:val="21"/>
                    </w:rPr>
                    <w:t>类</w:t>
                  </w:r>
                </w:p>
              </w:tc>
            </w:tr>
            <w:tr>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434" w:type="pct"/>
                  <w:noWrap w:val="0"/>
                  <w:vAlign w:val="center"/>
                </w:tcPr>
                <w:p>
                  <w:pPr>
                    <w:adjustRightInd w:val="0"/>
                    <w:snapToGrid w:val="0"/>
                    <w:jc w:val="center"/>
                    <w:rPr>
                      <w:rFonts w:hint="eastAsia"/>
                      <w:color w:val="auto"/>
                      <w:sz w:val="21"/>
                      <w:szCs w:val="21"/>
                    </w:rPr>
                  </w:pPr>
                  <w:r>
                    <w:rPr>
                      <w:color w:val="auto"/>
                      <w:sz w:val="21"/>
                      <w:szCs w:val="21"/>
                    </w:rPr>
                    <w:t>验收</w:t>
                  </w:r>
                  <w:r>
                    <w:rPr>
                      <w:rFonts w:hint="eastAsia"/>
                      <w:color w:val="auto"/>
                      <w:sz w:val="21"/>
                      <w:szCs w:val="21"/>
                    </w:rPr>
                    <w:t>监测</w:t>
                  </w:r>
                </w:p>
              </w:tc>
              <w:tc>
                <w:tcPr>
                  <w:tcW w:w="433" w:type="pct"/>
                  <w:noWrap w:val="0"/>
                  <w:vAlign w:val="center"/>
                </w:tcPr>
                <w:p>
                  <w:pPr>
                    <w:adjustRightInd w:val="0"/>
                    <w:snapToGrid w:val="0"/>
                    <w:jc w:val="center"/>
                    <w:rPr>
                      <w:color w:val="auto"/>
                      <w:sz w:val="21"/>
                      <w:szCs w:val="21"/>
                    </w:rPr>
                  </w:pPr>
                  <w:r>
                    <w:rPr>
                      <w:color w:val="auto"/>
                      <w:sz w:val="21"/>
                      <w:szCs w:val="21"/>
                    </w:rPr>
                    <w:t>昼</w:t>
                  </w:r>
                  <w:r>
                    <w:rPr>
                      <w:rFonts w:hint="eastAsia"/>
                      <w:color w:val="auto"/>
                      <w:sz w:val="21"/>
                      <w:szCs w:val="21"/>
                      <w:lang w:eastAsia="zh-CN"/>
                    </w:rPr>
                    <w:t>、</w:t>
                  </w:r>
                  <w:r>
                    <w:rPr>
                      <w:rFonts w:hint="eastAsia"/>
                      <w:color w:val="auto"/>
                      <w:sz w:val="21"/>
                      <w:szCs w:val="21"/>
                      <w:lang w:val="en-US" w:eastAsia="zh-CN"/>
                    </w:rPr>
                    <w:t>夜</w:t>
                  </w:r>
                  <w:r>
                    <w:rPr>
                      <w:color w:val="auto"/>
                      <w:sz w:val="21"/>
                      <w:szCs w:val="21"/>
                    </w:rPr>
                    <w:t>间</w:t>
                  </w:r>
                </w:p>
              </w:tc>
              <w:tc>
                <w:tcPr>
                  <w:tcW w:w="461" w:type="pct"/>
                  <w:noWrap w:val="0"/>
                  <w:vAlign w:val="center"/>
                </w:tcPr>
                <w:p>
                  <w:pPr>
                    <w:adjustRightInd w:val="0"/>
                    <w:snapToGrid w:val="0"/>
                    <w:jc w:val="center"/>
                    <w:rPr>
                      <w:color w:val="auto"/>
                      <w:sz w:val="21"/>
                      <w:szCs w:val="21"/>
                    </w:rPr>
                  </w:pPr>
                  <w:r>
                    <w:rPr>
                      <w:color w:val="auto"/>
                      <w:sz w:val="21"/>
                      <w:szCs w:val="21"/>
                    </w:rPr>
                    <w:t>噪声</w:t>
                  </w:r>
                </w:p>
              </w:tc>
              <w:tc>
                <w:tcPr>
                  <w:tcW w:w="820" w:type="pct"/>
                  <w:noWrap w:val="0"/>
                  <w:vAlign w:val="center"/>
                </w:tcPr>
                <w:p>
                  <w:pPr>
                    <w:adjustRightInd w:val="0"/>
                    <w:snapToGrid w:val="0"/>
                    <w:jc w:val="center"/>
                    <w:rPr>
                      <w:rFonts w:hint="eastAsia"/>
                      <w:color w:val="auto"/>
                      <w:sz w:val="21"/>
                      <w:szCs w:val="21"/>
                    </w:rPr>
                  </w:pPr>
                  <w:r>
                    <w:rPr>
                      <w:color w:val="auto"/>
                      <w:sz w:val="21"/>
                      <w:szCs w:val="21"/>
                    </w:rPr>
                    <w:t>厂界四周</w:t>
                  </w:r>
                </w:p>
              </w:tc>
              <w:tc>
                <w:tcPr>
                  <w:tcW w:w="735" w:type="pct"/>
                  <w:noWrap w:val="0"/>
                  <w:vAlign w:val="center"/>
                </w:tcPr>
                <w:p>
                  <w:pPr>
                    <w:adjustRightInd w:val="0"/>
                    <w:snapToGrid w:val="0"/>
                    <w:jc w:val="center"/>
                    <w:rPr>
                      <w:color w:val="auto"/>
                      <w:sz w:val="21"/>
                      <w:szCs w:val="21"/>
                    </w:rPr>
                  </w:pPr>
                  <w:r>
                    <w:rPr>
                      <w:color w:val="auto"/>
                      <w:sz w:val="21"/>
                      <w:szCs w:val="21"/>
                    </w:rPr>
                    <w:t>Leq（A）</w:t>
                  </w:r>
                </w:p>
              </w:tc>
              <w:tc>
                <w:tcPr>
                  <w:tcW w:w="836" w:type="pct"/>
                  <w:noWrap w:val="0"/>
                  <w:vAlign w:val="center"/>
                </w:tcPr>
                <w:p>
                  <w:pPr>
                    <w:adjustRightInd w:val="0"/>
                    <w:snapToGrid w:val="0"/>
                    <w:jc w:val="center"/>
                    <w:rPr>
                      <w:color w:val="auto"/>
                      <w:sz w:val="21"/>
                      <w:szCs w:val="21"/>
                    </w:rPr>
                  </w:pPr>
                  <w:r>
                    <w:rPr>
                      <w:color w:val="auto"/>
                      <w:sz w:val="21"/>
                      <w:szCs w:val="21"/>
                    </w:rPr>
                    <w:t>连续2天，昼夜各1次</w:t>
                  </w:r>
                </w:p>
              </w:tc>
              <w:tc>
                <w:tcPr>
                  <w:tcW w:w="1277" w:type="pct"/>
                  <w:noWrap w:val="0"/>
                  <w:vAlign w:val="center"/>
                </w:tcPr>
                <w:p>
                  <w:pPr>
                    <w:adjustRightInd w:val="0"/>
                    <w:snapToGrid w:val="0"/>
                    <w:jc w:val="center"/>
                    <w:rPr>
                      <w:color w:val="auto"/>
                      <w:sz w:val="21"/>
                      <w:szCs w:val="21"/>
                    </w:rPr>
                  </w:pPr>
                  <w:r>
                    <w:rPr>
                      <w:color w:val="auto"/>
                      <w:sz w:val="21"/>
                      <w:szCs w:val="21"/>
                    </w:rPr>
                    <w:t>《工业企业厂界环境噪声排放标准》</w:t>
                  </w:r>
                  <w:r>
                    <w:rPr>
                      <w:rFonts w:hint="eastAsia" w:ascii="宋体" w:hAnsi="宋体" w:cs="宋体"/>
                      <w:color w:val="auto"/>
                      <w:sz w:val="21"/>
                      <w:szCs w:val="21"/>
                    </w:rPr>
                    <w:t>(</w:t>
                  </w:r>
                  <w:r>
                    <w:rPr>
                      <w:color w:val="auto"/>
                      <w:sz w:val="21"/>
                      <w:szCs w:val="21"/>
                    </w:rPr>
                    <w:t>GB12348-2008</w:t>
                  </w:r>
                  <w:r>
                    <w:rPr>
                      <w:rFonts w:hint="eastAsia" w:ascii="宋体" w:hAnsi="宋体" w:cs="宋体"/>
                      <w:color w:val="auto"/>
                      <w:sz w:val="21"/>
                      <w:szCs w:val="21"/>
                    </w:rPr>
                    <w:t>)</w:t>
                  </w:r>
                  <w:r>
                    <w:rPr>
                      <w:rFonts w:hint="eastAsia"/>
                      <w:color w:val="auto"/>
                      <w:sz w:val="21"/>
                      <w:szCs w:val="21"/>
                    </w:rPr>
                    <w:t>2</w:t>
                  </w:r>
                  <w:r>
                    <w:rPr>
                      <w:color w:val="auto"/>
                      <w:sz w:val="21"/>
                      <w:szCs w:val="21"/>
                    </w:rPr>
                    <w:t>类</w:t>
                  </w:r>
                </w:p>
              </w:tc>
            </w:tr>
          </w:tbl>
          <w:p>
            <w:pPr>
              <w:pStyle w:val="37"/>
              <w:spacing w:before="120" w:beforeLines="50" w:line="360" w:lineRule="auto"/>
              <w:ind w:firstLine="482"/>
              <w:rPr>
                <w:rFonts w:eastAsia="宋体"/>
                <w:b/>
                <w:bCs/>
                <w:color w:val="auto"/>
                <w:sz w:val="21"/>
                <w:szCs w:val="21"/>
                <w:highlight w:val="none"/>
              </w:rPr>
            </w:pPr>
            <w:r>
              <w:rPr>
                <w:rFonts w:eastAsia="宋体"/>
                <w:b/>
                <w:bCs/>
                <w:color w:val="auto"/>
                <w:sz w:val="21"/>
                <w:szCs w:val="21"/>
                <w:highlight w:val="none"/>
              </w:rPr>
              <w:t>四、固废</w:t>
            </w:r>
          </w:p>
          <w:p>
            <w:pPr>
              <w:pStyle w:val="37"/>
              <w:adjustRightInd w:val="0"/>
              <w:snapToGrid w:val="0"/>
              <w:spacing w:line="360" w:lineRule="auto"/>
              <w:ind w:firstLine="482"/>
              <w:rPr>
                <w:rFonts w:eastAsia="宋体"/>
                <w:b/>
                <w:bCs/>
                <w:color w:val="auto"/>
                <w:sz w:val="21"/>
                <w:szCs w:val="21"/>
                <w:highlight w:val="none"/>
              </w:rPr>
            </w:pPr>
            <w:r>
              <w:rPr>
                <w:rFonts w:eastAsia="宋体"/>
                <w:b/>
                <w:bCs/>
                <w:color w:val="auto"/>
                <w:sz w:val="21"/>
                <w:szCs w:val="21"/>
                <w:highlight w:val="none"/>
              </w:rPr>
              <w:t>1、固废产生源强</w:t>
            </w:r>
          </w:p>
          <w:p>
            <w:pPr>
              <w:pStyle w:val="40"/>
              <w:snapToGrid w:val="0"/>
              <w:spacing w:after="0" w:line="360" w:lineRule="auto"/>
              <w:ind w:firstLine="420" w:firstLineChars="200"/>
              <w:jc w:val="both"/>
              <w:rPr>
                <w:rFonts w:ascii="Times New Roman" w:cs="Times New Roman"/>
                <w:bCs/>
                <w:color w:val="auto"/>
                <w:sz w:val="21"/>
                <w:szCs w:val="21"/>
                <w:highlight w:val="none"/>
              </w:rPr>
            </w:pPr>
            <w:r>
              <w:rPr>
                <w:rFonts w:ascii="Times New Roman" w:cs="Times New Roman"/>
                <w:color w:val="auto"/>
                <w:sz w:val="21"/>
                <w:szCs w:val="21"/>
                <w:highlight w:val="none"/>
              </w:rPr>
              <w:t>本项目新增固废主要为生活垃圾、一般工业固废、危险废物。</w:t>
            </w:r>
          </w:p>
          <w:p>
            <w:pPr>
              <w:adjustRightInd w:val="0"/>
              <w:snapToGrid w:val="0"/>
              <w:spacing w:line="360" w:lineRule="auto"/>
              <w:ind w:firstLine="422" w:firstLineChars="200"/>
              <w:rPr>
                <w:b/>
                <w:color w:val="auto"/>
                <w:sz w:val="21"/>
                <w:szCs w:val="21"/>
                <w:highlight w:val="none"/>
              </w:rPr>
            </w:pPr>
            <w:r>
              <w:rPr>
                <w:b/>
                <w:color w:val="auto"/>
                <w:sz w:val="21"/>
                <w:szCs w:val="21"/>
                <w:highlight w:val="none"/>
              </w:rPr>
              <w:t>一般工业固体废物:</w:t>
            </w:r>
          </w:p>
          <w:p>
            <w:pPr>
              <w:pStyle w:val="14"/>
              <w:numPr>
                <w:ilvl w:val="0"/>
                <w:numId w:val="0"/>
              </w:numPr>
              <w:adjustRightInd w:val="0"/>
              <w:spacing w:line="360" w:lineRule="auto"/>
              <w:ind w:firstLine="420" w:firstLineChars="200"/>
              <w:rPr>
                <w:color w:val="auto"/>
                <w:sz w:val="21"/>
                <w:szCs w:val="21"/>
                <w:highlight w:val="none"/>
              </w:rPr>
            </w:pPr>
            <w:r>
              <w:rPr>
                <w:color w:val="auto"/>
                <w:sz w:val="21"/>
                <w:szCs w:val="21"/>
                <w:highlight w:val="none"/>
              </w:rPr>
              <w:t>废包装</w:t>
            </w:r>
            <w:r>
              <w:rPr>
                <w:rFonts w:hint="eastAsia"/>
                <w:color w:val="auto"/>
                <w:sz w:val="21"/>
                <w:szCs w:val="21"/>
                <w:highlight w:val="none"/>
              </w:rPr>
              <w:t>袋</w:t>
            </w:r>
            <w:r>
              <w:rPr>
                <w:color w:val="auto"/>
                <w:sz w:val="21"/>
                <w:szCs w:val="21"/>
                <w:highlight w:val="none"/>
              </w:rPr>
              <w:t>：项目在原料包装过程中会产生少量的</w:t>
            </w:r>
            <w:r>
              <w:rPr>
                <w:rFonts w:hint="eastAsia"/>
                <w:color w:val="auto"/>
                <w:sz w:val="21"/>
                <w:szCs w:val="21"/>
                <w:highlight w:val="none"/>
              </w:rPr>
              <w:t>废包装袋</w:t>
            </w:r>
            <w:r>
              <w:rPr>
                <w:color w:val="auto"/>
                <w:sz w:val="21"/>
                <w:szCs w:val="21"/>
                <w:highlight w:val="none"/>
              </w:rPr>
              <w:t>，</w:t>
            </w:r>
            <w:r>
              <w:rPr>
                <w:rFonts w:hint="eastAsia"/>
                <w:color w:val="auto"/>
                <w:sz w:val="21"/>
                <w:szCs w:val="21"/>
                <w:highlight w:val="none"/>
                <w:lang w:val="en-US" w:eastAsia="zh-CN"/>
              </w:rPr>
              <w:t>根据建设单位提供，</w:t>
            </w:r>
            <w:r>
              <w:rPr>
                <w:color w:val="auto"/>
                <w:sz w:val="21"/>
                <w:szCs w:val="21"/>
                <w:highlight w:val="none"/>
              </w:rPr>
              <w:t>产生量约为</w:t>
            </w:r>
            <w:r>
              <w:rPr>
                <w:rFonts w:hint="eastAsia"/>
                <w:color w:val="auto"/>
                <w:sz w:val="21"/>
                <w:szCs w:val="21"/>
                <w:highlight w:val="none"/>
              </w:rPr>
              <w:t>2.5</w:t>
            </w:r>
            <w:r>
              <w:rPr>
                <w:color w:val="auto"/>
                <w:sz w:val="21"/>
                <w:szCs w:val="21"/>
                <w:highlight w:val="none"/>
              </w:rPr>
              <w:t>t/a，收集后外售。</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default" w:eastAsia="宋体"/>
                <w:color w:val="auto"/>
                <w:sz w:val="21"/>
                <w:szCs w:val="21"/>
                <w:highlight w:val="none"/>
                <w:lang w:val="en-US" w:eastAsia="zh-CN"/>
              </w:rPr>
            </w:pPr>
            <w:r>
              <w:rPr>
                <w:rFonts w:hint="eastAsia"/>
                <w:color w:val="auto"/>
                <w:sz w:val="21"/>
                <w:szCs w:val="21"/>
                <w:highlight w:val="none"/>
                <w:lang w:val="en-US" w:eastAsia="zh-CN"/>
              </w:rPr>
              <w:t>收集的粉尘：项目产生的边角料、不合格品以及布袋除尘器收集的粉尘均回用于生产，不作为固废处理。</w:t>
            </w:r>
          </w:p>
          <w:p>
            <w:pPr>
              <w:pStyle w:val="14"/>
              <w:numPr>
                <w:ilvl w:val="0"/>
                <w:numId w:val="0"/>
              </w:numPr>
              <w:spacing w:line="360" w:lineRule="auto"/>
              <w:ind w:firstLine="422" w:firstLineChars="200"/>
              <w:rPr>
                <w:color w:val="auto"/>
                <w:sz w:val="21"/>
                <w:szCs w:val="21"/>
                <w:highlight w:val="none"/>
              </w:rPr>
            </w:pPr>
            <w:r>
              <w:rPr>
                <w:b/>
                <w:color w:val="auto"/>
                <w:sz w:val="21"/>
                <w:szCs w:val="21"/>
                <w:highlight w:val="none"/>
              </w:rPr>
              <w:t>危险废物：</w:t>
            </w:r>
          </w:p>
          <w:p>
            <w:pPr>
              <w:adjustRightInd w:val="0"/>
              <w:spacing w:line="360" w:lineRule="auto"/>
              <w:ind w:firstLine="420" w:firstLineChars="200"/>
              <w:rPr>
                <w:color w:val="auto"/>
                <w:sz w:val="21"/>
                <w:szCs w:val="21"/>
                <w:highlight w:val="none"/>
              </w:rPr>
            </w:pPr>
            <w:r>
              <w:rPr>
                <w:color w:val="auto"/>
                <w:sz w:val="21"/>
                <w:szCs w:val="21"/>
                <w:highlight w:val="none"/>
              </w:rPr>
              <w:t>废活性炭：项目采用二级活性炭吸附装置处理有机废气，根据废气源强核算，二级活性炭吸附有机废气量</w:t>
            </w:r>
            <w:r>
              <w:rPr>
                <w:color w:val="auto"/>
                <w:sz w:val="21"/>
                <w:szCs w:val="21"/>
                <w:highlight w:val="none"/>
              </w:rPr>
              <w:t>为</w:t>
            </w:r>
            <w:r>
              <w:rPr>
                <w:rFonts w:hint="eastAsia"/>
                <w:color w:val="auto"/>
                <w:sz w:val="21"/>
                <w:szCs w:val="21"/>
                <w:highlight w:val="none"/>
                <w:lang w:val="en-US" w:eastAsia="zh-CN"/>
              </w:rPr>
              <w:t>0.348</w:t>
            </w:r>
            <w:r>
              <w:rPr>
                <w:color w:val="auto"/>
                <w:sz w:val="21"/>
                <w:szCs w:val="21"/>
                <w:highlight w:val="none"/>
              </w:rPr>
              <w:t>t/a</w:t>
            </w:r>
            <w:r>
              <w:rPr>
                <w:color w:val="auto"/>
                <w:sz w:val="21"/>
                <w:szCs w:val="21"/>
                <w:highlight w:val="none"/>
              </w:rPr>
              <w:t>。根据“《省生态环境厅关于深入开展涉VOCs治理重点工作核查的通知》（苏环办[2022]218号），采用一次性颗粒状活性炭处理VOCs废气，年活性炭使用量不应低于VOCs产生量的5倍，即1吨VOCs产生量，需5吨活性炭用于吸附。活性炭更换周期一般不应超过累计运行500小时或3个月”。因此，本项目活性炭最低用量取废气吸附量的5倍计算，即活性炭最低用量为</w:t>
            </w:r>
            <w:r>
              <w:rPr>
                <w:rFonts w:hint="eastAsia"/>
                <w:color w:val="auto"/>
                <w:sz w:val="21"/>
                <w:szCs w:val="21"/>
                <w:highlight w:val="none"/>
                <w:lang w:val="en-US" w:eastAsia="zh-CN"/>
              </w:rPr>
              <w:t>1.74</w:t>
            </w:r>
            <w:r>
              <w:rPr>
                <w:color w:val="auto"/>
                <w:sz w:val="21"/>
                <w:szCs w:val="21"/>
                <w:highlight w:val="none"/>
              </w:rPr>
              <w:t>t/a。</w:t>
            </w:r>
          </w:p>
          <w:p>
            <w:pPr>
              <w:pStyle w:val="24"/>
              <w:adjustRightInd w:val="0"/>
              <w:snapToGrid w:val="0"/>
              <w:spacing w:line="360" w:lineRule="auto"/>
              <w:ind w:firstLine="420" w:firstLineChars="200"/>
              <w:rPr>
                <w:rFonts w:ascii="Times New Roman" w:hAnsi="Times New Roman" w:eastAsia="宋体"/>
                <w:bCs/>
                <w:color w:val="auto"/>
                <w:sz w:val="21"/>
                <w:szCs w:val="21"/>
                <w:highlight w:val="none"/>
              </w:rPr>
            </w:pPr>
            <w:r>
              <w:rPr>
                <w:rFonts w:ascii="Times New Roman" w:hAnsi="Times New Roman" w:eastAsia="宋体"/>
                <w:color w:val="auto"/>
                <w:sz w:val="21"/>
                <w:szCs w:val="21"/>
                <w:highlight w:val="none"/>
              </w:rPr>
              <w:t>考虑到实际情况，</w:t>
            </w:r>
            <w:r>
              <w:rPr>
                <w:rFonts w:hint="eastAsia" w:ascii="Times New Roman" w:hAnsi="Times New Roman" w:eastAsia="宋体"/>
                <w:color w:val="auto"/>
                <w:sz w:val="21"/>
                <w:szCs w:val="21"/>
                <w:highlight w:val="none"/>
                <w:lang w:val="en-US" w:eastAsia="zh-CN"/>
              </w:rPr>
              <w:t>企业废活性炭每3个月更换一次，</w:t>
            </w:r>
            <w:r>
              <w:rPr>
                <w:rFonts w:ascii="Times New Roman" w:hAnsi="Times New Roman" w:eastAsia="宋体"/>
                <w:color w:val="auto"/>
                <w:sz w:val="21"/>
                <w:szCs w:val="21"/>
                <w:highlight w:val="none"/>
              </w:rPr>
              <w:t>活性炭箱每个为</w:t>
            </w:r>
            <w:r>
              <w:rPr>
                <w:rFonts w:hint="eastAsia" w:ascii="Times New Roman" w:hAnsi="Times New Roman" w:eastAsia="宋体"/>
                <w:color w:val="auto"/>
                <w:sz w:val="21"/>
                <w:szCs w:val="21"/>
                <w:highlight w:val="none"/>
                <w:lang w:val="en-US" w:eastAsia="zh-CN"/>
              </w:rPr>
              <w:t>0.3t</w:t>
            </w:r>
            <w:r>
              <w:rPr>
                <w:rFonts w:ascii="Times New Roman" w:hAnsi="Times New Roman" w:eastAsia="宋体"/>
                <w:color w:val="auto"/>
                <w:sz w:val="21"/>
                <w:szCs w:val="21"/>
                <w:highlight w:val="none"/>
              </w:rPr>
              <w:t>，因此每次更换的活性炭量为</w:t>
            </w:r>
            <w:r>
              <w:rPr>
                <w:rFonts w:hint="eastAsia" w:ascii="Times New Roman" w:hAnsi="Times New Roman" w:eastAsia="宋体"/>
                <w:color w:val="auto"/>
                <w:sz w:val="21"/>
                <w:szCs w:val="21"/>
                <w:highlight w:val="none"/>
                <w:lang w:val="en-US" w:eastAsia="zh-CN"/>
              </w:rPr>
              <w:t>0.6</w:t>
            </w:r>
            <w:r>
              <w:rPr>
                <w:rFonts w:hint="eastAsia" w:ascii="Times New Roman" w:hAnsi="Times New Roman" w:eastAsia="宋体"/>
                <w:color w:val="auto"/>
                <w:sz w:val="21"/>
                <w:szCs w:val="21"/>
                <w:highlight w:val="none"/>
              </w:rPr>
              <w:t>t</w:t>
            </w:r>
            <w:r>
              <w:rPr>
                <w:rFonts w:hint="eastAsia" w:ascii="Times New Roman" w:hAnsi="Times New Roman" w:eastAsia="宋体"/>
                <w:color w:val="auto"/>
                <w:sz w:val="21"/>
                <w:szCs w:val="21"/>
                <w:highlight w:val="none"/>
                <w:lang w:eastAsia="zh-CN"/>
              </w:rPr>
              <w:t>，</w:t>
            </w:r>
            <w:r>
              <w:rPr>
                <w:rFonts w:hint="eastAsia" w:ascii="Times New Roman" w:hAnsi="Times New Roman" w:eastAsia="宋体"/>
                <w:color w:val="auto"/>
                <w:sz w:val="21"/>
                <w:szCs w:val="21"/>
                <w:highlight w:val="none"/>
                <w:lang w:val="en-US" w:eastAsia="zh-CN"/>
              </w:rPr>
              <w:t>年更换4次，则</w:t>
            </w:r>
            <w:r>
              <w:rPr>
                <w:rFonts w:ascii="Times New Roman" w:hAnsi="Times New Roman" w:eastAsia="宋体"/>
                <w:color w:val="auto"/>
                <w:sz w:val="21"/>
                <w:szCs w:val="21"/>
                <w:highlight w:val="none"/>
              </w:rPr>
              <w:t>废活性炭产生量为</w:t>
            </w:r>
            <w:r>
              <w:rPr>
                <w:rFonts w:hint="eastAsia" w:ascii="Times New Roman" w:hAnsi="Times New Roman" w:eastAsia="宋体"/>
                <w:color w:val="auto"/>
                <w:sz w:val="21"/>
                <w:szCs w:val="21"/>
                <w:highlight w:val="none"/>
                <w:lang w:val="en-US" w:eastAsia="zh-CN"/>
              </w:rPr>
              <w:t>2.748</w:t>
            </w:r>
            <w:r>
              <w:rPr>
                <w:rFonts w:ascii="Times New Roman" w:hAnsi="Times New Roman" w:eastAsia="宋体"/>
                <w:color w:val="auto"/>
                <w:sz w:val="21"/>
                <w:szCs w:val="21"/>
                <w:highlight w:val="none"/>
              </w:rPr>
              <w:t>t/a。废活性炭委托有资质单位处置。</w:t>
            </w:r>
          </w:p>
          <w:p>
            <w:pPr>
              <w:adjustRightInd w:val="0"/>
              <w:spacing w:line="360" w:lineRule="auto"/>
              <w:ind w:firstLine="422" w:firstLineChars="200"/>
              <w:rPr>
                <w:b/>
                <w:color w:val="auto"/>
                <w:sz w:val="21"/>
                <w:szCs w:val="21"/>
                <w:highlight w:val="none"/>
              </w:rPr>
            </w:pPr>
            <w:r>
              <w:rPr>
                <w:b/>
                <w:color w:val="auto"/>
                <w:sz w:val="21"/>
                <w:szCs w:val="21"/>
                <w:highlight w:val="none"/>
              </w:rPr>
              <w:t>生活垃圾：</w:t>
            </w:r>
          </w:p>
          <w:p>
            <w:pPr>
              <w:adjustRightInd w:val="0"/>
              <w:spacing w:line="360" w:lineRule="auto"/>
              <w:ind w:firstLine="420" w:firstLineChars="200"/>
              <w:rPr>
                <w:bCs/>
                <w:color w:val="auto"/>
                <w:sz w:val="21"/>
                <w:szCs w:val="21"/>
                <w:highlight w:val="none"/>
              </w:rPr>
            </w:pPr>
            <w:r>
              <w:rPr>
                <w:bCs/>
                <w:color w:val="auto"/>
                <w:sz w:val="21"/>
                <w:szCs w:val="21"/>
                <w:highlight w:val="none"/>
              </w:rPr>
              <w:t>生活垃圾：项目劳动定员</w:t>
            </w:r>
            <w:r>
              <w:rPr>
                <w:rFonts w:hint="eastAsia"/>
                <w:bCs/>
                <w:color w:val="auto"/>
                <w:sz w:val="21"/>
                <w:szCs w:val="21"/>
                <w:highlight w:val="none"/>
              </w:rPr>
              <w:t>300</w:t>
            </w:r>
            <w:r>
              <w:rPr>
                <w:bCs/>
                <w:color w:val="auto"/>
                <w:sz w:val="21"/>
                <w:szCs w:val="21"/>
                <w:highlight w:val="none"/>
              </w:rPr>
              <w:t>人，厂区不提供住宿。职工生活垃圾以0.5kg/d•人计，年工作300天，则职工生活垃圾产生量为</w:t>
            </w:r>
            <w:r>
              <w:rPr>
                <w:rFonts w:hint="eastAsia"/>
                <w:bCs/>
                <w:color w:val="auto"/>
                <w:sz w:val="21"/>
                <w:szCs w:val="21"/>
                <w:highlight w:val="none"/>
              </w:rPr>
              <w:t>45</w:t>
            </w:r>
            <w:r>
              <w:rPr>
                <w:bCs/>
                <w:color w:val="auto"/>
                <w:sz w:val="21"/>
                <w:szCs w:val="21"/>
                <w:highlight w:val="none"/>
              </w:rPr>
              <w:t>t/a，属于一般固废，经收集后由环卫部门清运处置。</w:t>
            </w:r>
          </w:p>
          <w:p>
            <w:pPr>
              <w:pStyle w:val="11"/>
              <w:spacing w:line="360" w:lineRule="auto"/>
              <w:ind w:left="420" w:leftChars="200" w:right="0" w:rightChars="0" w:firstLine="0" w:firstLineChars="0"/>
              <w:jc w:val="left"/>
              <w:rPr>
                <w:b/>
                <w:bCs/>
                <w:color w:val="auto"/>
                <w:sz w:val="21"/>
                <w:szCs w:val="21"/>
                <w:highlight w:val="none"/>
              </w:rPr>
            </w:pPr>
            <w:r>
              <w:rPr>
                <w:b/>
                <w:bCs/>
                <w:color w:val="auto"/>
                <w:sz w:val="21"/>
                <w:szCs w:val="21"/>
                <w:highlight w:val="none"/>
              </w:rPr>
              <w:t>2、固体废物属性判定</w:t>
            </w:r>
          </w:p>
          <w:p>
            <w:pPr>
              <w:pStyle w:val="11"/>
              <w:spacing w:line="360" w:lineRule="auto"/>
              <w:ind w:left="0" w:leftChars="0" w:right="0" w:rightChars="0" w:firstLine="480"/>
              <w:jc w:val="left"/>
              <w:rPr>
                <w:color w:val="auto"/>
                <w:sz w:val="21"/>
                <w:szCs w:val="21"/>
                <w:highlight w:val="none"/>
              </w:rPr>
            </w:pPr>
            <w:r>
              <w:rPr>
                <w:color w:val="auto"/>
                <w:sz w:val="21"/>
                <w:szCs w:val="21"/>
                <w:highlight w:val="none"/>
              </w:rPr>
              <w:t>根据《固体废物鉴别标准 通则》（GB34330-2017）的规定，判定结果详见表4-2</w:t>
            </w:r>
            <w:r>
              <w:rPr>
                <w:rFonts w:hint="eastAsia"/>
                <w:color w:val="auto"/>
                <w:sz w:val="21"/>
                <w:szCs w:val="21"/>
                <w:highlight w:val="none"/>
                <w:lang w:val="en-US" w:eastAsia="zh-CN"/>
              </w:rPr>
              <w:t>3</w:t>
            </w:r>
            <w:r>
              <w:rPr>
                <w:color w:val="auto"/>
                <w:sz w:val="21"/>
                <w:szCs w:val="21"/>
                <w:highlight w:val="none"/>
              </w:rPr>
              <w:t>。</w:t>
            </w:r>
          </w:p>
          <w:p>
            <w:pPr>
              <w:pStyle w:val="44"/>
              <w:spacing w:beforeLines="0" w:afterLines="0"/>
              <w:jc w:val="center"/>
              <w:rPr>
                <w:rFonts w:eastAsia="宋体"/>
                <w:snapToGrid w:val="0"/>
                <w:color w:val="auto"/>
                <w:sz w:val="21"/>
                <w:szCs w:val="21"/>
                <w:highlight w:val="none"/>
              </w:rPr>
            </w:pPr>
            <w:r>
              <w:rPr>
                <w:rFonts w:eastAsia="宋体"/>
                <w:snapToGrid w:val="0"/>
                <w:color w:val="auto"/>
                <w:sz w:val="21"/>
                <w:szCs w:val="21"/>
                <w:highlight w:val="none"/>
              </w:rPr>
              <w:t>表4-2</w:t>
            </w:r>
            <w:r>
              <w:rPr>
                <w:rFonts w:hint="eastAsia" w:eastAsia="宋体"/>
                <w:snapToGrid w:val="0"/>
                <w:color w:val="auto"/>
                <w:sz w:val="21"/>
                <w:szCs w:val="21"/>
                <w:highlight w:val="none"/>
                <w:lang w:val="en-US" w:eastAsia="zh-CN"/>
              </w:rPr>
              <w:t xml:space="preserve">3 </w:t>
            </w:r>
            <w:r>
              <w:rPr>
                <w:rFonts w:eastAsia="宋体"/>
                <w:snapToGrid w:val="0"/>
                <w:color w:val="auto"/>
                <w:sz w:val="21"/>
                <w:szCs w:val="21"/>
                <w:highlight w:val="none"/>
              </w:rPr>
              <w:t>本次项目固体废物产生情况及属性判断结果一览表</w:t>
            </w:r>
          </w:p>
          <w:tbl>
            <w:tblPr>
              <w:tblStyle w:val="25"/>
              <w:tblW w:w="4991"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0" w:type="dxa"/>
                <w:bottom w:w="0" w:type="dxa"/>
                <w:right w:w="0" w:type="dxa"/>
              </w:tblCellMar>
            </w:tblPr>
            <w:tblGrid>
              <w:gridCol w:w="572"/>
              <w:gridCol w:w="1093"/>
              <w:gridCol w:w="837"/>
              <w:gridCol w:w="837"/>
              <w:gridCol w:w="837"/>
              <w:gridCol w:w="837"/>
              <w:gridCol w:w="837"/>
              <w:gridCol w:w="837"/>
              <w:gridCol w:w="1779"/>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38" w:type="pct"/>
                  <w:vMerge w:val="restart"/>
                  <w:vAlign w:val="center"/>
                </w:tcPr>
                <w:p>
                  <w:pPr>
                    <w:pStyle w:val="49"/>
                    <w:rPr>
                      <w:rFonts w:eastAsia="宋体"/>
                      <w:color w:val="auto"/>
                      <w:sz w:val="21"/>
                      <w:szCs w:val="21"/>
                      <w:highlight w:val="none"/>
                    </w:rPr>
                  </w:pPr>
                  <w:r>
                    <w:rPr>
                      <w:rFonts w:eastAsia="宋体"/>
                      <w:color w:val="auto"/>
                      <w:sz w:val="21"/>
                      <w:szCs w:val="21"/>
                      <w:highlight w:val="none"/>
                    </w:rPr>
                    <w:t>序号</w:t>
                  </w:r>
                </w:p>
              </w:tc>
              <w:tc>
                <w:tcPr>
                  <w:tcW w:w="645" w:type="pct"/>
                  <w:vMerge w:val="restart"/>
                  <w:vAlign w:val="center"/>
                </w:tcPr>
                <w:p>
                  <w:pPr>
                    <w:pStyle w:val="49"/>
                    <w:rPr>
                      <w:rFonts w:eastAsia="宋体"/>
                      <w:color w:val="auto"/>
                      <w:sz w:val="21"/>
                      <w:szCs w:val="21"/>
                      <w:highlight w:val="none"/>
                    </w:rPr>
                  </w:pPr>
                  <w:r>
                    <w:rPr>
                      <w:rFonts w:eastAsia="宋体"/>
                      <w:color w:val="auto"/>
                      <w:sz w:val="21"/>
                      <w:szCs w:val="21"/>
                      <w:highlight w:val="none"/>
                    </w:rPr>
                    <w:t>固体废物名称</w:t>
                  </w:r>
                </w:p>
              </w:tc>
              <w:tc>
                <w:tcPr>
                  <w:tcW w:w="494" w:type="pct"/>
                  <w:vMerge w:val="restart"/>
                  <w:vAlign w:val="center"/>
                </w:tcPr>
                <w:p>
                  <w:pPr>
                    <w:pStyle w:val="49"/>
                    <w:rPr>
                      <w:rFonts w:eastAsia="宋体"/>
                      <w:color w:val="auto"/>
                      <w:sz w:val="21"/>
                      <w:szCs w:val="21"/>
                      <w:highlight w:val="none"/>
                    </w:rPr>
                  </w:pPr>
                  <w:r>
                    <w:rPr>
                      <w:rFonts w:eastAsia="宋体"/>
                      <w:color w:val="auto"/>
                      <w:sz w:val="21"/>
                      <w:szCs w:val="21"/>
                      <w:highlight w:val="none"/>
                    </w:rPr>
                    <w:t>产生工序</w:t>
                  </w:r>
                </w:p>
              </w:tc>
              <w:tc>
                <w:tcPr>
                  <w:tcW w:w="494" w:type="pct"/>
                  <w:vMerge w:val="restart"/>
                  <w:vAlign w:val="center"/>
                </w:tcPr>
                <w:p>
                  <w:pPr>
                    <w:pStyle w:val="49"/>
                    <w:rPr>
                      <w:rFonts w:eastAsia="宋体"/>
                      <w:color w:val="auto"/>
                      <w:sz w:val="21"/>
                      <w:szCs w:val="21"/>
                      <w:highlight w:val="none"/>
                    </w:rPr>
                  </w:pPr>
                  <w:r>
                    <w:rPr>
                      <w:rFonts w:eastAsia="宋体"/>
                      <w:color w:val="auto"/>
                      <w:sz w:val="21"/>
                      <w:szCs w:val="21"/>
                      <w:highlight w:val="none"/>
                    </w:rPr>
                    <w:t>形态</w:t>
                  </w:r>
                </w:p>
              </w:tc>
              <w:tc>
                <w:tcPr>
                  <w:tcW w:w="494" w:type="pct"/>
                  <w:vMerge w:val="restart"/>
                  <w:vAlign w:val="center"/>
                </w:tcPr>
                <w:p>
                  <w:pPr>
                    <w:pStyle w:val="49"/>
                    <w:rPr>
                      <w:rFonts w:eastAsia="宋体"/>
                      <w:color w:val="auto"/>
                      <w:sz w:val="21"/>
                      <w:szCs w:val="21"/>
                      <w:highlight w:val="none"/>
                    </w:rPr>
                  </w:pPr>
                  <w:r>
                    <w:rPr>
                      <w:rFonts w:eastAsia="宋体"/>
                      <w:color w:val="auto"/>
                      <w:sz w:val="21"/>
                      <w:szCs w:val="21"/>
                      <w:highlight w:val="none"/>
                    </w:rPr>
                    <w:t>主要成分</w:t>
                  </w:r>
                </w:p>
              </w:tc>
              <w:tc>
                <w:tcPr>
                  <w:tcW w:w="494" w:type="pct"/>
                  <w:vMerge w:val="restart"/>
                  <w:vAlign w:val="center"/>
                </w:tcPr>
                <w:p>
                  <w:pPr>
                    <w:pStyle w:val="49"/>
                    <w:rPr>
                      <w:rFonts w:eastAsia="宋体"/>
                      <w:color w:val="auto"/>
                      <w:sz w:val="21"/>
                      <w:szCs w:val="21"/>
                      <w:highlight w:val="none"/>
                    </w:rPr>
                  </w:pPr>
                  <w:r>
                    <w:rPr>
                      <w:rFonts w:eastAsia="宋体"/>
                      <w:color w:val="auto"/>
                      <w:sz w:val="21"/>
                      <w:szCs w:val="21"/>
                      <w:highlight w:val="none"/>
                    </w:rPr>
                    <w:t>预测产生量t/a</w:t>
                  </w:r>
                </w:p>
              </w:tc>
              <w:tc>
                <w:tcPr>
                  <w:tcW w:w="2038" w:type="pct"/>
                  <w:gridSpan w:val="3"/>
                  <w:vAlign w:val="center"/>
                </w:tcPr>
                <w:p>
                  <w:pPr>
                    <w:pStyle w:val="49"/>
                    <w:rPr>
                      <w:rFonts w:eastAsia="宋体"/>
                      <w:color w:val="auto"/>
                      <w:sz w:val="21"/>
                      <w:szCs w:val="21"/>
                      <w:highlight w:val="none"/>
                    </w:rPr>
                  </w:pPr>
                  <w:r>
                    <w:rPr>
                      <w:rFonts w:eastAsia="宋体"/>
                      <w:color w:val="auto"/>
                      <w:sz w:val="21"/>
                      <w:szCs w:val="21"/>
                      <w:highlight w:val="none"/>
                    </w:rPr>
                    <w:t>种类判断</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38" w:type="pct"/>
                  <w:vMerge w:val="continue"/>
                  <w:vAlign w:val="center"/>
                </w:tcPr>
                <w:p>
                  <w:pPr>
                    <w:pStyle w:val="49"/>
                    <w:rPr>
                      <w:rFonts w:eastAsia="宋体"/>
                      <w:color w:val="auto"/>
                      <w:sz w:val="21"/>
                      <w:szCs w:val="21"/>
                      <w:highlight w:val="none"/>
                    </w:rPr>
                  </w:pPr>
                </w:p>
              </w:tc>
              <w:tc>
                <w:tcPr>
                  <w:tcW w:w="645" w:type="pct"/>
                  <w:vMerge w:val="continue"/>
                  <w:vAlign w:val="center"/>
                </w:tcPr>
                <w:p>
                  <w:pPr>
                    <w:pStyle w:val="49"/>
                    <w:rPr>
                      <w:rFonts w:eastAsia="宋体"/>
                      <w:color w:val="auto"/>
                      <w:sz w:val="21"/>
                      <w:szCs w:val="21"/>
                      <w:highlight w:val="none"/>
                    </w:rPr>
                  </w:pPr>
                </w:p>
              </w:tc>
              <w:tc>
                <w:tcPr>
                  <w:tcW w:w="494" w:type="pct"/>
                  <w:vMerge w:val="continue"/>
                  <w:vAlign w:val="center"/>
                </w:tcPr>
                <w:p>
                  <w:pPr>
                    <w:pStyle w:val="49"/>
                    <w:rPr>
                      <w:rFonts w:eastAsia="宋体"/>
                      <w:color w:val="auto"/>
                      <w:sz w:val="21"/>
                      <w:szCs w:val="21"/>
                      <w:highlight w:val="none"/>
                    </w:rPr>
                  </w:pPr>
                </w:p>
              </w:tc>
              <w:tc>
                <w:tcPr>
                  <w:tcW w:w="494" w:type="pct"/>
                  <w:vMerge w:val="continue"/>
                  <w:vAlign w:val="center"/>
                </w:tcPr>
                <w:p>
                  <w:pPr>
                    <w:pStyle w:val="49"/>
                    <w:rPr>
                      <w:rFonts w:eastAsia="宋体"/>
                      <w:color w:val="auto"/>
                      <w:sz w:val="21"/>
                      <w:szCs w:val="21"/>
                      <w:highlight w:val="none"/>
                    </w:rPr>
                  </w:pPr>
                </w:p>
              </w:tc>
              <w:tc>
                <w:tcPr>
                  <w:tcW w:w="494" w:type="pct"/>
                  <w:vMerge w:val="continue"/>
                  <w:vAlign w:val="center"/>
                </w:tcPr>
                <w:p>
                  <w:pPr>
                    <w:pStyle w:val="49"/>
                    <w:rPr>
                      <w:rFonts w:eastAsia="宋体"/>
                      <w:color w:val="auto"/>
                      <w:sz w:val="21"/>
                      <w:szCs w:val="21"/>
                      <w:highlight w:val="none"/>
                    </w:rPr>
                  </w:pPr>
                </w:p>
              </w:tc>
              <w:tc>
                <w:tcPr>
                  <w:tcW w:w="494" w:type="pct"/>
                  <w:vMerge w:val="continue"/>
                  <w:vAlign w:val="center"/>
                </w:tcPr>
                <w:p>
                  <w:pPr>
                    <w:pStyle w:val="49"/>
                    <w:rPr>
                      <w:rFonts w:eastAsia="宋体"/>
                      <w:color w:val="auto"/>
                      <w:sz w:val="21"/>
                      <w:szCs w:val="21"/>
                      <w:highlight w:val="none"/>
                    </w:rPr>
                  </w:pPr>
                </w:p>
              </w:tc>
              <w:tc>
                <w:tcPr>
                  <w:tcW w:w="494" w:type="pct"/>
                  <w:vAlign w:val="center"/>
                </w:tcPr>
                <w:p>
                  <w:pPr>
                    <w:pStyle w:val="49"/>
                    <w:rPr>
                      <w:rFonts w:eastAsia="宋体"/>
                      <w:color w:val="auto"/>
                      <w:sz w:val="21"/>
                      <w:szCs w:val="21"/>
                      <w:highlight w:val="none"/>
                    </w:rPr>
                  </w:pPr>
                  <w:r>
                    <w:rPr>
                      <w:rFonts w:eastAsia="宋体"/>
                      <w:color w:val="auto"/>
                      <w:sz w:val="21"/>
                      <w:szCs w:val="21"/>
                      <w:highlight w:val="none"/>
                    </w:rPr>
                    <w:t>固体废物</w:t>
                  </w:r>
                </w:p>
              </w:tc>
              <w:tc>
                <w:tcPr>
                  <w:tcW w:w="494" w:type="pct"/>
                  <w:vAlign w:val="center"/>
                </w:tcPr>
                <w:p>
                  <w:pPr>
                    <w:pStyle w:val="49"/>
                    <w:rPr>
                      <w:rFonts w:eastAsia="宋体"/>
                      <w:color w:val="auto"/>
                      <w:sz w:val="21"/>
                      <w:szCs w:val="21"/>
                      <w:highlight w:val="none"/>
                    </w:rPr>
                  </w:pPr>
                  <w:r>
                    <w:rPr>
                      <w:rFonts w:eastAsia="宋体"/>
                      <w:color w:val="auto"/>
                      <w:sz w:val="21"/>
                      <w:szCs w:val="21"/>
                      <w:highlight w:val="none"/>
                    </w:rPr>
                    <w:t>副产品</w:t>
                  </w:r>
                </w:p>
              </w:tc>
              <w:tc>
                <w:tcPr>
                  <w:tcW w:w="1050" w:type="pct"/>
                  <w:vAlign w:val="center"/>
                </w:tcPr>
                <w:p>
                  <w:pPr>
                    <w:pStyle w:val="49"/>
                    <w:rPr>
                      <w:rFonts w:eastAsia="宋体"/>
                      <w:color w:val="auto"/>
                      <w:sz w:val="21"/>
                      <w:szCs w:val="21"/>
                      <w:highlight w:val="none"/>
                    </w:rPr>
                  </w:pPr>
                  <w:r>
                    <w:rPr>
                      <w:rFonts w:eastAsia="宋体"/>
                      <w:color w:val="auto"/>
                      <w:sz w:val="21"/>
                      <w:szCs w:val="21"/>
                      <w:highlight w:val="none"/>
                    </w:rPr>
                    <w:t>判定依据</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38" w:type="pct"/>
                  <w:vAlign w:val="center"/>
                </w:tcPr>
                <w:p>
                  <w:pPr>
                    <w:pStyle w:val="46"/>
                    <w:rPr>
                      <w:rFonts w:eastAsia="宋体"/>
                      <w:color w:val="auto"/>
                      <w:sz w:val="21"/>
                      <w:szCs w:val="21"/>
                      <w:highlight w:val="none"/>
                    </w:rPr>
                  </w:pPr>
                  <w:r>
                    <w:rPr>
                      <w:rFonts w:eastAsia="宋体"/>
                      <w:color w:val="auto"/>
                      <w:sz w:val="21"/>
                      <w:szCs w:val="21"/>
                      <w:highlight w:val="none"/>
                    </w:rPr>
                    <w:t>1</w:t>
                  </w:r>
                </w:p>
              </w:tc>
              <w:tc>
                <w:tcPr>
                  <w:tcW w:w="645" w:type="pct"/>
                  <w:vAlign w:val="center"/>
                </w:tcPr>
                <w:p>
                  <w:pPr>
                    <w:pStyle w:val="46"/>
                    <w:rPr>
                      <w:rFonts w:eastAsia="宋体"/>
                      <w:color w:val="auto"/>
                      <w:sz w:val="21"/>
                      <w:szCs w:val="21"/>
                      <w:highlight w:val="none"/>
                    </w:rPr>
                  </w:pPr>
                  <w:r>
                    <w:rPr>
                      <w:rFonts w:eastAsia="宋体"/>
                      <w:color w:val="auto"/>
                      <w:sz w:val="21"/>
                      <w:szCs w:val="21"/>
                      <w:highlight w:val="none"/>
                    </w:rPr>
                    <w:t>废</w:t>
                  </w:r>
                  <w:r>
                    <w:rPr>
                      <w:rFonts w:hint="eastAsia" w:eastAsia="宋体"/>
                      <w:color w:val="auto"/>
                      <w:sz w:val="21"/>
                      <w:szCs w:val="21"/>
                      <w:highlight w:val="none"/>
                    </w:rPr>
                    <w:t>包装袋</w:t>
                  </w:r>
                </w:p>
              </w:tc>
              <w:tc>
                <w:tcPr>
                  <w:tcW w:w="494" w:type="pct"/>
                  <w:vAlign w:val="center"/>
                </w:tcPr>
                <w:p>
                  <w:pPr>
                    <w:pStyle w:val="46"/>
                    <w:rPr>
                      <w:rFonts w:eastAsia="宋体"/>
                      <w:color w:val="auto"/>
                      <w:sz w:val="21"/>
                      <w:szCs w:val="21"/>
                      <w:highlight w:val="none"/>
                    </w:rPr>
                  </w:pPr>
                  <w:r>
                    <w:rPr>
                      <w:rFonts w:hint="eastAsia" w:eastAsia="宋体"/>
                      <w:color w:val="auto"/>
                      <w:sz w:val="21"/>
                      <w:szCs w:val="21"/>
                      <w:highlight w:val="none"/>
                    </w:rPr>
                    <w:t>原料包装</w:t>
                  </w:r>
                </w:p>
              </w:tc>
              <w:tc>
                <w:tcPr>
                  <w:tcW w:w="494" w:type="pct"/>
                  <w:vAlign w:val="center"/>
                </w:tcPr>
                <w:p>
                  <w:pPr>
                    <w:pStyle w:val="46"/>
                    <w:rPr>
                      <w:rFonts w:eastAsia="宋体"/>
                      <w:color w:val="auto"/>
                      <w:sz w:val="21"/>
                      <w:szCs w:val="21"/>
                      <w:highlight w:val="none"/>
                    </w:rPr>
                  </w:pPr>
                  <w:r>
                    <w:rPr>
                      <w:rFonts w:eastAsia="宋体"/>
                      <w:color w:val="auto"/>
                      <w:sz w:val="21"/>
                      <w:szCs w:val="21"/>
                      <w:highlight w:val="none"/>
                    </w:rPr>
                    <w:t>固态</w:t>
                  </w:r>
                </w:p>
              </w:tc>
              <w:tc>
                <w:tcPr>
                  <w:tcW w:w="494" w:type="pct"/>
                  <w:vAlign w:val="center"/>
                </w:tcPr>
                <w:p>
                  <w:pPr>
                    <w:pStyle w:val="46"/>
                    <w:rPr>
                      <w:rFonts w:eastAsia="宋体"/>
                      <w:color w:val="auto"/>
                      <w:sz w:val="21"/>
                      <w:szCs w:val="21"/>
                      <w:highlight w:val="none"/>
                    </w:rPr>
                  </w:pPr>
                  <w:r>
                    <w:rPr>
                      <w:rFonts w:hint="eastAsia" w:eastAsia="宋体"/>
                      <w:color w:val="auto"/>
                      <w:sz w:val="21"/>
                      <w:szCs w:val="21"/>
                      <w:highlight w:val="none"/>
                    </w:rPr>
                    <w:t>塑料袋</w:t>
                  </w:r>
                </w:p>
              </w:tc>
              <w:tc>
                <w:tcPr>
                  <w:tcW w:w="494" w:type="pct"/>
                  <w:vAlign w:val="center"/>
                </w:tcPr>
                <w:p>
                  <w:pPr>
                    <w:pStyle w:val="46"/>
                    <w:rPr>
                      <w:rFonts w:eastAsia="宋体"/>
                      <w:color w:val="auto"/>
                      <w:sz w:val="21"/>
                      <w:szCs w:val="21"/>
                      <w:highlight w:val="none"/>
                    </w:rPr>
                  </w:pPr>
                  <w:r>
                    <w:rPr>
                      <w:rFonts w:hint="eastAsia" w:eastAsia="宋体"/>
                      <w:color w:val="auto"/>
                      <w:sz w:val="21"/>
                      <w:szCs w:val="21"/>
                      <w:highlight w:val="none"/>
                    </w:rPr>
                    <w:t>2.5</w:t>
                  </w:r>
                </w:p>
              </w:tc>
              <w:tc>
                <w:tcPr>
                  <w:tcW w:w="494" w:type="pct"/>
                  <w:vAlign w:val="center"/>
                </w:tcPr>
                <w:p>
                  <w:pPr>
                    <w:jc w:val="center"/>
                    <w:rPr>
                      <w:color w:val="auto"/>
                      <w:kern w:val="0"/>
                      <w:sz w:val="21"/>
                      <w:szCs w:val="21"/>
                      <w:highlight w:val="none"/>
                    </w:rPr>
                  </w:pPr>
                  <w:r>
                    <w:rPr>
                      <w:color w:val="auto"/>
                      <w:kern w:val="0"/>
                      <w:sz w:val="21"/>
                      <w:szCs w:val="21"/>
                      <w:highlight w:val="none"/>
                    </w:rPr>
                    <w:t>√</w:t>
                  </w:r>
                </w:p>
              </w:tc>
              <w:tc>
                <w:tcPr>
                  <w:tcW w:w="494" w:type="pct"/>
                  <w:vAlign w:val="center"/>
                </w:tcPr>
                <w:p>
                  <w:pPr>
                    <w:jc w:val="center"/>
                    <w:rPr>
                      <w:color w:val="auto"/>
                      <w:kern w:val="0"/>
                      <w:sz w:val="21"/>
                      <w:szCs w:val="21"/>
                      <w:highlight w:val="none"/>
                    </w:rPr>
                  </w:pPr>
                  <w:r>
                    <w:rPr>
                      <w:color w:val="auto"/>
                      <w:kern w:val="0"/>
                      <w:sz w:val="21"/>
                      <w:szCs w:val="21"/>
                      <w:highlight w:val="none"/>
                    </w:rPr>
                    <w:t>/</w:t>
                  </w:r>
                </w:p>
              </w:tc>
              <w:tc>
                <w:tcPr>
                  <w:tcW w:w="1050" w:type="pct"/>
                  <w:vMerge w:val="restart"/>
                  <w:vAlign w:val="center"/>
                </w:tcPr>
                <w:p>
                  <w:pPr>
                    <w:pStyle w:val="46"/>
                    <w:rPr>
                      <w:rFonts w:eastAsia="宋体"/>
                      <w:color w:val="auto"/>
                      <w:kern w:val="0"/>
                      <w:sz w:val="21"/>
                      <w:szCs w:val="21"/>
                      <w:highlight w:val="none"/>
                    </w:rPr>
                  </w:pPr>
                  <w:r>
                    <w:rPr>
                      <w:rFonts w:eastAsia="宋体"/>
                      <w:color w:val="auto"/>
                      <w:sz w:val="21"/>
                      <w:szCs w:val="21"/>
                      <w:highlight w:val="none"/>
                    </w:rPr>
                    <w:t>《固体废物鉴别标准 通则》（GB34330-2017）</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38" w:type="pct"/>
                  <w:vAlign w:val="center"/>
                </w:tcPr>
                <w:p>
                  <w:pPr>
                    <w:pStyle w:val="46"/>
                    <w:rPr>
                      <w:rFonts w:eastAsia="宋体"/>
                      <w:color w:val="auto"/>
                      <w:sz w:val="21"/>
                      <w:szCs w:val="21"/>
                      <w:highlight w:val="none"/>
                    </w:rPr>
                  </w:pPr>
                  <w:r>
                    <w:rPr>
                      <w:rFonts w:eastAsia="宋体"/>
                      <w:color w:val="auto"/>
                      <w:sz w:val="21"/>
                      <w:szCs w:val="21"/>
                      <w:highlight w:val="none"/>
                    </w:rPr>
                    <w:t>2</w:t>
                  </w:r>
                </w:p>
              </w:tc>
              <w:tc>
                <w:tcPr>
                  <w:tcW w:w="645" w:type="pct"/>
                  <w:vAlign w:val="center"/>
                </w:tcPr>
                <w:p>
                  <w:pPr>
                    <w:pStyle w:val="46"/>
                    <w:rPr>
                      <w:rFonts w:eastAsia="宋体"/>
                      <w:color w:val="auto"/>
                      <w:sz w:val="21"/>
                      <w:szCs w:val="21"/>
                      <w:highlight w:val="none"/>
                    </w:rPr>
                  </w:pPr>
                  <w:r>
                    <w:rPr>
                      <w:rFonts w:hint="eastAsia" w:eastAsia="宋体"/>
                      <w:color w:val="auto"/>
                      <w:sz w:val="21"/>
                      <w:szCs w:val="21"/>
                      <w:highlight w:val="none"/>
                    </w:rPr>
                    <w:t>废活性炭</w:t>
                  </w:r>
                </w:p>
              </w:tc>
              <w:tc>
                <w:tcPr>
                  <w:tcW w:w="494" w:type="pct"/>
                  <w:vAlign w:val="center"/>
                </w:tcPr>
                <w:p>
                  <w:pPr>
                    <w:pStyle w:val="46"/>
                    <w:rPr>
                      <w:rFonts w:eastAsia="宋体"/>
                      <w:color w:val="auto"/>
                      <w:sz w:val="21"/>
                      <w:szCs w:val="21"/>
                      <w:highlight w:val="none"/>
                    </w:rPr>
                  </w:pPr>
                  <w:r>
                    <w:rPr>
                      <w:rFonts w:hint="eastAsia" w:eastAsia="宋体"/>
                      <w:color w:val="auto"/>
                      <w:sz w:val="21"/>
                      <w:szCs w:val="21"/>
                      <w:highlight w:val="none"/>
                    </w:rPr>
                    <w:t>废气处理</w:t>
                  </w:r>
                </w:p>
              </w:tc>
              <w:tc>
                <w:tcPr>
                  <w:tcW w:w="494" w:type="pct"/>
                  <w:vAlign w:val="center"/>
                </w:tcPr>
                <w:p>
                  <w:pPr>
                    <w:jc w:val="center"/>
                    <w:rPr>
                      <w:color w:val="auto"/>
                      <w:sz w:val="21"/>
                      <w:szCs w:val="21"/>
                      <w:highlight w:val="none"/>
                    </w:rPr>
                  </w:pPr>
                  <w:r>
                    <w:rPr>
                      <w:rFonts w:hint="eastAsia"/>
                      <w:color w:val="auto"/>
                      <w:sz w:val="21"/>
                      <w:szCs w:val="21"/>
                      <w:highlight w:val="none"/>
                    </w:rPr>
                    <w:t>固态</w:t>
                  </w:r>
                </w:p>
              </w:tc>
              <w:tc>
                <w:tcPr>
                  <w:tcW w:w="494" w:type="pct"/>
                  <w:vAlign w:val="center"/>
                </w:tcPr>
                <w:p>
                  <w:pPr>
                    <w:pStyle w:val="46"/>
                    <w:rPr>
                      <w:rFonts w:eastAsia="宋体"/>
                      <w:color w:val="auto"/>
                      <w:sz w:val="21"/>
                      <w:szCs w:val="21"/>
                      <w:highlight w:val="none"/>
                    </w:rPr>
                  </w:pPr>
                  <w:r>
                    <w:rPr>
                      <w:rFonts w:eastAsia="宋体"/>
                      <w:color w:val="auto"/>
                      <w:kern w:val="0"/>
                      <w:sz w:val="21"/>
                      <w:szCs w:val="21"/>
                      <w:highlight w:val="none"/>
                    </w:rPr>
                    <w:t>有机废气、活性炭</w:t>
                  </w:r>
                </w:p>
              </w:tc>
              <w:tc>
                <w:tcPr>
                  <w:tcW w:w="494" w:type="pct"/>
                  <w:vAlign w:val="center"/>
                </w:tcPr>
                <w:p>
                  <w:pPr>
                    <w:pStyle w:val="46"/>
                    <w:rPr>
                      <w:rFonts w:hint="default" w:eastAsia="宋体"/>
                      <w:color w:val="auto"/>
                      <w:sz w:val="21"/>
                      <w:szCs w:val="21"/>
                      <w:highlight w:val="none"/>
                      <w:lang w:val="en-US" w:eastAsia="zh-CN"/>
                    </w:rPr>
                  </w:pPr>
                  <w:r>
                    <w:rPr>
                      <w:rFonts w:hint="eastAsia" w:eastAsia="宋体"/>
                      <w:color w:val="auto"/>
                      <w:kern w:val="0"/>
                      <w:sz w:val="21"/>
                      <w:szCs w:val="21"/>
                      <w:highlight w:val="none"/>
                      <w:lang w:val="en-US" w:eastAsia="zh-CN"/>
                    </w:rPr>
                    <w:t>2.748</w:t>
                  </w:r>
                </w:p>
              </w:tc>
              <w:tc>
                <w:tcPr>
                  <w:tcW w:w="494" w:type="pct"/>
                  <w:vAlign w:val="center"/>
                </w:tcPr>
                <w:p>
                  <w:pPr>
                    <w:jc w:val="center"/>
                    <w:rPr>
                      <w:color w:val="auto"/>
                      <w:kern w:val="0"/>
                      <w:sz w:val="21"/>
                      <w:szCs w:val="21"/>
                      <w:highlight w:val="none"/>
                    </w:rPr>
                  </w:pPr>
                  <w:r>
                    <w:rPr>
                      <w:color w:val="auto"/>
                      <w:kern w:val="0"/>
                      <w:sz w:val="21"/>
                      <w:szCs w:val="21"/>
                      <w:highlight w:val="none"/>
                    </w:rPr>
                    <w:t>√</w:t>
                  </w:r>
                </w:p>
              </w:tc>
              <w:tc>
                <w:tcPr>
                  <w:tcW w:w="494" w:type="pct"/>
                  <w:vAlign w:val="center"/>
                </w:tcPr>
                <w:p>
                  <w:pPr>
                    <w:jc w:val="center"/>
                    <w:rPr>
                      <w:color w:val="auto"/>
                      <w:kern w:val="0"/>
                      <w:sz w:val="21"/>
                      <w:szCs w:val="21"/>
                      <w:highlight w:val="none"/>
                    </w:rPr>
                  </w:pPr>
                  <w:r>
                    <w:rPr>
                      <w:color w:val="auto"/>
                      <w:kern w:val="0"/>
                      <w:sz w:val="21"/>
                      <w:szCs w:val="21"/>
                      <w:highlight w:val="none"/>
                    </w:rPr>
                    <w:t>/</w:t>
                  </w:r>
                </w:p>
              </w:tc>
              <w:tc>
                <w:tcPr>
                  <w:tcW w:w="1050" w:type="pct"/>
                  <w:vMerge w:val="continue"/>
                  <w:vAlign w:val="center"/>
                </w:tcPr>
                <w:p>
                  <w:pPr>
                    <w:pStyle w:val="46"/>
                    <w:rPr>
                      <w:rFonts w:eastAsia="宋体"/>
                      <w:color w:val="auto"/>
                      <w:kern w:val="0"/>
                      <w:sz w:val="21"/>
                      <w:szCs w:val="21"/>
                      <w:highlight w:val="none"/>
                    </w:rPr>
                  </w:pP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338" w:type="pct"/>
                  <w:vAlign w:val="center"/>
                </w:tcPr>
                <w:p>
                  <w:pPr>
                    <w:pStyle w:val="46"/>
                    <w:rPr>
                      <w:rFonts w:eastAsia="宋体"/>
                      <w:color w:val="auto"/>
                      <w:sz w:val="21"/>
                      <w:szCs w:val="21"/>
                      <w:highlight w:val="none"/>
                    </w:rPr>
                  </w:pPr>
                  <w:r>
                    <w:rPr>
                      <w:rFonts w:eastAsia="宋体"/>
                      <w:color w:val="auto"/>
                      <w:sz w:val="21"/>
                      <w:szCs w:val="21"/>
                      <w:highlight w:val="none"/>
                    </w:rPr>
                    <w:t>3</w:t>
                  </w:r>
                </w:p>
              </w:tc>
              <w:tc>
                <w:tcPr>
                  <w:tcW w:w="645" w:type="pct"/>
                  <w:vAlign w:val="center"/>
                </w:tcPr>
                <w:p>
                  <w:pPr>
                    <w:pStyle w:val="46"/>
                    <w:rPr>
                      <w:rFonts w:eastAsia="宋体"/>
                      <w:bCs/>
                      <w:color w:val="auto"/>
                      <w:sz w:val="21"/>
                      <w:szCs w:val="21"/>
                      <w:highlight w:val="none"/>
                    </w:rPr>
                  </w:pPr>
                  <w:r>
                    <w:rPr>
                      <w:rFonts w:hint="eastAsia" w:eastAsia="宋体"/>
                      <w:bCs/>
                      <w:color w:val="auto"/>
                      <w:sz w:val="21"/>
                      <w:szCs w:val="21"/>
                      <w:highlight w:val="none"/>
                    </w:rPr>
                    <w:t>生活垃圾</w:t>
                  </w:r>
                </w:p>
              </w:tc>
              <w:tc>
                <w:tcPr>
                  <w:tcW w:w="494" w:type="pct"/>
                  <w:vAlign w:val="center"/>
                </w:tcPr>
                <w:p>
                  <w:pPr>
                    <w:pStyle w:val="46"/>
                    <w:rPr>
                      <w:rFonts w:eastAsia="宋体"/>
                      <w:color w:val="auto"/>
                      <w:sz w:val="21"/>
                      <w:szCs w:val="21"/>
                      <w:highlight w:val="none"/>
                    </w:rPr>
                  </w:pPr>
                  <w:r>
                    <w:rPr>
                      <w:rFonts w:hint="eastAsia" w:eastAsia="宋体"/>
                      <w:color w:val="auto"/>
                      <w:sz w:val="21"/>
                      <w:szCs w:val="21"/>
                      <w:highlight w:val="none"/>
                    </w:rPr>
                    <w:t>员工生活</w:t>
                  </w:r>
                </w:p>
              </w:tc>
              <w:tc>
                <w:tcPr>
                  <w:tcW w:w="494" w:type="pct"/>
                  <w:vAlign w:val="center"/>
                </w:tcPr>
                <w:p>
                  <w:pPr>
                    <w:jc w:val="center"/>
                    <w:rPr>
                      <w:color w:val="auto"/>
                      <w:sz w:val="21"/>
                      <w:szCs w:val="21"/>
                      <w:highlight w:val="none"/>
                    </w:rPr>
                  </w:pPr>
                  <w:r>
                    <w:rPr>
                      <w:color w:val="auto"/>
                      <w:sz w:val="21"/>
                      <w:szCs w:val="21"/>
                      <w:highlight w:val="none"/>
                    </w:rPr>
                    <w:t>固态</w:t>
                  </w:r>
                </w:p>
              </w:tc>
              <w:tc>
                <w:tcPr>
                  <w:tcW w:w="494" w:type="pct"/>
                  <w:vAlign w:val="center"/>
                </w:tcPr>
                <w:p>
                  <w:pPr>
                    <w:pStyle w:val="46"/>
                    <w:rPr>
                      <w:rFonts w:eastAsia="宋体"/>
                      <w:color w:val="auto"/>
                      <w:kern w:val="0"/>
                      <w:sz w:val="21"/>
                      <w:szCs w:val="21"/>
                      <w:highlight w:val="none"/>
                    </w:rPr>
                  </w:pPr>
                  <w:r>
                    <w:rPr>
                      <w:rFonts w:hint="eastAsia" w:eastAsia="宋体"/>
                      <w:color w:val="auto"/>
                      <w:kern w:val="0"/>
                      <w:sz w:val="21"/>
                      <w:szCs w:val="21"/>
                      <w:highlight w:val="none"/>
                    </w:rPr>
                    <w:t>果皮纸屑等</w:t>
                  </w:r>
                </w:p>
              </w:tc>
              <w:tc>
                <w:tcPr>
                  <w:tcW w:w="494" w:type="pct"/>
                  <w:vAlign w:val="center"/>
                </w:tcPr>
                <w:p>
                  <w:pPr>
                    <w:pStyle w:val="46"/>
                    <w:rPr>
                      <w:rFonts w:eastAsia="宋体"/>
                      <w:color w:val="auto"/>
                      <w:kern w:val="0"/>
                      <w:sz w:val="21"/>
                      <w:szCs w:val="21"/>
                      <w:highlight w:val="none"/>
                    </w:rPr>
                  </w:pPr>
                  <w:r>
                    <w:rPr>
                      <w:rFonts w:hint="eastAsia" w:eastAsia="宋体"/>
                      <w:color w:val="auto"/>
                      <w:kern w:val="0"/>
                      <w:sz w:val="21"/>
                      <w:szCs w:val="21"/>
                      <w:highlight w:val="none"/>
                    </w:rPr>
                    <w:t>45</w:t>
                  </w:r>
                </w:p>
              </w:tc>
              <w:tc>
                <w:tcPr>
                  <w:tcW w:w="494" w:type="pct"/>
                  <w:vAlign w:val="center"/>
                </w:tcPr>
                <w:p>
                  <w:pPr>
                    <w:jc w:val="center"/>
                    <w:rPr>
                      <w:color w:val="auto"/>
                      <w:kern w:val="0"/>
                      <w:sz w:val="21"/>
                      <w:szCs w:val="21"/>
                      <w:highlight w:val="none"/>
                    </w:rPr>
                  </w:pPr>
                  <w:r>
                    <w:rPr>
                      <w:color w:val="auto"/>
                      <w:kern w:val="0"/>
                      <w:sz w:val="21"/>
                      <w:szCs w:val="21"/>
                      <w:highlight w:val="none"/>
                    </w:rPr>
                    <w:t>√</w:t>
                  </w:r>
                </w:p>
              </w:tc>
              <w:tc>
                <w:tcPr>
                  <w:tcW w:w="494" w:type="pct"/>
                  <w:vAlign w:val="center"/>
                </w:tcPr>
                <w:p>
                  <w:pPr>
                    <w:jc w:val="center"/>
                    <w:rPr>
                      <w:color w:val="auto"/>
                      <w:kern w:val="0"/>
                      <w:sz w:val="21"/>
                      <w:szCs w:val="21"/>
                      <w:highlight w:val="none"/>
                    </w:rPr>
                  </w:pPr>
                  <w:r>
                    <w:rPr>
                      <w:color w:val="auto"/>
                      <w:kern w:val="0"/>
                      <w:sz w:val="21"/>
                      <w:szCs w:val="21"/>
                      <w:highlight w:val="none"/>
                    </w:rPr>
                    <w:t>/</w:t>
                  </w:r>
                </w:p>
              </w:tc>
              <w:tc>
                <w:tcPr>
                  <w:tcW w:w="1050" w:type="pct"/>
                  <w:vMerge w:val="continue"/>
                  <w:vAlign w:val="center"/>
                </w:tcPr>
                <w:p>
                  <w:pPr>
                    <w:pStyle w:val="46"/>
                    <w:rPr>
                      <w:rFonts w:eastAsia="宋体"/>
                      <w:color w:val="auto"/>
                      <w:kern w:val="0"/>
                      <w:sz w:val="21"/>
                      <w:szCs w:val="21"/>
                      <w:highlight w:val="none"/>
                    </w:rPr>
                  </w:pPr>
                </w:p>
              </w:tc>
            </w:tr>
          </w:tbl>
          <w:p>
            <w:pPr>
              <w:pStyle w:val="37"/>
              <w:spacing w:before="120" w:beforeLines="50" w:line="360" w:lineRule="auto"/>
              <w:ind w:firstLine="480"/>
              <w:rPr>
                <w:rFonts w:eastAsia="宋体"/>
                <w:color w:val="auto"/>
                <w:sz w:val="21"/>
                <w:szCs w:val="21"/>
                <w:highlight w:val="none"/>
              </w:rPr>
            </w:pPr>
            <w:r>
              <w:rPr>
                <w:rFonts w:eastAsia="宋体"/>
                <w:color w:val="auto"/>
                <w:sz w:val="21"/>
                <w:szCs w:val="21"/>
                <w:highlight w:val="none"/>
              </w:rPr>
              <w:t>根据《国家危险废物名录》以及《危险废物鉴别标准》，判定建设项目的固体废物是否属于危险废物。项目固体废物产生源强汇总见表4-</w:t>
            </w:r>
            <w:r>
              <w:rPr>
                <w:rFonts w:hint="eastAsia" w:eastAsia="宋体"/>
                <w:color w:val="auto"/>
                <w:sz w:val="21"/>
                <w:szCs w:val="21"/>
                <w:highlight w:val="none"/>
                <w:lang w:val="en-US" w:eastAsia="zh-CN"/>
              </w:rPr>
              <w:t>24</w:t>
            </w:r>
            <w:r>
              <w:rPr>
                <w:rFonts w:eastAsia="宋体"/>
                <w:color w:val="auto"/>
                <w:sz w:val="21"/>
                <w:szCs w:val="21"/>
                <w:highlight w:val="none"/>
              </w:rPr>
              <w:t>。</w:t>
            </w:r>
          </w:p>
          <w:p>
            <w:pPr>
              <w:pStyle w:val="44"/>
              <w:spacing w:beforeLines="0" w:afterLines="0" w:line="240" w:lineRule="auto"/>
              <w:jc w:val="center"/>
              <w:rPr>
                <w:rFonts w:eastAsia="宋体"/>
                <w:snapToGrid w:val="0"/>
                <w:color w:val="auto"/>
                <w:sz w:val="21"/>
                <w:szCs w:val="21"/>
                <w:highlight w:val="none"/>
              </w:rPr>
            </w:pPr>
            <w:r>
              <w:rPr>
                <w:rFonts w:eastAsia="宋体"/>
                <w:snapToGrid w:val="0"/>
                <w:color w:val="auto"/>
                <w:sz w:val="21"/>
                <w:szCs w:val="21"/>
                <w:highlight w:val="none"/>
              </w:rPr>
              <w:t>表4-2</w:t>
            </w:r>
            <w:r>
              <w:rPr>
                <w:rFonts w:hint="eastAsia" w:eastAsia="宋体"/>
                <w:snapToGrid w:val="0"/>
                <w:color w:val="auto"/>
                <w:sz w:val="21"/>
                <w:szCs w:val="21"/>
                <w:highlight w:val="none"/>
                <w:lang w:val="en-US" w:eastAsia="zh-CN"/>
              </w:rPr>
              <w:t>4</w:t>
            </w:r>
            <w:r>
              <w:rPr>
                <w:rFonts w:eastAsia="宋体"/>
                <w:snapToGrid w:val="0"/>
                <w:color w:val="auto"/>
                <w:sz w:val="21"/>
                <w:szCs w:val="21"/>
                <w:highlight w:val="none"/>
              </w:rPr>
              <w:t xml:space="preserve"> 本项目固体废物产生源强汇总表</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574"/>
              <w:gridCol w:w="1238"/>
              <w:gridCol w:w="767"/>
              <w:gridCol w:w="1015"/>
              <w:gridCol w:w="582"/>
              <w:gridCol w:w="993"/>
              <w:gridCol w:w="662"/>
              <w:gridCol w:w="728"/>
              <w:gridCol w:w="1028"/>
              <w:gridCol w:w="89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38" w:type="pct"/>
                  <w:vAlign w:val="center"/>
                </w:tcPr>
                <w:p>
                  <w:pPr>
                    <w:pStyle w:val="49"/>
                    <w:rPr>
                      <w:rFonts w:eastAsia="宋体"/>
                      <w:color w:val="auto"/>
                      <w:sz w:val="21"/>
                      <w:szCs w:val="21"/>
                      <w:highlight w:val="none"/>
                    </w:rPr>
                  </w:pPr>
                  <w:r>
                    <w:rPr>
                      <w:rFonts w:eastAsia="宋体"/>
                      <w:color w:val="auto"/>
                      <w:sz w:val="21"/>
                      <w:szCs w:val="21"/>
                      <w:highlight w:val="none"/>
                    </w:rPr>
                    <w:t>序号</w:t>
                  </w:r>
                </w:p>
              </w:tc>
              <w:tc>
                <w:tcPr>
                  <w:tcW w:w="729" w:type="pct"/>
                  <w:vAlign w:val="center"/>
                </w:tcPr>
                <w:p>
                  <w:pPr>
                    <w:pStyle w:val="49"/>
                    <w:rPr>
                      <w:rFonts w:eastAsia="宋体"/>
                      <w:color w:val="auto"/>
                      <w:sz w:val="21"/>
                      <w:szCs w:val="21"/>
                      <w:highlight w:val="none"/>
                    </w:rPr>
                  </w:pPr>
                  <w:r>
                    <w:rPr>
                      <w:rFonts w:eastAsia="宋体"/>
                      <w:color w:val="auto"/>
                      <w:sz w:val="21"/>
                      <w:szCs w:val="21"/>
                      <w:highlight w:val="none"/>
                    </w:rPr>
                    <w:t>固废名称</w:t>
                  </w:r>
                </w:p>
              </w:tc>
              <w:tc>
                <w:tcPr>
                  <w:tcW w:w="452" w:type="pct"/>
                  <w:vAlign w:val="center"/>
                </w:tcPr>
                <w:p>
                  <w:pPr>
                    <w:pStyle w:val="49"/>
                    <w:rPr>
                      <w:rFonts w:eastAsia="宋体"/>
                      <w:color w:val="auto"/>
                      <w:sz w:val="21"/>
                      <w:szCs w:val="21"/>
                      <w:highlight w:val="none"/>
                    </w:rPr>
                  </w:pPr>
                  <w:r>
                    <w:rPr>
                      <w:rFonts w:eastAsia="宋体"/>
                      <w:color w:val="auto"/>
                      <w:sz w:val="21"/>
                      <w:szCs w:val="21"/>
                      <w:highlight w:val="none"/>
                    </w:rPr>
                    <w:t>属性</w:t>
                  </w:r>
                </w:p>
              </w:tc>
              <w:tc>
                <w:tcPr>
                  <w:tcW w:w="598" w:type="pct"/>
                  <w:vAlign w:val="center"/>
                </w:tcPr>
                <w:p>
                  <w:pPr>
                    <w:pStyle w:val="49"/>
                    <w:rPr>
                      <w:rFonts w:eastAsia="宋体"/>
                      <w:color w:val="auto"/>
                      <w:sz w:val="21"/>
                      <w:szCs w:val="21"/>
                      <w:highlight w:val="none"/>
                    </w:rPr>
                  </w:pPr>
                  <w:r>
                    <w:rPr>
                      <w:rFonts w:eastAsia="宋体"/>
                      <w:color w:val="auto"/>
                      <w:sz w:val="21"/>
                      <w:szCs w:val="21"/>
                      <w:highlight w:val="none"/>
                    </w:rPr>
                    <w:t>产生工序</w:t>
                  </w:r>
                </w:p>
              </w:tc>
              <w:tc>
                <w:tcPr>
                  <w:tcW w:w="343" w:type="pct"/>
                  <w:vAlign w:val="center"/>
                </w:tcPr>
                <w:p>
                  <w:pPr>
                    <w:pStyle w:val="49"/>
                    <w:rPr>
                      <w:rFonts w:eastAsia="宋体"/>
                      <w:color w:val="auto"/>
                      <w:sz w:val="21"/>
                      <w:szCs w:val="21"/>
                      <w:highlight w:val="none"/>
                    </w:rPr>
                  </w:pPr>
                  <w:r>
                    <w:rPr>
                      <w:rFonts w:eastAsia="宋体"/>
                      <w:color w:val="auto"/>
                      <w:sz w:val="21"/>
                      <w:szCs w:val="21"/>
                      <w:highlight w:val="none"/>
                    </w:rPr>
                    <w:t>形态</w:t>
                  </w:r>
                </w:p>
              </w:tc>
              <w:tc>
                <w:tcPr>
                  <w:tcW w:w="585" w:type="pct"/>
                  <w:vAlign w:val="center"/>
                </w:tcPr>
                <w:p>
                  <w:pPr>
                    <w:pStyle w:val="49"/>
                    <w:rPr>
                      <w:rFonts w:eastAsia="宋体"/>
                      <w:color w:val="auto"/>
                      <w:sz w:val="21"/>
                      <w:szCs w:val="21"/>
                      <w:highlight w:val="none"/>
                    </w:rPr>
                  </w:pPr>
                  <w:r>
                    <w:rPr>
                      <w:rFonts w:eastAsia="宋体"/>
                      <w:color w:val="auto"/>
                      <w:sz w:val="21"/>
                      <w:szCs w:val="21"/>
                      <w:highlight w:val="none"/>
                    </w:rPr>
                    <w:t>主要成分</w:t>
                  </w:r>
                </w:p>
              </w:tc>
              <w:tc>
                <w:tcPr>
                  <w:tcW w:w="390" w:type="pct"/>
                  <w:vAlign w:val="center"/>
                </w:tcPr>
                <w:p>
                  <w:pPr>
                    <w:pStyle w:val="49"/>
                    <w:rPr>
                      <w:rFonts w:eastAsia="宋体"/>
                      <w:color w:val="auto"/>
                      <w:sz w:val="21"/>
                      <w:szCs w:val="21"/>
                      <w:highlight w:val="none"/>
                    </w:rPr>
                  </w:pPr>
                  <w:r>
                    <w:rPr>
                      <w:rFonts w:eastAsia="宋体"/>
                      <w:color w:val="auto"/>
                      <w:sz w:val="21"/>
                      <w:szCs w:val="21"/>
                      <w:highlight w:val="none"/>
                    </w:rPr>
                    <w:t>危险</w:t>
                  </w:r>
                </w:p>
                <w:p>
                  <w:pPr>
                    <w:pStyle w:val="49"/>
                    <w:rPr>
                      <w:rFonts w:eastAsia="宋体"/>
                      <w:color w:val="auto"/>
                      <w:sz w:val="21"/>
                      <w:szCs w:val="21"/>
                      <w:highlight w:val="none"/>
                    </w:rPr>
                  </w:pPr>
                  <w:r>
                    <w:rPr>
                      <w:rFonts w:eastAsia="宋体"/>
                      <w:color w:val="auto"/>
                      <w:sz w:val="21"/>
                      <w:szCs w:val="21"/>
                      <w:highlight w:val="none"/>
                    </w:rPr>
                    <w:t>特性</w:t>
                  </w:r>
                </w:p>
              </w:tc>
              <w:tc>
                <w:tcPr>
                  <w:tcW w:w="429" w:type="pct"/>
                  <w:vAlign w:val="center"/>
                </w:tcPr>
                <w:p>
                  <w:pPr>
                    <w:pStyle w:val="49"/>
                    <w:rPr>
                      <w:rFonts w:eastAsia="宋体"/>
                      <w:color w:val="auto"/>
                      <w:sz w:val="21"/>
                      <w:szCs w:val="21"/>
                      <w:highlight w:val="none"/>
                    </w:rPr>
                  </w:pPr>
                  <w:r>
                    <w:rPr>
                      <w:rFonts w:eastAsia="宋体"/>
                      <w:color w:val="auto"/>
                      <w:sz w:val="21"/>
                      <w:szCs w:val="21"/>
                      <w:highlight w:val="none"/>
                    </w:rPr>
                    <w:t>废物</w:t>
                  </w:r>
                </w:p>
                <w:p>
                  <w:pPr>
                    <w:pStyle w:val="49"/>
                    <w:rPr>
                      <w:rFonts w:eastAsia="宋体"/>
                      <w:color w:val="auto"/>
                      <w:sz w:val="21"/>
                      <w:szCs w:val="21"/>
                      <w:highlight w:val="none"/>
                    </w:rPr>
                  </w:pPr>
                  <w:r>
                    <w:rPr>
                      <w:rFonts w:eastAsia="宋体"/>
                      <w:color w:val="auto"/>
                      <w:sz w:val="21"/>
                      <w:szCs w:val="21"/>
                      <w:highlight w:val="none"/>
                    </w:rPr>
                    <w:t>类别</w:t>
                  </w:r>
                </w:p>
              </w:tc>
              <w:tc>
                <w:tcPr>
                  <w:tcW w:w="605" w:type="pct"/>
                  <w:vAlign w:val="center"/>
                </w:tcPr>
                <w:p>
                  <w:pPr>
                    <w:pStyle w:val="49"/>
                    <w:rPr>
                      <w:rFonts w:eastAsia="宋体"/>
                      <w:color w:val="auto"/>
                      <w:sz w:val="21"/>
                      <w:szCs w:val="21"/>
                      <w:highlight w:val="none"/>
                    </w:rPr>
                  </w:pPr>
                  <w:r>
                    <w:rPr>
                      <w:rFonts w:eastAsia="宋体"/>
                      <w:color w:val="auto"/>
                      <w:sz w:val="21"/>
                      <w:szCs w:val="21"/>
                      <w:highlight w:val="none"/>
                    </w:rPr>
                    <w:t>废物</w:t>
                  </w:r>
                </w:p>
                <w:p>
                  <w:pPr>
                    <w:pStyle w:val="49"/>
                    <w:rPr>
                      <w:rFonts w:eastAsia="宋体"/>
                      <w:color w:val="auto"/>
                      <w:sz w:val="21"/>
                      <w:szCs w:val="21"/>
                      <w:highlight w:val="none"/>
                    </w:rPr>
                  </w:pPr>
                  <w:r>
                    <w:rPr>
                      <w:rFonts w:eastAsia="宋体"/>
                      <w:color w:val="auto"/>
                      <w:sz w:val="21"/>
                      <w:szCs w:val="21"/>
                      <w:highlight w:val="none"/>
                    </w:rPr>
                    <w:t>代码</w:t>
                  </w:r>
                </w:p>
              </w:tc>
              <w:tc>
                <w:tcPr>
                  <w:tcW w:w="526" w:type="pct"/>
                  <w:vAlign w:val="center"/>
                </w:tcPr>
                <w:p>
                  <w:pPr>
                    <w:pStyle w:val="49"/>
                    <w:rPr>
                      <w:rFonts w:eastAsia="宋体"/>
                      <w:color w:val="auto"/>
                      <w:sz w:val="21"/>
                      <w:szCs w:val="21"/>
                      <w:highlight w:val="none"/>
                    </w:rPr>
                  </w:pPr>
                  <w:r>
                    <w:rPr>
                      <w:rFonts w:eastAsia="宋体"/>
                      <w:color w:val="auto"/>
                      <w:sz w:val="21"/>
                      <w:szCs w:val="21"/>
                      <w:highlight w:val="none"/>
                    </w:rPr>
                    <w:t>估算产生量（t/a）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38" w:type="pct"/>
                  <w:vAlign w:val="center"/>
                </w:tcPr>
                <w:p>
                  <w:pPr>
                    <w:pStyle w:val="46"/>
                    <w:rPr>
                      <w:rFonts w:eastAsia="宋体"/>
                      <w:color w:val="auto"/>
                      <w:sz w:val="21"/>
                      <w:szCs w:val="21"/>
                      <w:highlight w:val="none"/>
                    </w:rPr>
                  </w:pPr>
                  <w:r>
                    <w:rPr>
                      <w:rFonts w:eastAsia="宋体"/>
                      <w:color w:val="auto"/>
                      <w:sz w:val="21"/>
                      <w:szCs w:val="21"/>
                      <w:highlight w:val="none"/>
                    </w:rPr>
                    <w:t>1</w:t>
                  </w:r>
                </w:p>
              </w:tc>
              <w:tc>
                <w:tcPr>
                  <w:tcW w:w="729" w:type="pct"/>
                  <w:vAlign w:val="center"/>
                </w:tcPr>
                <w:p>
                  <w:pPr>
                    <w:pStyle w:val="46"/>
                    <w:rPr>
                      <w:rFonts w:eastAsia="宋体"/>
                      <w:bCs/>
                      <w:color w:val="auto"/>
                      <w:sz w:val="21"/>
                      <w:szCs w:val="21"/>
                      <w:highlight w:val="none"/>
                    </w:rPr>
                  </w:pPr>
                  <w:r>
                    <w:rPr>
                      <w:rFonts w:eastAsia="宋体"/>
                      <w:color w:val="auto"/>
                      <w:sz w:val="21"/>
                      <w:szCs w:val="21"/>
                      <w:highlight w:val="none"/>
                    </w:rPr>
                    <w:t>废</w:t>
                  </w:r>
                  <w:r>
                    <w:rPr>
                      <w:rFonts w:hint="eastAsia" w:eastAsia="宋体"/>
                      <w:color w:val="auto"/>
                      <w:sz w:val="21"/>
                      <w:szCs w:val="21"/>
                      <w:highlight w:val="none"/>
                    </w:rPr>
                    <w:t>包装袋</w:t>
                  </w:r>
                </w:p>
              </w:tc>
              <w:tc>
                <w:tcPr>
                  <w:tcW w:w="452" w:type="pct"/>
                  <w:vAlign w:val="center"/>
                </w:tcPr>
                <w:p>
                  <w:pPr>
                    <w:pStyle w:val="49"/>
                    <w:rPr>
                      <w:rFonts w:eastAsia="宋体"/>
                      <w:b w:val="0"/>
                      <w:bCs/>
                      <w:color w:val="auto"/>
                      <w:sz w:val="21"/>
                      <w:szCs w:val="21"/>
                      <w:highlight w:val="none"/>
                    </w:rPr>
                  </w:pPr>
                  <w:r>
                    <w:rPr>
                      <w:rFonts w:eastAsia="宋体"/>
                      <w:b w:val="0"/>
                      <w:bCs/>
                      <w:color w:val="auto"/>
                      <w:sz w:val="21"/>
                      <w:szCs w:val="21"/>
                      <w:highlight w:val="none"/>
                    </w:rPr>
                    <w:t>一般工业固废</w:t>
                  </w:r>
                </w:p>
              </w:tc>
              <w:tc>
                <w:tcPr>
                  <w:tcW w:w="598" w:type="pct"/>
                  <w:vAlign w:val="center"/>
                </w:tcPr>
                <w:p>
                  <w:pPr>
                    <w:pStyle w:val="46"/>
                    <w:rPr>
                      <w:rFonts w:eastAsia="宋体"/>
                      <w:color w:val="auto"/>
                      <w:sz w:val="21"/>
                      <w:szCs w:val="21"/>
                      <w:highlight w:val="none"/>
                    </w:rPr>
                  </w:pPr>
                  <w:r>
                    <w:rPr>
                      <w:rFonts w:hint="eastAsia" w:eastAsia="宋体"/>
                      <w:color w:val="auto"/>
                      <w:sz w:val="21"/>
                      <w:szCs w:val="21"/>
                      <w:highlight w:val="none"/>
                    </w:rPr>
                    <w:t>原料包装</w:t>
                  </w:r>
                </w:p>
              </w:tc>
              <w:tc>
                <w:tcPr>
                  <w:tcW w:w="343" w:type="pct"/>
                  <w:vAlign w:val="center"/>
                </w:tcPr>
                <w:p>
                  <w:pPr>
                    <w:pStyle w:val="46"/>
                    <w:rPr>
                      <w:rFonts w:eastAsia="宋体"/>
                      <w:color w:val="auto"/>
                      <w:sz w:val="21"/>
                      <w:szCs w:val="21"/>
                      <w:highlight w:val="none"/>
                    </w:rPr>
                  </w:pPr>
                  <w:r>
                    <w:rPr>
                      <w:rFonts w:eastAsia="宋体"/>
                      <w:color w:val="auto"/>
                      <w:sz w:val="21"/>
                      <w:szCs w:val="21"/>
                      <w:highlight w:val="none"/>
                    </w:rPr>
                    <w:t>固态</w:t>
                  </w:r>
                </w:p>
              </w:tc>
              <w:tc>
                <w:tcPr>
                  <w:tcW w:w="585" w:type="pct"/>
                  <w:vAlign w:val="center"/>
                </w:tcPr>
                <w:p>
                  <w:pPr>
                    <w:pStyle w:val="46"/>
                    <w:rPr>
                      <w:rFonts w:eastAsia="宋体"/>
                      <w:color w:val="auto"/>
                      <w:sz w:val="21"/>
                      <w:szCs w:val="21"/>
                      <w:highlight w:val="none"/>
                    </w:rPr>
                  </w:pPr>
                  <w:r>
                    <w:rPr>
                      <w:rFonts w:hint="eastAsia" w:eastAsia="宋体"/>
                      <w:color w:val="auto"/>
                      <w:sz w:val="21"/>
                      <w:szCs w:val="21"/>
                      <w:highlight w:val="none"/>
                    </w:rPr>
                    <w:t>塑料袋</w:t>
                  </w:r>
                </w:p>
              </w:tc>
              <w:tc>
                <w:tcPr>
                  <w:tcW w:w="390" w:type="pct"/>
                  <w:vAlign w:val="center"/>
                </w:tcPr>
                <w:p>
                  <w:pPr>
                    <w:pStyle w:val="49"/>
                    <w:rPr>
                      <w:rFonts w:eastAsia="宋体"/>
                      <w:b w:val="0"/>
                      <w:color w:val="auto"/>
                      <w:kern w:val="0"/>
                      <w:sz w:val="21"/>
                      <w:szCs w:val="21"/>
                      <w:highlight w:val="none"/>
                    </w:rPr>
                  </w:pPr>
                  <w:r>
                    <w:rPr>
                      <w:rFonts w:eastAsia="宋体"/>
                      <w:b w:val="0"/>
                      <w:color w:val="auto"/>
                      <w:kern w:val="0"/>
                      <w:sz w:val="21"/>
                      <w:szCs w:val="21"/>
                      <w:highlight w:val="none"/>
                    </w:rPr>
                    <w:t>/</w:t>
                  </w:r>
                </w:p>
              </w:tc>
              <w:tc>
                <w:tcPr>
                  <w:tcW w:w="429" w:type="pct"/>
                  <w:vAlign w:val="center"/>
                </w:tcPr>
                <w:p>
                  <w:pPr>
                    <w:jc w:val="center"/>
                    <w:rPr>
                      <w:color w:val="auto"/>
                      <w:kern w:val="0"/>
                      <w:sz w:val="21"/>
                      <w:szCs w:val="21"/>
                      <w:highlight w:val="none"/>
                    </w:rPr>
                  </w:pPr>
                  <w:r>
                    <w:rPr>
                      <w:color w:val="auto"/>
                      <w:kern w:val="0"/>
                      <w:sz w:val="21"/>
                      <w:szCs w:val="21"/>
                      <w:highlight w:val="none"/>
                    </w:rPr>
                    <w:t>/</w:t>
                  </w:r>
                </w:p>
              </w:tc>
              <w:tc>
                <w:tcPr>
                  <w:tcW w:w="605" w:type="pct"/>
                  <w:vAlign w:val="center"/>
                </w:tcPr>
                <w:p>
                  <w:pPr>
                    <w:jc w:val="center"/>
                    <w:rPr>
                      <w:color w:val="auto"/>
                      <w:kern w:val="0"/>
                      <w:sz w:val="21"/>
                      <w:szCs w:val="21"/>
                      <w:highlight w:val="none"/>
                    </w:rPr>
                  </w:pPr>
                  <w:r>
                    <w:rPr>
                      <w:color w:val="auto"/>
                      <w:kern w:val="0"/>
                      <w:sz w:val="21"/>
                      <w:szCs w:val="21"/>
                      <w:highlight w:val="none"/>
                    </w:rPr>
                    <w:t>900-99-999</w:t>
                  </w:r>
                </w:p>
              </w:tc>
              <w:tc>
                <w:tcPr>
                  <w:tcW w:w="526" w:type="pct"/>
                  <w:vAlign w:val="center"/>
                </w:tcPr>
                <w:p>
                  <w:pPr>
                    <w:pStyle w:val="46"/>
                    <w:rPr>
                      <w:rFonts w:eastAsia="宋体"/>
                      <w:color w:val="auto"/>
                      <w:sz w:val="21"/>
                      <w:szCs w:val="21"/>
                      <w:highlight w:val="none"/>
                    </w:rPr>
                  </w:pPr>
                  <w:r>
                    <w:rPr>
                      <w:rFonts w:hint="eastAsia" w:eastAsia="宋体"/>
                      <w:color w:val="auto"/>
                      <w:sz w:val="21"/>
                      <w:szCs w:val="21"/>
                      <w:highlight w:val="none"/>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38" w:type="pct"/>
                  <w:vAlign w:val="center"/>
                </w:tcPr>
                <w:p>
                  <w:pPr>
                    <w:pStyle w:val="46"/>
                    <w:rPr>
                      <w:rFonts w:eastAsia="宋体"/>
                      <w:color w:val="auto"/>
                      <w:sz w:val="21"/>
                      <w:szCs w:val="21"/>
                      <w:highlight w:val="none"/>
                    </w:rPr>
                  </w:pPr>
                  <w:r>
                    <w:rPr>
                      <w:rFonts w:hint="eastAsia" w:eastAsia="宋体"/>
                      <w:color w:val="auto"/>
                      <w:sz w:val="21"/>
                      <w:szCs w:val="21"/>
                      <w:highlight w:val="none"/>
                    </w:rPr>
                    <w:t>2</w:t>
                  </w:r>
                </w:p>
              </w:tc>
              <w:tc>
                <w:tcPr>
                  <w:tcW w:w="729" w:type="pct"/>
                  <w:vAlign w:val="center"/>
                </w:tcPr>
                <w:p>
                  <w:pPr>
                    <w:pStyle w:val="46"/>
                    <w:rPr>
                      <w:rFonts w:eastAsia="宋体"/>
                      <w:color w:val="auto"/>
                      <w:sz w:val="21"/>
                      <w:szCs w:val="21"/>
                      <w:highlight w:val="none"/>
                    </w:rPr>
                  </w:pPr>
                  <w:r>
                    <w:rPr>
                      <w:rFonts w:hint="eastAsia" w:eastAsia="宋体"/>
                      <w:color w:val="auto"/>
                      <w:sz w:val="21"/>
                      <w:szCs w:val="21"/>
                      <w:highlight w:val="none"/>
                    </w:rPr>
                    <w:t>废活性炭</w:t>
                  </w:r>
                </w:p>
              </w:tc>
              <w:tc>
                <w:tcPr>
                  <w:tcW w:w="452" w:type="pct"/>
                  <w:vAlign w:val="center"/>
                </w:tcPr>
                <w:p>
                  <w:pPr>
                    <w:pStyle w:val="49"/>
                    <w:rPr>
                      <w:rFonts w:eastAsia="宋体"/>
                      <w:b w:val="0"/>
                      <w:bCs/>
                      <w:color w:val="auto"/>
                      <w:sz w:val="21"/>
                      <w:szCs w:val="21"/>
                      <w:highlight w:val="none"/>
                    </w:rPr>
                  </w:pPr>
                  <w:r>
                    <w:rPr>
                      <w:rFonts w:hint="eastAsia" w:eastAsia="宋体"/>
                      <w:b w:val="0"/>
                      <w:bCs/>
                      <w:color w:val="auto"/>
                      <w:sz w:val="21"/>
                      <w:szCs w:val="21"/>
                      <w:highlight w:val="none"/>
                    </w:rPr>
                    <w:t>危险废物</w:t>
                  </w:r>
                </w:p>
              </w:tc>
              <w:tc>
                <w:tcPr>
                  <w:tcW w:w="598" w:type="pct"/>
                  <w:vAlign w:val="center"/>
                </w:tcPr>
                <w:p>
                  <w:pPr>
                    <w:pStyle w:val="46"/>
                    <w:rPr>
                      <w:rFonts w:eastAsia="宋体"/>
                      <w:color w:val="auto"/>
                      <w:sz w:val="21"/>
                      <w:szCs w:val="21"/>
                      <w:highlight w:val="none"/>
                    </w:rPr>
                  </w:pPr>
                  <w:r>
                    <w:rPr>
                      <w:rFonts w:hint="eastAsia" w:eastAsia="宋体"/>
                      <w:color w:val="auto"/>
                      <w:sz w:val="21"/>
                      <w:szCs w:val="21"/>
                      <w:highlight w:val="none"/>
                    </w:rPr>
                    <w:t>废气处理</w:t>
                  </w:r>
                </w:p>
              </w:tc>
              <w:tc>
                <w:tcPr>
                  <w:tcW w:w="343" w:type="pct"/>
                  <w:vAlign w:val="center"/>
                </w:tcPr>
                <w:p>
                  <w:pPr>
                    <w:jc w:val="center"/>
                    <w:rPr>
                      <w:color w:val="auto"/>
                      <w:sz w:val="21"/>
                      <w:szCs w:val="21"/>
                      <w:highlight w:val="none"/>
                    </w:rPr>
                  </w:pPr>
                  <w:r>
                    <w:rPr>
                      <w:rFonts w:hint="eastAsia"/>
                      <w:color w:val="auto"/>
                      <w:sz w:val="21"/>
                      <w:szCs w:val="21"/>
                      <w:highlight w:val="none"/>
                    </w:rPr>
                    <w:t>固态</w:t>
                  </w:r>
                </w:p>
              </w:tc>
              <w:tc>
                <w:tcPr>
                  <w:tcW w:w="585" w:type="pct"/>
                  <w:vAlign w:val="center"/>
                </w:tcPr>
                <w:p>
                  <w:pPr>
                    <w:pStyle w:val="46"/>
                    <w:rPr>
                      <w:rFonts w:eastAsia="宋体"/>
                      <w:color w:val="auto"/>
                      <w:sz w:val="21"/>
                      <w:szCs w:val="21"/>
                      <w:highlight w:val="none"/>
                    </w:rPr>
                  </w:pPr>
                  <w:r>
                    <w:rPr>
                      <w:rFonts w:eastAsia="宋体"/>
                      <w:color w:val="auto"/>
                      <w:kern w:val="0"/>
                      <w:sz w:val="21"/>
                      <w:szCs w:val="21"/>
                      <w:highlight w:val="none"/>
                    </w:rPr>
                    <w:t>有机废气、活性炭</w:t>
                  </w:r>
                </w:p>
              </w:tc>
              <w:tc>
                <w:tcPr>
                  <w:tcW w:w="390" w:type="pct"/>
                  <w:vAlign w:val="center"/>
                </w:tcPr>
                <w:p>
                  <w:pPr>
                    <w:tabs>
                      <w:tab w:val="left" w:pos="2227"/>
                    </w:tabs>
                    <w:jc w:val="center"/>
                    <w:rPr>
                      <w:color w:val="auto"/>
                      <w:kern w:val="0"/>
                      <w:sz w:val="21"/>
                      <w:szCs w:val="21"/>
                      <w:highlight w:val="none"/>
                    </w:rPr>
                  </w:pPr>
                  <w:r>
                    <w:rPr>
                      <w:color w:val="auto"/>
                      <w:kern w:val="0"/>
                      <w:sz w:val="21"/>
                      <w:szCs w:val="21"/>
                      <w:highlight w:val="none"/>
                      <w:lang w:bidi="ar"/>
                    </w:rPr>
                    <w:t>T</w:t>
                  </w:r>
                </w:p>
              </w:tc>
              <w:tc>
                <w:tcPr>
                  <w:tcW w:w="429" w:type="pct"/>
                  <w:vAlign w:val="center"/>
                </w:tcPr>
                <w:p>
                  <w:pPr>
                    <w:tabs>
                      <w:tab w:val="left" w:pos="2227"/>
                    </w:tabs>
                    <w:jc w:val="center"/>
                    <w:rPr>
                      <w:color w:val="auto"/>
                      <w:kern w:val="0"/>
                      <w:sz w:val="21"/>
                      <w:szCs w:val="21"/>
                      <w:highlight w:val="none"/>
                    </w:rPr>
                  </w:pPr>
                  <w:r>
                    <w:rPr>
                      <w:color w:val="auto"/>
                      <w:sz w:val="21"/>
                      <w:szCs w:val="21"/>
                      <w:highlight w:val="none"/>
                      <w:lang w:bidi="ar"/>
                    </w:rPr>
                    <w:t>HW49</w:t>
                  </w:r>
                </w:p>
              </w:tc>
              <w:tc>
                <w:tcPr>
                  <w:tcW w:w="605" w:type="pct"/>
                  <w:vAlign w:val="center"/>
                </w:tcPr>
                <w:p>
                  <w:pPr>
                    <w:jc w:val="center"/>
                    <w:rPr>
                      <w:color w:val="auto"/>
                      <w:kern w:val="0"/>
                      <w:sz w:val="21"/>
                      <w:szCs w:val="21"/>
                      <w:highlight w:val="none"/>
                    </w:rPr>
                  </w:pPr>
                  <w:r>
                    <w:rPr>
                      <w:color w:val="auto"/>
                      <w:sz w:val="21"/>
                      <w:szCs w:val="21"/>
                      <w:highlight w:val="none"/>
                    </w:rPr>
                    <w:t>900-039-49</w:t>
                  </w:r>
                </w:p>
              </w:tc>
              <w:tc>
                <w:tcPr>
                  <w:tcW w:w="526" w:type="pct"/>
                  <w:vAlign w:val="center"/>
                </w:tcPr>
                <w:p>
                  <w:pPr>
                    <w:pStyle w:val="46"/>
                    <w:rPr>
                      <w:rFonts w:hint="default" w:eastAsia="宋体"/>
                      <w:color w:val="auto"/>
                      <w:sz w:val="21"/>
                      <w:szCs w:val="21"/>
                      <w:highlight w:val="none"/>
                      <w:lang w:val="en-US" w:eastAsia="zh-CN"/>
                    </w:rPr>
                  </w:pPr>
                  <w:r>
                    <w:rPr>
                      <w:rFonts w:hint="eastAsia" w:eastAsia="宋体"/>
                      <w:color w:val="auto"/>
                      <w:kern w:val="0"/>
                      <w:sz w:val="21"/>
                      <w:szCs w:val="21"/>
                      <w:highlight w:val="none"/>
                      <w:lang w:val="en-US" w:eastAsia="zh-CN"/>
                    </w:rPr>
                    <w:t>2.748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38" w:type="pct"/>
                  <w:vAlign w:val="center"/>
                </w:tcPr>
                <w:p>
                  <w:pPr>
                    <w:pStyle w:val="46"/>
                    <w:rPr>
                      <w:rFonts w:eastAsia="宋体"/>
                      <w:color w:val="auto"/>
                      <w:sz w:val="21"/>
                      <w:szCs w:val="21"/>
                      <w:highlight w:val="none"/>
                    </w:rPr>
                  </w:pPr>
                  <w:r>
                    <w:rPr>
                      <w:rFonts w:hint="eastAsia" w:eastAsia="宋体"/>
                      <w:color w:val="auto"/>
                      <w:sz w:val="21"/>
                      <w:szCs w:val="21"/>
                      <w:highlight w:val="none"/>
                    </w:rPr>
                    <w:t>3</w:t>
                  </w:r>
                </w:p>
              </w:tc>
              <w:tc>
                <w:tcPr>
                  <w:tcW w:w="729" w:type="pct"/>
                  <w:vAlign w:val="center"/>
                </w:tcPr>
                <w:p>
                  <w:pPr>
                    <w:pStyle w:val="46"/>
                    <w:rPr>
                      <w:rFonts w:eastAsia="宋体"/>
                      <w:bCs/>
                      <w:color w:val="auto"/>
                      <w:sz w:val="21"/>
                      <w:szCs w:val="21"/>
                      <w:highlight w:val="none"/>
                    </w:rPr>
                  </w:pPr>
                  <w:r>
                    <w:rPr>
                      <w:rFonts w:eastAsia="宋体"/>
                      <w:bCs/>
                      <w:color w:val="auto"/>
                      <w:sz w:val="21"/>
                      <w:szCs w:val="21"/>
                      <w:highlight w:val="none"/>
                    </w:rPr>
                    <w:t>生活垃圾</w:t>
                  </w:r>
                </w:p>
              </w:tc>
              <w:tc>
                <w:tcPr>
                  <w:tcW w:w="452" w:type="pct"/>
                  <w:vAlign w:val="center"/>
                </w:tcPr>
                <w:p>
                  <w:pPr>
                    <w:pStyle w:val="49"/>
                    <w:rPr>
                      <w:rFonts w:eastAsia="宋体"/>
                      <w:b w:val="0"/>
                      <w:bCs/>
                      <w:color w:val="auto"/>
                      <w:sz w:val="21"/>
                      <w:szCs w:val="21"/>
                      <w:highlight w:val="none"/>
                    </w:rPr>
                  </w:pPr>
                  <w:r>
                    <w:rPr>
                      <w:rFonts w:eastAsia="宋体"/>
                      <w:b w:val="0"/>
                      <w:bCs/>
                      <w:color w:val="auto"/>
                      <w:sz w:val="21"/>
                      <w:szCs w:val="21"/>
                      <w:highlight w:val="none"/>
                    </w:rPr>
                    <w:t>生活垃圾</w:t>
                  </w:r>
                </w:p>
              </w:tc>
              <w:tc>
                <w:tcPr>
                  <w:tcW w:w="598" w:type="pct"/>
                  <w:vAlign w:val="center"/>
                </w:tcPr>
                <w:p>
                  <w:pPr>
                    <w:pStyle w:val="46"/>
                    <w:rPr>
                      <w:rFonts w:eastAsia="宋体"/>
                      <w:color w:val="auto"/>
                      <w:sz w:val="21"/>
                      <w:szCs w:val="21"/>
                      <w:highlight w:val="none"/>
                    </w:rPr>
                  </w:pPr>
                  <w:r>
                    <w:rPr>
                      <w:rFonts w:eastAsia="宋体"/>
                      <w:color w:val="auto"/>
                      <w:sz w:val="21"/>
                      <w:szCs w:val="21"/>
                      <w:highlight w:val="none"/>
                    </w:rPr>
                    <w:t>员工生活</w:t>
                  </w:r>
                </w:p>
              </w:tc>
              <w:tc>
                <w:tcPr>
                  <w:tcW w:w="343" w:type="pct"/>
                  <w:vAlign w:val="center"/>
                </w:tcPr>
                <w:p>
                  <w:pPr>
                    <w:jc w:val="center"/>
                    <w:rPr>
                      <w:color w:val="auto"/>
                      <w:sz w:val="21"/>
                      <w:szCs w:val="21"/>
                      <w:highlight w:val="none"/>
                    </w:rPr>
                  </w:pPr>
                  <w:r>
                    <w:rPr>
                      <w:color w:val="auto"/>
                      <w:sz w:val="21"/>
                      <w:szCs w:val="21"/>
                      <w:highlight w:val="none"/>
                    </w:rPr>
                    <w:t>固态</w:t>
                  </w:r>
                </w:p>
              </w:tc>
              <w:tc>
                <w:tcPr>
                  <w:tcW w:w="585" w:type="pct"/>
                  <w:vAlign w:val="center"/>
                </w:tcPr>
                <w:p>
                  <w:pPr>
                    <w:pStyle w:val="46"/>
                    <w:rPr>
                      <w:rFonts w:eastAsia="宋体"/>
                      <w:color w:val="auto"/>
                      <w:kern w:val="0"/>
                      <w:sz w:val="21"/>
                      <w:szCs w:val="21"/>
                      <w:highlight w:val="none"/>
                    </w:rPr>
                  </w:pPr>
                  <w:r>
                    <w:rPr>
                      <w:rFonts w:eastAsia="宋体"/>
                      <w:color w:val="auto"/>
                      <w:kern w:val="0"/>
                      <w:sz w:val="21"/>
                      <w:szCs w:val="21"/>
                      <w:highlight w:val="none"/>
                    </w:rPr>
                    <w:t>果皮纸屑等</w:t>
                  </w:r>
                </w:p>
              </w:tc>
              <w:tc>
                <w:tcPr>
                  <w:tcW w:w="390" w:type="pct"/>
                  <w:vAlign w:val="center"/>
                </w:tcPr>
                <w:p>
                  <w:pPr>
                    <w:pStyle w:val="46"/>
                    <w:rPr>
                      <w:rFonts w:eastAsia="宋体"/>
                      <w:color w:val="auto"/>
                      <w:kern w:val="0"/>
                      <w:sz w:val="21"/>
                      <w:szCs w:val="21"/>
                      <w:highlight w:val="none"/>
                    </w:rPr>
                  </w:pPr>
                  <w:r>
                    <w:rPr>
                      <w:rFonts w:hint="eastAsia" w:eastAsia="宋体"/>
                      <w:color w:val="auto"/>
                      <w:kern w:val="0"/>
                      <w:sz w:val="21"/>
                      <w:szCs w:val="21"/>
                      <w:highlight w:val="none"/>
                    </w:rPr>
                    <w:t>/</w:t>
                  </w:r>
                </w:p>
              </w:tc>
              <w:tc>
                <w:tcPr>
                  <w:tcW w:w="429" w:type="pct"/>
                  <w:vAlign w:val="center"/>
                </w:tcPr>
                <w:p>
                  <w:pPr>
                    <w:tabs>
                      <w:tab w:val="left" w:pos="2227"/>
                    </w:tabs>
                    <w:jc w:val="center"/>
                    <w:rPr>
                      <w:color w:val="auto"/>
                      <w:sz w:val="21"/>
                      <w:szCs w:val="21"/>
                      <w:highlight w:val="none"/>
                      <w:lang w:bidi="ar"/>
                    </w:rPr>
                  </w:pPr>
                  <w:r>
                    <w:rPr>
                      <w:color w:val="auto"/>
                      <w:sz w:val="21"/>
                      <w:szCs w:val="21"/>
                      <w:highlight w:val="none"/>
                      <w:lang w:bidi="ar"/>
                    </w:rPr>
                    <w:t>/</w:t>
                  </w:r>
                </w:p>
              </w:tc>
              <w:tc>
                <w:tcPr>
                  <w:tcW w:w="605" w:type="pct"/>
                  <w:vAlign w:val="center"/>
                </w:tcPr>
                <w:p>
                  <w:pPr>
                    <w:tabs>
                      <w:tab w:val="left" w:pos="2227"/>
                    </w:tabs>
                    <w:jc w:val="center"/>
                    <w:rPr>
                      <w:color w:val="auto"/>
                      <w:sz w:val="21"/>
                      <w:szCs w:val="21"/>
                      <w:highlight w:val="none"/>
                      <w:lang w:bidi="ar"/>
                    </w:rPr>
                  </w:pPr>
                  <w:r>
                    <w:rPr>
                      <w:color w:val="auto"/>
                      <w:sz w:val="21"/>
                      <w:szCs w:val="21"/>
                      <w:highlight w:val="none"/>
                      <w:lang w:bidi="ar"/>
                    </w:rPr>
                    <w:t>/</w:t>
                  </w:r>
                </w:p>
              </w:tc>
              <w:tc>
                <w:tcPr>
                  <w:tcW w:w="526" w:type="pct"/>
                  <w:vAlign w:val="center"/>
                </w:tcPr>
                <w:p>
                  <w:pPr>
                    <w:pStyle w:val="46"/>
                    <w:rPr>
                      <w:rFonts w:eastAsia="宋体"/>
                      <w:color w:val="auto"/>
                      <w:kern w:val="0"/>
                      <w:sz w:val="21"/>
                      <w:szCs w:val="21"/>
                      <w:highlight w:val="none"/>
                    </w:rPr>
                  </w:pPr>
                  <w:r>
                    <w:rPr>
                      <w:rFonts w:hint="eastAsia" w:eastAsia="宋体"/>
                      <w:color w:val="auto"/>
                      <w:kern w:val="0"/>
                      <w:sz w:val="21"/>
                      <w:szCs w:val="21"/>
                      <w:highlight w:val="none"/>
                    </w:rPr>
                    <w:t>45</w:t>
                  </w:r>
                </w:p>
              </w:tc>
            </w:tr>
          </w:tbl>
          <w:p>
            <w:pPr>
              <w:pStyle w:val="37"/>
              <w:keepNext w:val="0"/>
              <w:keepLines w:val="0"/>
              <w:pageBreakBefore w:val="0"/>
              <w:widowControl w:val="0"/>
              <w:numPr>
                <w:ilvl w:val="0"/>
                <w:numId w:val="7"/>
              </w:numPr>
              <w:kinsoku/>
              <w:wordWrap/>
              <w:overflowPunct/>
              <w:topLinePunct w:val="0"/>
              <w:autoSpaceDE/>
              <w:autoSpaceDN/>
              <w:bidi w:val="0"/>
              <w:adjustRightInd/>
              <w:snapToGrid/>
              <w:spacing w:before="157" w:beforeLines="50" w:line="360" w:lineRule="auto"/>
              <w:ind w:firstLine="482"/>
              <w:textAlignment w:val="auto"/>
              <w:rPr>
                <w:rFonts w:eastAsia="宋体"/>
                <w:b/>
                <w:bCs/>
                <w:color w:val="auto"/>
                <w:sz w:val="21"/>
                <w:szCs w:val="21"/>
                <w:highlight w:val="none"/>
              </w:rPr>
            </w:pPr>
            <w:r>
              <w:rPr>
                <w:rFonts w:eastAsia="宋体"/>
                <w:b/>
                <w:bCs/>
                <w:color w:val="auto"/>
                <w:sz w:val="21"/>
                <w:szCs w:val="21"/>
                <w:highlight w:val="none"/>
              </w:rPr>
              <w:t>固体废物处置方式</w:t>
            </w:r>
          </w:p>
          <w:p>
            <w:pPr>
              <w:pStyle w:val="44"/>
              <w:spacing w:beforeLines="0" w:afterLines="0"/>
              <w:rPr>
                <w:rFonts w:eastAsia="宋体"/>
                <w:snapToGrid w:val="0"/>
                <w:color w:val="auto"/>
                <w:sz w:val="21"/>
                <w:szCs w:val="21"/>
                <w:highlight w:val="none"/>
              </w:rPr>
            </w:pPr>
            <w:r>
              <w:rPr>
                <w:rFonts w:eastAsia="宋体"/>
                <w:snapToGrid w:val="0"/>
                <w:color w:val="auto"/>
                <w:sz w:val="21"/>
                <w:szCs w:val="21"/>
                <w:highlight w:val="none"/>
              </w:rPr>
              <w:t>表4-2</w:t>
            </w:r>
            <w:r>
              <w:rPr>
                <w:rFonts w:hint="eastAsia" w:eastAsia="宋体"/>
                <w:snapToGrid w:val="0"/>
                <w:color w:val="auto"/>
                <w:sz w:val="21"/>
                <w:szCs w:val="21"/>
                <w:highlight w:val="none"/>
                <w:lang w:val="en-US" w:eastAsia="zh-CN"/>
              </w:rPr>
              <w:t>5</w:t>
            </w:r>
            <w:r>
              <w:rPr>
                <w:rFonts w:eastAsia="宋体"/>
                <w:snapToGrid w:val="0"/>
                <w:color w:val="auto"/>
                <w:sz w:val="21"/>
                <w:szCs w:val="21"/>
                <w:highlight w:val="none"/>
              </w:rPr>
              <w:t xml:space="preserve"> </w:t>
            </w:r>
            <w:r>
              <w:rPr>
                <w:rFonts w:hint="eastAsia" w:eastAsia="宋体"/>
                <w:snapToGrid w:val="0"/>
                <w:color w:val="auto"/>
                <w:sz w:val="21"/>
                <w:szCs w:val="21"/>
                <w:highlight w:val="none"/>
              </w:rPr>
              <w:t>项目固体废物利用处置方式评价表</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579"/>
              <w:gridCol w:w="1163"/>
              <w:gridCol w:w="1151"/>
              <w:gridCol w:w="1076"/>
              <w:gridCol w:w="1251"/>
              <w:gridCol w:w="939"/>
              <w:gridCol w:w="1305"/>
              <w:gridCol w:w="101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1" w:type="pct"/>
                  <w:vAlign w:val="center"/>
                </w:tcPr>
                <w:p>
                  <w:pPr>
                    <w:pStyle w:val="49"/>
                    <w:rPr>
                      <w:rFonts w:eastAsia="宋体"/>
                      <w:color w:val="auto"/>
                      <w:sz w:val="21"/>
                      <w:szCs w:val="21"/>
                      <w:highlight w:val="none"/>
                    </w:rPr>
                  </w:pPr>
                  <w:r>
                    <w:rPr>
                      <w:rFonts w:hint="eastAsia" w:eastAsia="宋体"/>
                      <w:color w:val="auto"/>
                      <w:sz w:val="21"/>
                      <w:szCs w:val="21"/>
                      <w:highlight w:val="none"/>
                    </w:rPr>
                    <w:t>序号</w:t>
                  </w:r>
                </w:p>
              </w:tc>
              <w:tc>
                <w:tcPr>
                  <w:tcW w:w="685" w:type="pct"/>
                  <w:vAlign w:val="center"/>
                </w:tcPr>
                <w:p>
                  <w:pPr>
                    <w:pStyle w:val="49"/>
                    <w:rPr>
                      <w:rFonts w:eastAsia="宋体"/>
                      <w:color w:val="auto"/>
                      <w:sz w:val="21"/>
                      <w:szCs w:val="21"/>
                      <w:highlight w:val="none"/>
                    </w:rPr>
                  </w:pPr>
                  <w:r>
                    <w:rPr>
                      <w:rFonts w:eastAsia="宋体"/>
                      <w:color w:val="auto"/>
                      <w:sz w:val="21"/>
                      <w:szCs w:val="21"/>
                      <w:highlight w:val="none"/>
                    </w:rPr>
                    <w:t>固体废物名称</w:t>
                  </w:r>
                </w:p>
              </w:tc>
              <w:tc>
                <w:tcPr>
                  <w:tcW w:w="678" w:type="pct"/>
                  <w:vAlign w:val="center"/>
                </w:tcPr>
                <w:p>
                  <w:pPr>
                    <w:pStyle w:val="49"/>
                    <w:rPr>
                      <w:rFonts w:eastAsia="宋体"/>
                      <w:color w:val="auto"/>
                      <w:sz w:val="21"/>
                      <w:szCs w:val="21"/>
                      <w:highlight w:val="none"/>
                    </w:rPr>
                  </w:pPr>
                  <w:r>
                    <w:rPr>
                      <w:rFonts w:hint="eastAsia" w:eastAsia="宋体"/>
                      <w:color w:val="auto"/>
                      <w:sz w:val="21"/>
                      <w:szCs w:val="21"/>
                      <w:highlight w:val="none"/>
                    </w:rPr>
                    <w:t>产生</w:t>
                  </w:r>
                  <w:r>
                    <w:rPr>
                      <w:rFonts w:eastAsia="宋体"/>
                      <w:color w:val="auto"/>
                      <w:sz w:val="21"/>
                      <w:szCs w:val="21"/>
                      <w:highlight w:val="none"/>
                    </w:rPr>
                    <w:t>工序</w:t>
                  </w:r>
                </w:p>
              </w:tc>
              <w:tc>
                <w:tcPr>
                  <w:tcW w:w="634" w:type="pct"/>
                  <w:vAlign w:val="center"/>
                </w:tcPr>
                <w:p>
                  <w:pPr>
                    <w:pStyle w:val="49"/>
                    <w:rPr>
                      <w:rFonts w:eastAsia="宋体"/>
                      <w:color w:val="auto"/>
                      <w:sz w:val="21"/>
                      <w:szCs w:val="21"/>
                      <w:highlight w:val="none"/>
                    </w:rPr>
                  </w:pPr>
                  <w:r>
                    <w:rPr>
                      <w:rFonts w:eastAsia="宋体"/>
                      <w:color w:val="auto"/>
                      <w:sz w:val="21"/>
                      <w:szCs w:val="21"/>
                      <w:highlight w:val="none"/>
                    </w:rPr>
                    <w:t>固废属性</w:t>
                  </w:r>
                </w:p>
              </w:tc>
              <w:tc>
                <w:tcPr>
                  <w:tcW w:w="737" w:type="pct"/>
                  <w:vAlign w:val="center"/>
                </w:tcPr>
                <w:p>
                  <w:pPr>
                    <w:pStyle w:val="49"/>
                    <w:rPr>
                      <w:rFonts w:eastAsia="宋体"/>
                      <w:color w:val="auto"/>
                      <w:sz w:val="21"/>
                      <w:szCs w:val="21"/>
                      <w:highlight w:val="none"/>
                    </w:rPr>
                  </w:pPr>
                  <w:r>
                    <w:rPr>
                      <w:rFonts w:hint="eastAsia" w:eastAsia="宋体"/>
                      <w:color w:val="auto"/>
                      <w:sz w:val="21"/>
                      <w:szCs w:val="21"/>
                      <w:highlight w:val="none"/>
                    </w:rPr>
                    <w:t>废物代码</w:t>
                  </w:r>
                </w:p>
              </w:tc>
              <w:tc>
                <w:tcPr>
                  <w:tcW w:w="553" w:type="pct"/>
                  <w:vAlign w:val="center"/>
                </w:tcPr>
                <w:p>
                  <w:pPr>
                    <w:pStyle w:val="49"/>
                    <w:rPr>
                      <w:rFonts w:eastAsia="宋体"/>
                      <w:color w:val="auto"/>
                      <w:sz w:val="21"/>
                      <w:szCs w:val="21"/>
                      <w:highlight w:val="none"/>
                    </w:rPr>
                  </w:pPr>
                  <w:r>
                    <w:rPr>
                      <w:rFonts w:hint="eastAsia" w:eastAsia="宋体"/>
                      <w:color w:val="auto"/>
                      <w:sz w:val="21"/>
                      <w:szCs w:val="21"/>
                      <w:highlight w:val="none"/>
                    </w:rPr>
                    <w:t>产生量（t/a）</w:t>
                  </w:r>
                </w:p>
              </w:tc>
              <w:tc>
                <w:tcPr>
                  <w:tcW w:w="769" w:type="pct"/>
                  <w:vAlign w:val="center"/>
                </w:tcPr>
                <w:p>
                  <w:pPr>
                    <w:pStyle w:val="55"/>
                    <w:rPr>
                      <w:color w:val="auto"/>
                      <w:sz w:val="21"/>
                      <w:szCs w:val="21"/>
                      <w:highlight w:val="none"/>
                    </w:rPr>
                  </w:pPr>
                  <w:r>
                    <w:rPr>
                      <w:b/>
                      <w:color w:val="auto"/>
                      <w:sz w:val="21"/>
                      <w:szCs w:val="21"/>
                      <w:highlight w:val="none"/>
                    </w:rPr>
                    <w:t>处理处置方式</w:t>
                  </w:r>
                </w:p>
              </w:tc>
              <w:tc>
                <w:tcPr>
                  <w:tcW w:w="599" w:type="pct"/>
                  <w:vAlign w:val="center"/>
                </w:tcPr>
                <w:p>
                  <w:pPr>
                    <w:pStyle w:val="55"/>
                    <w:rPr>
                      <w:color w:val="auto"/>
                      <w:sz w:val="21"/>
                      <w:szCs w:val="21"/>
                      <w:highlight w:val="none"/>
                    </w:rPr>
                  </w:pPr>
                  <w:r>
                    <w:rPr>
                      <w:b/>
                      <w:color w:val="auto"/>
                      <w:sz w:val="21"/>
                      <w:szCs w:val="21"/>
                      <w:highlight w:val="none"/>
                    </w:rPr>
                    <w:t>利用处置单位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1" w:type="pct"/>
                  <w:vAlign w:val="center"/>
                </w:tcPr>
                <w:p>
                  <w:pPr>
                    <w:pStyle w:val="46"/>
                    <w:rPr>
                      <w:rFonts w:eastAsia="宋体"/>
                      <w:color w:val="auto"/>
                      <w:sz w:val="21"/>
                      <w:szCs w:val="21"/>
                      <w:highlight w:val="none"/>
                    </w:rPr>
                  </w:pPr>
                  <w:r>
                    <w:rPr>
                      <w:rFonts w:eastAsia="宋体"/>
                      <w:color w:val="auto"/>
                      <w:sz w:val="21"/>
                      <w:szCs w:val="21"/>
                      <w:highlight w:val="none"/>
                    </w:rPr>
                    <w:t>1</w:t>
                  </w:r>
                </w:p>
              </w:tc>
              <w:tc>
                <w:tcPr>
                  <w:tcW w:w="685" w:type="pct"/>
                  <w:vAlign w:val="center"/>
                </w:tcPr>
                <w:p>
                  <w:pPr>
                    <w:pStyle w:val="46"/>
                    <w:rPr>
                      <w:rFonts w:eastAsia="宋体"/>
                      <w:color w:val="auto"/>
                      <w:sz w:val="21"/>
                      <w:szCs w:val="21"/>
                      <w:highlight w:val="none"/>
                    </w:rPr>
                  </w:pPr>
                  <w:r>
                    <w:rPr>
                      <w:rFonts w:eastAsia="宋体"/>
                      <w:color w:val="auto"/>
                      <w:sz w:val="21"/>
                      <w:szCs w:val="21"/>
                      <w:highlight w:val="none"/>
                    </w:rPr>
                    <w:t>废</w:t>
                  </w:r>
                  <w:r>
                    <w:rPr>
                      <w:rFonts w:hint="eastAsia" w:eastAsia="宋体"/>
                      <w:color w:val="auto"/>
                      <w:sz w:val="21"/>
                      <w:szCs w:val="21"/>
                      <w:highlight w:val="none"/>
                    </w:rPr>
                    <w:t>包装袋</w:t>
                  </w:r>
                </w:p>
              </w:tc>
              <w:tc>
                <w:tcPr>
                  <w:tcW w:w="678" w:type="pct"/>
                  <w:vAlign w:val="center"/>
                </w:tcPr>
                <w:p>
                  <w:pPr>
                    <w:pStyle w:val="46"/>
                    <w:rPr>
                      <w:rFonts w:eastAsia="宋体"/>
                      <w:color w:val="auto"/>
                      <w:sz w:val="21"/>
                      <w:szCs w:val="21"/>
                      <w:highlight w:val="none"/>
                    </w:rPr>
                  </w:pPr>
                  <w:r>
                    <w:rPr>
                      <w:rFonts w:hint="eastAsia" w:eastAsia="宋体"/>
                      <w:color w:val="auto"/>
                      <w:sz w:val="21"/>
                      <w:szCs w:val="21"/>
                      <w:highlight w:val="none"/>
                    </w:rPr>
                    <w:t>原料包装</w:t>
                  </w:r>
                </w:p>
              </w:tc>
              <w:tc>
                <w:tcPr>
                  <w:tcW w:w="634" w:type="pct"/>
                  <w:vAlign w:val="center"/>
                </w:tcPr>
                <w:p>
                  <w:pPr>
                    <w:pStyle w:val="49"/>
                    <w:rPr>
                      <w:rFonts w:eastAsia="宋体"/>
                      <w:b w:val="0"/>
                      <w:bCs/>
                      <w:color w:val="auto"/>
                      <w:sz w:val="21"/>
                      <w:szCs w:val="21"/>
                      <w:highlight w:val="none"/>
                    </w:rPr>
                  </w:pPr>
                  <w:r>
                    <w:rPr>
                      <w:rFonts w:eastAsia="宋体"/>
                      <w:b w:val="0"/>
                      <w:bCs/>
                      <w:color w:val="auto"/>
                      <w:sz w:val="21"/>
                      <w:szCs w:val="21"/>
                      <w:highlight w:val="none"/>
                    </w:rPr>
                    <w:t>一般工业固废</w:t>
                  </w:r>
                </w:p>
              </w:tc>
              <w:tc>
                <w:tcPr>
                  <w:tcW w:w="737" w:type="pct"/>
                  <w:vAlign w:val="center"/>
                </w:tcPr>
                <w:p>
                  <w:pPr>
                    <w:jc w:val="center"/>
                    <w:rPr>
                      <w:b/>
                      <w:color w:val="auto"/>
                      <w:sz w:val="21"/>
                      <w:szCs w:val="21"/>
                      <w:highlight w:val="none"/>
                    </w:rPr>
                  </w:pPr>
                  <w:r>
                    <w:rPr>
                      <w:color w:val="auto"/>
                      <w:kern w:val="0"/>
                      <w:sz w:val="21"/>
                      <w:szCs w:val="21"/>
                      <w:highlight w:val="none"/>
                    </w:rPr>
                    <w:t>900-99-999</w:t>
                  </w:r>
                </w:p>
              </w:tc>
              <w:tc>
                <w:tcPr>
                  <w:tcW w:w="553" w:type="pct"/>
                  <w:vAlign w:val="center"/>
                </w:tcPr>
                <w:p>
                  <w:pPr>
                    <w:pStyle w:val="46"/>
                    <w:rPr>
                      <w:rFonts w:eastAsia="宋体"/>
                      <w:color w:val="auto"/>
                      <w:sz w:val="21"/>
                      <w:szCs w:val="21"/>
                      <w:highlight w:val="none"/>
                    </w:rPr>
                  </w:pPr>
                  <w:r>
                    <w:rPr>
                      <w:rFonts w:hint="eastAsia" w:eastAsia="宋体"/>
                      <w:color w:val="auto"/>
                      <w:sz w:val="21"/>
                      <w:szCs w:val="21"/>
                      <w:highlight w:val="none"/>
                    </w:rPr>
                    <w:t>2.5</w:t>
                  </w:r>
                </w:p>
              </w:tc>
              <w:tc>
                <w:tcPr>
                  <w:tcW w:w="769" w:type="pct"/>
                  <w:vAlign w:val="center"/>
                </w:tcPr>
                <w:p>
                  <w:pPr>
                    <w:pStyle w:val="46"/>
                    <w:rPr>
                      <w:rFonts w:eastAsia="宋体"/>
                      <w:color w:val="auto"/>
                      <w:sz w:val="21"/>
                      <w:szCs w:val="21"/>
                      <w:highlight w:val="none"/>
                    </w:rPr>
                  </w:pPr>
                  <w:r>
                    <w:rPr>
                      <w:rFonts w:hint="eastAsia" w:eastAsia="宋体"/>
                      <w:color w:val="auto"/>
                      <w:sz w:val="21"/>
                      <w:szCs w:val="21"/>
                      <w:highlight w:val="none"/>
                    </w:rPr>
                    <w:t>外售</w:t>
                  </w:r>
                </w:p>
              </w:tc>
              <w:tc>
                <w:tcPr>
                  <w:tcW w:w="599" w:type="pct"/>
                  <w:vAlign w:val="center"/>
                </w:tcPr>
                <w:p>
                  <w:pPr>
                    <w:pStyle w:val="49"/>
                    <w:rPr>
                      <w:rFonts w:eastAsia="宋体"/>
                      <w:b w:val="0"/>
                      <w:bCs/>
                      <w:color w:val="auto"/>
                      <w:sz w:val="21"/>
                      <w:szCs w:val="21"/>
                      <w:highlight w:val="none"/>
                    </w:rPr>
                  </w:pPr>
                  <w:r>
                    <w:rPr>
                      <w:rFonts w:hint="eastAsia" w:eastAsia="宋体"/>
                      <w:b w:val="0"/>
                      <w:bCs/>
                      <w:color w:val="auto"/>
                      <w:sz w:val="21"/>
                      <w:szCs w:val="21"/>
                      <w:highlight w:val="none"/>
                    </w:rPr>
                    <w:t>物资回收公司</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1" w:type="pct"/>
                  <w:vAlign w:val="center"/>
                </w:tcPr>
                <w:p>
                  <w:pPr>
                    <w:pStyle w:val="46"/>
                    <w:rPr>
                      <w:rFonts w:eastAsia="宋体"/>
                      <w:color w:val="auto"/>
                      <w:sz w:val="21"/>
                      <w:szCs w:val="21"/>
                      <w:highlight w:val="none"/>
                    </w:rPr>
                  </w:pPr>
                  <w:r>
                    <w:rPr>
                      <w:rFonts w:hint="eastAsia" w:eastAsia="宋体"/>
                      <w:color w:val="auto"/>
                      <w:sz w:val="21"/>
                      <w:szCs w:val="21"/>
                      <w:highlight w:val="none"/>
                    </w:rPr>
                    <w:t>2</w:t>
                  </w:r>
                </w:p>
              </w:tc>
              <w:tc>
                <w:tcPr>
                  <w:tcW w:w="685" w:type="pct"/>
                  <w:vAlign w:val="center"/>
                </w:tcPr>
                <w:p>
                  <w:pPr>
                    <w:pStyle w:val="46"/>
                    <w:rPr>
                      <w:rFonts w:eastAsia="宋体"/>
                      <w:bCs/>
                      <w:color w:val="auto"/>
                      <w:sz w:val="21"/>
                      <w:szCs w:val="21"/>
                      <w:highlight w:val="none"/>
                    </w:rPr>
                  </w:pPr>
                  <w:r>
                    <w:rPr>
                      <w:rFonts w:hint="eastAsia" w:eastAsia="宋体"/>
                      <w:color w:val="auto"/>
                      <w:sz w:val="21"/>
                      <w:szCs w:val="21"/>
                      <w:highlight w:val="none"/>
                    </w:rPr>
                    <w:t>废活性炭</w:t>
                  </w:r>
                </w:p>
              </w:tc>
              <w:tc>
                <w:tcPr>
                  <w:tcW w:w="678" w:type="pct"/>
                  <w:vAlign w:val="center"/>
                </w:tcPr>
                <w:p>
                  <w:pPr>
                    <w:pStyle w:val="46"/>
                    <w:rPr>
                      <w:rFonts w:eastAsia="宋体"/>
                      <w:color w:val="auto"/>
                      <w:sz w:val="21"/>
                      <w:szCs w:val="21"/>
                      <w:highlight w:val="none"/>
                    </w:rPr>
                  </w:pPr>
                  <w:r>
                    <w:rPr>
                      <w:rFonts w:hint="eastAsia" w:eastAsia="宋体"/>
                      <w:color w:val="auto"/>
                      <w:sz w:val="21"/>
                      <w:szCs w:val="21"/>
                      <w:highlight w:val="none"/>
                    </w:rPr>
                    <w:t>废气处理</w:t>
                  </w:r>
                </w:p>
              </w:tc>
              <w:tc>
                <w:tcPr>
                  <w:tcW w:w="634" w:type="pct"/>
                  <w:vAlign w:val="center"/>
                </w:tcPr>
                <w:p>
                  <w:pPr>
                    <w:pStyle w:val="49"/>
                    <w:rPr>
                      <w:rFonts w:eastAsia="宋体"/>
                      <w:b w:val="0"/>
                      <w:bCs/>
                      <w:color w:val="auto"/>
                      <w:sz w:val="21"/>
                      <w:szCs w:val="21"/>
                      <w:highlight w:val="none"/>
                    </w:rPr>
                  </w:pPr>
                  <w:r>
                    <w:rPr>
                      <w:rFonts w:hint="eastAsia" w:eastAsia="宋体"/>
                      <w:b w:val="0"/>
                      <w:bCs/>
                      <w:color w:val="auto"/>
                      <w:sz w:val="21"/>
                      <w:szCs w:val="21"/>
                      <w:highlight w:val="none"/>
                    </w:rPr>
                    <w:t>危险废物</w:t>
                  </w:r>
                </w:p>
              </w:tc>
              <w:tc>
                <w:tcPr>
                  <w:tcW w:w="737" w:type="pct"/>
                  <w:vAlign w:val="center"/>
                </w:tcPr>
                <w:p>
                  <w:pPr>
                    <w:jc w:val="center"/>
                    <w:rPr>
                      <w:bCs/>
                      <w:color w:val="auto"/>
                      <w:sz w:val="21"/>
                      <w:szCs w:val="21"/>
                      <w:highlight w:val="none"/>
                    </w:rPr>
                  </w:pPr>
                  <w:r>
                    <w:rPr>
                      <w:color w:val="auto"/>
                      <w:sz w:val="21"/>
                      <w:szCs w:val="21"/>
                      <w:highlight w:val="none"/>
                    </w:rPr>
                    <w:t>900-039-49</w:t>
                  </w:r>
                </w:p>
              </w:tc>
              <w:tc>
                <w:tcPr>
                  <w:tcW w:w="553" w:type="pct"/>
                  <w:vAlign w:val="center"/>
                </w:tcPr>
                <w:p>
                  <w:pPr>
                    <w:pStyle w:val="46"/>
                    <w:rPr>
                      <w:rFonts w:hint="default" w:eastAsia="宋体"/>
                      <w:color w:val="auto"/>
                      <w:sz w:val="21"/>
                      <w:szCs w:val="21"/>
                      <w:highlight w:val="none"/>
                      <w:lang w:val="en-US" w:eastAsia="zh-CN"/>
                    </w:rPr>
                  </w:pPr>
                  <w:r>
                    <w:rPr>
                      <w:rFonts w:hint="eastAsia" w:eastAsia="宋体"/>
                      <w:color w:val="auto"/>
                      <w:kern w:val="0"/>
                      <w:sz w:val="21"/>
                      <w:szCs w:val="21"/>
                      <w:highlight w:val="none"/>
                      <w:lang w:val="en-US" w:eastAsia="zh-CN"/>
                    </w:rPr>
                    <w:t>2.748</w:t>
                  </w:r>
                </w:p>
              </w:tc>
              <w:tc>
                <w:tcPr>
                  <w:tcW w:w="769" w:type="pct"/>
                  <w:vAlign w:val="center"/>
                </w:tcPr>
                <w:p>
                  <w:pPr>
                    <w:pStyle w:val="46"/>
                    <w:rPr>
                      <w:rFonts w:eastAsia="宋体"/>
                      <w:color w:val="auto"/>
                      <w:kern w:val="0"/>
                      <w:sz w:val="21"/>
                      <w:szCs w:val="21"/>
                      <w:highlight w:val="none"/>
                    </w:rPr>
                  </w:pPr>
                  <w:r>
                    <w:rPr>
                      <w:rFonts w:hint="eastAsia" w:eastAsia="宋体"/>
                      <w:color w:val="auto"/>
                      <w:kern w:val="0"/>
                      <w:sz w:val="21"/>
                      <w:szCs w:val="21"/>
                      <w:highlight w:val="none"/>
                    </w:rPr>
                    <w:t>委托有资质单位处置</w:t>
                  </w:r>
                </w:p>
              </w:tc>
              <w:tc>
                <w:tcPr>
                  <w:tcW w:w="599" w:type="pct"/>
                  <w:vAlign w:val="center"/>
                </w:tcPr>
                <w:p>
                  <w:pPr>
                    <w:pStyle w:val="49"/>
                    <w:rPr>
                      <w:rFonts w:eastAsia="宋体"/>
                      <w:b w:val="0"/>
                      <w:bCs/>
                      <w:color w:val="auto"/>
                      <w:sz w:val="21"/>
                      <w:szCs w:val="21"/>
                      <w:highlight w:val="none"/>
                    </w:rPr>
                  </w:pPr>
                  <w:r>
                    <w:rPr>
                      <w:rFonts w:hint="eastAsia" w:eastAsia="宋体"/>
                      <w:b w:val="0"/>
                      <w:bCs/>
                      <w:color w:val="auto"/>
                      <w:sz w:val="21"/>
                      <w:szCs w:val="21"/>
                      <w:highlight w:val="none"/>
                    </w:rPr>
                    <w:t>有资质单位</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41" w:type="pct"/>
                  <w:vAlign w:val="center"/>
                </w:tcPr>
                <w:p>
                  <w:pPr>
                    <w:pStyle w:val="46"/>
                    <w:rPr>
                      <w:rFonts w:eastAsia="宋体"/>
                      <w:color w:val="auto"/>
                      <w:sz w:val="21"/>
                      <w:szCs w:val="21"/>
                      <w:highlight w:val="none"/>
                    </w:rPr>
                  </w:pPr>
                  <w:r>
                    <w:rPr>
                      <w:rFonts w:hint="eastAsia" w:eastAsia="宋体"/>
                      <w:color w:val="auto"/>
                      <w:sz w:val="21"/>
                      <w:szCs w:val="21"/>
                      <w:highlight w:val="none"/>
                    </w:rPr>
                    <w:t>3</w:t>
                  </w:r>
                </w:p>
              </w:tc>
              <w:tc>
                <w:tcPr>
                  <w:tcW w:w="685" w:type="pct"/>
                  <w:vAlign w:val="center"/>
                </w:tcPr>
                <w:p>
                  <w:pPr>
                    <w:pStyle w:val="46"/>
                    <w:rPr>
                      <w:rFonts w:eastAsia="宋体"/>
                      <w:color w:val="auto"/>
                      <w:sz w:val="21"/>
                      <w:szCs w:val="21"/>
                      <w:highlight w:val="none"/>
                    </w:rPr>
                  </w:pPr>
                  <w:r>
                    <w:rPr>
                      <w:rFonts w:eastAsia="宋体"/>
                      <w:bCs/>
                      <w:color w:val="auto"/>
                      <w:sz w:val="21"/>
                      <w:szCs w:val="21"/>
                      <w:highlight w:val="none"/>
                    </w:rPr>
                    <w:t>生活垃圾</w:t>
                  </w:r>
                </w:p>
              </w:tc>
              <w:tc>
                <w:tcPr>
                  <w:tcW w:w="678" w:type="pct"/>
                  <w:vAlign w:val="center"/>
                </w:tcPr>
                <w:p>
                  <w:pPr>
                    <w:pStyle w:val="46"/>
                    <w:rPr>
                      <w:rFonts w:eastAsia="宋体"/>
                      <w:bCs/>
                      <w:color w:val="auto"/>
                      <w:sz w:val="21"/>
                      <w:szCs w:val="21"/>
                      <w:highlight w:val="none"/>
                    </w:rPr>
                  </w:pPr>
                  <w:r>
                    <w:rPr>
                      <w:rFonts w:eastAsia="宋体"/>
                      <w:color w:val="auto"/>
                      <w:sz w:val="21"/>
                      <w:szCs w:val="21"/>
                      <w:highlight w:val="none"/>
                    </w:rPr>
                    <w:t>员工生活</w:t>
                  </w:r>
                </w:p>
              </w:tc>
              <w:tc>
                <w:tcPr>
                  <w:tcW w:w="634" w:type="pct"/>
                  <w:vAlign w:val="center"/>
                </w:tcPr>
                <w:p>
                  <w:pPr>
                    <w:pStyle w:val="49"/>
                    <w:rPr>
                      <w:rFonts w:eastAsia="宋体"/>
                      <w:b w:val="0"/>
                      <w:bCs/>
                      <w:color w:val="auto"/>
                      <w:sz w:val="21"/>
                      <w:szCs w:val="21"/>
                      <w:highlight w:val="none"/>
                    </w:rPr>
                  </w:pPr>
                  <w:r>
                    <w:rPr>
                      <w:rFonts w:hint="eastAsia" w:eastAsia="宋体"/>
                      <w:b w:val="0"/>
                      <w:bCs/>
                      <w:color w:val="auto"/>
                      <w:sz w:val="21"/>
                      <w:szCs w:val="21"/>
                      <w:highlight w:val="none"/>
                    </w:rPr>
                    <w:t>--</w:t>
                  </w:r>
                </w:p>
              </w:tc>
              <w:tc>
                <w:tcPr>
                  <w:tcW w:w="737" w:type="pct"/>
                  <w:vAlign w:val="center"/>
                </w:tcPr>
                <w:p>
                  <w:pPr>
                    <w:tabs>
                      <w:tab w:val="left" w:pos="2227"/>
                    </w:tabs>
                    <w:jc w:val="center"/>
                    <w:rPr>
                      <w:bCs/>
                      <w:color w:val="auto"/>
                      <w:sz w:val="21"/>
                      <w:szCs w:val="21"/>
                      <w:highlight w:val="none"/>
                    </w:rPr>
                  </w:pPr>
                  <w:r>
                    <w:rPr>
                      <w:color w:val="auto"/>
                      <w:sz w:val="21"/>
                      <w:szCs w:val="21"/>
                      <w:highlight w:val="none"/>
                      <w:lang w:bidi="ar"/>
                    </w:rPr>
                    <w:t>/</w:t>
                  </w:r>
                </w:p>
              </w:tc>
              <w:tc>
                <w:tcPr>
                  <w:tcW w:w="553" w:type="pct"/>
                  <w:vAlign w:val="center"/>
                </w:tcPr>
                <w:p>
                  <w:pPr>
                    <w:pStyle w:val="46"/>
                    <w:rPr>
                      <w:rFonts w:eastAsia="宋体"/>
                      <w:color w:val="auto"/>
                      <w:sz w:val="21"/>
                      <w:szCs w:val="21"/>
                      <w:highlight w:val="none"/>
                    </w:rPr>
                  </w:pPr>
                  <w:r>
                    <w:rPr>
                      <w:rFonts w:hint="eastAsia" w:eastAsia="宋体"/>
                      <w:color w:val="auto"/>
                      <w:kern w:val="0"/>
                      <w:sz w:val="21"/>
                      <w:szCs w:val="21"/>
                      <w:highlight w:val="none"/>
                    </w:rPr>
                    <w:t>45</w:t>
                  </w:r>
                </w:p>
              </w:tc>
              <w:tc>
                <w:tcPr>
                  <w:tcW w:w="769" w:type="pct"/>
                  <w:vAlign w:val="center"/>
                </w:tcPr>
                <w:p>
                  <w:pPr>
                    <w:pStyle w:val="46"/>
                    <w:rPr>
                      <w:rFonts w:eastAsia="宋体"/>
                      <w:color w:val="auto"/>
                      <w:kern w:val="0"/>
                      <w:sz w:val="21"/>
                      <w:szCs w:val="21"/>
                      <w:highlight w:val="none"/>
                    </w:rPr>
                  </w:pPr>
                  <w:r>
                    <w:rPr>
                      <w:rFonts w:hint="eastAsia" w:eastAsia="宋体"/>
                      <w:color w:val="auto"/>
                      <w:kern w:val="0"/>
                      <w:sz w:val="21"/>
                      <w:szCs w:val="21"/>
                      <w:highlight w:val="none"/>
                    </w:rPr>
                    <w:t>环卫清运</w:t>
                  </w:r>
                </w:p>
              </w:tc>
              <w:tc>
                <w:tcPr>
                  <w:tcW w:w="599" w:type="pct"/>
                  <w:vAlign w:val="center"/>
                </w:tcPr>
                <w:p>
                  <w:pPr>
                    <w:pStyle w:val="49"/>
                    <w:rPr>
                      <w:rFonts w:eastAsia="宋体"/>
                      <w:b w:val="0"/>
                      <w:bCs/>
                      <w:color w:val="auto"/>
                      <w:sz w:val="21"/>
                      <w:szCs w:val="21"/>
                      <w:highlight w:val="none"/>
                    </w:rPr>
                  </w:pPr>
                  <w:r>
                    <w:rPr>
                      <w:rFonts w:hint="eastAsia" w:eastAsia="宋体"/>
                      <w:b w:val="0"/>
                      <w:bCs/>
                      <w:color w:val="auto"/>
                      <w:sz w:val="21"/>
                      <w:szCs w:val="21"/>
                      <w:highlight w:val="none"/>
                    </w:rPr>
                    <w:t>环卫部门</w:t>
                  </w:r>
                </w:p>
              </w:tc>
            </w:tr>
          </w:tbl>
          <w:p>
            <w:pPr>
              <w:pStyle w:val="37"/>
              <w:keepNext w:val="0"/>
              <w:keepLines w:val="0"/>
              <w:pageBreakBefore w:val="0"/>
              <w:widowControl w:val="0"/>
              <w:kinsoku/>
              <w:wordWrap/>
              <w:overflowPunct/>
              <w:topLinePunct w:val="0"/>
              <w:autoSpaceDE/>
              <w:autoSpaceDN/>
              <w:bidi w:val="0"/>
              <w:adjustRightInd/>
              <w:snapToGrid/>
              <w:spacing w:before="157" w:beforeLines="50" w:line="360" w:lineRule="auto"/>
              <w:ind w:firstLine="482"/>
              <w:textAlignment w:val="auto"/>
              <w:rPr>
                <w:rFonts w:eastAsia="宋体"/>
                <w:b/>
                <w:bCs/>
                <w:color w:val="auto"/>
                <w:sz w:val="21"/>
                <w:szCs w:val="21"/>
                <w:highlight w:val="none"/>
              </w:rPr>
            </w:pPr>
            <w:r>
              <w:rPr>
                <w:rFonts w:eastAsia="宋体"/>
                <w:b/>
                <w:bCs/>
                <w:color w:val="auto"/>
                <w:sz w:val="21"/>
                <w:szCs w:val="21"/>
                <w:highlight w:val="none"/>
              </w:rPr>
              <w:t>4、固体废物防治措施：</w:t>
            </w:r>
          </w:p>
          <w:p>
            <w:pPr>
              <w:adjustRightInd w:val="0"/>
              <w:snapToGrid w:val="0"/>
              <w:spacing w:line="360" w:lineRule="auto"/>
              <w:ind w:firstLine="420" w:firstLineChars="200"/>
              <w:rPr>
                <w:color w:val="auto"/>
                <w:kern w:val="0"/>
                <w:sz w:val="21"/>
                <w:szCs w:val="21"/>
                <w:highlight w:val="none"/>
              </w:rPr>
            </w:pPr>
            <w:r>
              <w:rPr>
                <w:rFonts w:hint="eastAsia"/>
                <w:color w:val="auto"/>
                <w:kern w:val="0"/>
                <w:sz w:val="21"/>
                <w:szCs w:val="21"/>
                <w:highlight w:val="none"/>
              </w:rPr>
              <w:t>本项目产生的一般工业固体废物主要为废包装袋外售处置；产生的危险废物主要是</w:t>
            </w:r>
            <w:r>
              <w:rPr>
                <w:rFonts w:hint="eastAsia"/>
                <w:color w:val="auto"/>
                <w:sz w:val="21"/>
                <w:szCs w:val="21"/>
                <w:highlight w:val="none"/>
                <w:lang w:bidi="ar"/>
              </w:rPr>
              <w:t>废活性炭（</w:t>
            </w:r>
            <w:r>
              <w:rPr>
                <w:color w:val="auto"/>
                <w:kern w:val="18"/>
                <w:sz w:val="21"/>
                <w:szCs w:val="21"/>
                <w:highlight w:val="none"/>
                <w:lang w:bidi="ar"/>
              </w:rPr>
              <w:t>HW49</w:t>
            </w:r>
            <w:r>
              <w:rPr>
                <w:rFonts w:hint="eastAsia"/>
                <w:color w:val="auto"/>
                <w:sz w:val="21"/>
                <w:szCs w:val="21"/>
                <w:highlight w:val="none"/>
                <w:lang w:bidi="ar"/>
              </w:rPr>
              <w:t>）</w:t>
            </w:r>
            <w:r>
              <w:rPr>
                <w:rFonts w:hint="eastAsia"/>
                <w:color w:val="auto"/>
                <w:sz w:val="21"/>
                <w:szCs w:val="21"/>
                <w:highlight w:val="none"/>
              </w:rPr>
              <w:t>收集后委托有资质单位处置</w:t>
            </w:r>
            <w:r>
              <w:rPr>
                <w:rFonts w:hint="eastAsia"/>
                <w:color w:val="auto"/>
                <w:kern w:val="0"/>
                <w:sz w:val="21"/>
                <w:szCs w:val="21"/>
                <w:highlight w:val="none"/>
              </w:rPr>
              <w:t>；</w:t>
            </w:r>
            <w:r>
              <w:rPr>
                <w:rFonts w:hint="eastAsia"/>
                <w:color w:val="auto"/>
                <w:sz w:val="21"/>
                <w:szCs w:val="21"/>
                <w:highlight w:val="none"/>
                <w:lang w:bidi="ar"/>
              </w:rPr>
              <w:t>生活垃圾委托环卫部门清运</w:t>
            </w:r>
            <w:r>
              <w:rPr>
                <w:rFonts w:hint="eastAsia"/>
                <w:color w:val="auto"/>
                <w:kern w:val="0"/>
                <w:sz w:val="21"/>
                <w:szCs w:val="21"/>
                <w:highlight w:val="none"/>
              </w:rPr>
              <w:t>。</w:t>
            </w:r>
          </w:p>
          <w:p>
            <w:pPr>
              <w:numPr>
                <w:ilvl w:val="0"/>
                <w:numId w:val="8"/>
              </w:numPr>
              <w:adjustRightInd w:val="0"/>
              <w:snapToGrid w:val="0"/>
              <w:spacing w:line="360" w:lineRule="auto"/>
              <w:ind w:firstLine="422" w:firstLineChars="200"/>
              <w:rPr>
                <w:b/>
                <w:bCs/>
                <w:color w:val="auto"/>
                <w:sz w:val="21"/>
                <w:szCs w:val="21"/>
                <w:highlight w:val="none"/>
              </w:rPr>
            </w:pPr>
            <w:r>
              <w:rPr>
                <w:b/>
                <w:bCs/>
                <w:color w:val="auto"/>
                <w:sz w:val="21"/>
                <w:szCs w:val="21"/>
                <w:highlight w:val="none"/>
              </w:rPr>
              <w:t>危险废物污染防治措施</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color w:val="auto"/>
                <w:sz w:val="21"/>
                <w:szCs w:val="21"/>
                <w:highlight w:val="none"/>
              </w:rPr>
            </w:pPr>
            <w:r>
              <w:rPr>
                <w:color w:val="auto"/>
                <w:sz w:val="21"/>
                <w:szCs w:val="21"/>
                <w:highlight w:val="none"/>
              </w:rPr>
              <w:t>厂区设置1个危废仓库对危险固废进行安全暂存，建筑面积约为</w:t>
            </w:r>
            <w:r>
              <w:rPr>
                <w:rFonts w:hint="eastAsia"/>
                <w:color w:val="auto"/>
                <w:sz w:val="21"/>
                <w:szCs w:val="21"/>
                <w:highlight w:val="none"/>
                <w:lang w:val="en-US" w:eastAsia="zh-CN"/>
              </w:rPr>
              <w:t>5</w:t>
            </w:r>
            <w:r>
              <w:rPr>
                <w:color w:val="auto"/>
                <w:sz w:val="21"/>
                <w:szCs w:val="21"/>
                <w:highlight w:val="none"/>
              </w:rPr>
              <w:t>m</w:t>
            </w:r>
            <w:r>
              <w:rPr>
                <w:color w:val="auto"/>
                <w:sz w:val="21"/>
                <w:szCs w:val="21"/>
                <w:highlight w:val="none"/>
                <w:vertAlign w:val="superscript"/>
              </w:rPr>
              <w:t>2</w:t>
            </w:r>
            <w:r>
              <w:rPr>
                <w:color w:val="auto"/>
                <w:sz w:val="21"/>
                <w:szCs w:val="21"/>
                <w:highlight w:val="none"/>
              </w:rPr>
              <w:t>，危险废物贮存场所基本情况详见下表。</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b/>
                <w:color w:val="auto"/>
                <w:sz w:val="21"/>
                <w:szCs w:val="21"/>
                <w:highlight w:val="none"/>
              </w:rPr>
            </w:pPr>
            <w:r>
              <w:rPr>
                <w:b/>
                <w:color w:val="auto"/>
                <w:sz w:val="21"/>
                <w:szCs w:val="21"/>
                <w:highlight w:val="none"/>
              </w:rPr>
              <w:t>表4-2</w:t>
            </w:r>
            <w:r>
              <w:rPr>
                <w:rFonts w:hint="eastAsia"/>
                <w:b/>
                <w:color w:val="auto"/>
                <w:sz w:val="21"/>
                <w:szCs w:val="21"/>
                <w:highlight w:val="none"/>
                <w:lang w:val="en-US" w:eastAsia="zh-CN"/>
              </w:rPr>
              <w:t>6</w:t>
            </w:r>
            <w:r>
              <w:rPr>
                <w:b/>
                <w:color w:val="auto"/>
                <w:sz w:val="21"/>
                <w:szCs w:val="21"/>
                <w:highlight w:val="none"/>
              </w:rPr>
              <w:t xml:space="preserve"> 危险废物贮存场所基本情况表</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0" w:type="dxa"/>
                <w:bottom w:w="0" w:type="dxa"/>
                <w:right w:w="0" w:type="dxa"/>
              </w:tblCellMar>
            </w:tblPr>
            <w:tblGrid>
              <w:gridCol w:w="426"/>
              <w:gridCol w:w="946"/>
              <w:gridCol w:w="1037"/>
              <w:gridCol w:w="752"/>
              <w:gridCol w:w="778"/>
              <w:gridCol w:w="803"/>
              <w:gridCol w:w="920"/>
              <w:gridCol w:w="686"/>
              <w:gridCol w:w="684"/>
              <w:gridCol w:w="703"/>
              <w:gridCol w:w="746"/>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251" w:type="pct"/>
                  <w:vAlign w:val="center"/>
                </w:tcPr>
                <w:p>
                  <w:pPr>
                    <w:pStyle w:val="55"/>
                    <w:rPr>
                      <w:b/>
                      <w:color w:val="auto"/>
                      <w:kern w:val="2"/>
                      <w:sz w:val="21"/>
                      <w:szCs w:val="21"/>
                      <w:highlight w:val="none"/>
                    </w:rPr>
                  </w:pPr>
                  <w:r>
                    <w:rPr>
                      <w:b/>
                      <w:color w:val="auto"/>
                      <w:kern w:val="2"/>
                      <w:sz w:val="21"/>
                      <w:szCs w:val="21"/>
                      <w:highlight w:val="none"/>
                    </w:rPr>
                    <w:t>序号</w:t>
                  </w:r>
                </w:p>
              </w:tc>
              <w:tc>
                <w:tcPr>
                  <w:tcW w:w="557" w:type="pct"/>
                  <w:vAlign w:val="center"/>
                </w:tcPr>
                <w:p>
                  <w:pPr>
                    <w:pStyle w:val="55"/>
                    <w:rPr>
                      <w:b/>
                      <w:color w:val="auto"/>
                      <w:kern w:val="2"/>
                      <w:sz w:val="21"/>
                      <w:szCs w:val="21"/>
                      <w:highlight w:val="none"/>
                    </w:rPr>
                  </w:pPr>
                  <w:r>
                    <w:rPr>
                      <w:b/>
                      <w:color w:val="auto"/>
                      <w:kern w:val="2"/>
                      <w:sz w:val="21"/>
                      <w:szCs w:val="21"/>
                      <w:highlight w:val="none"/>
                    </w:rPr>
                    <w:t>固体废物名称</w:t>
                  </w:r>
                </w:p>
              </w:tc>
              <w:tc>
                <w:tcPr>
                  <w:tcW w:w="611" w:type="pct"/>
                  <w:vAlign w:val="center"/>
                </w:tcPr>
                <w:p>
                  <w:pPr>
                    <w:pStyle w:val="55"/>
                    <w:rPr>
                      <w:b/>
                      <w:color w:val="auto"/>
                      <w:kern w:val="2"/>
                      <w:sz w:val="21"/>
                      <w:szCs w:val="21"/>
                      <w:highlight w:val="none"/>
                    </w:rPr>
                  </w:pPr>
                  <w:r>
                    <w:rPr>
                      <w:b/>
                      <w:color w:val="auto"/>
                      <w:kern w:val="2"/>
                      <w:sz w:val="21"/>
                      <w:szCs w:val="21"/>
                      <w:highlight w:val="none"/>
                    </w:rPr>
                    <w:t>贮存场所</w:t>
                  </w:r>
                </w:p>
              </w:tc>
              <w:tc>
                <w:tcPr>
                  <w:tcW w:w="443" w:type="pct"/>
                  <w:vAlign w:val="center"/>
                </w:tcPr>
                <w:p>
                  <w:pPr>
                    <w:pStyle w:val="55"/>
                    <w:rPr>
                      <w:b/>
                      <w:color w:val="auto"/>
                      <w:kern w:val="2"/>
                      <w:sz w:val="21"/>
                      <w:szCs w:val="21"/>
                      <w:highlight w:val="none"/>
                    </w:rPr>
                  </w:pPr>
                  <w:r>
                    <w:rPr>
                      <w:b/>
                      <w:color w:val="auto"/>
                      <w:kern w:val="2"/>
                      <w:sz w:val="21"/>
                      <w:szCs w:val="21"/>
                      <w:highlight w:val="none"/>
                    </w:rPr>
                    <w:t>危废类别</w:t>
                  </w:r>
                </w:p>
              </w:tc>
              <w:tc>
                <w:tcPr>
                  <w:tcW w:w="458" w:type="pct"/>
                  <w:vAlign w:val="center"/>
                </w:tcPr>
                <w:p>
                  <w:pPr>
                    <w:pStyle w:val="55"/>
                    <w:rPr>
                      <w:b/>
                      <w:color w:val="auto"/>
                      <w:kern w:val="2"/>
                      <w:sz w:val="21"/>
                      <w:szCs w:val="21"/>
                      <w:highlight w:val="none"/>
                    </w:rPr>
                  </w:pPr>
                  <w:r>
                    <w:rPr>
                      <w:b/>
                      <w:color w:val="auto"/>
                      <w:kern w:val="2"/>
                      <w:sz w:val="21"/>
                      <w:szCs w:val="21"/>
                      <w:highlight w:val="none"/>
                    </w:rPr>
                    <w:t>废物代码</w:t>
                  </w:r>
                </w:p>
              </w:tc>
              <w:tc>
                <w:tcPr>
                  <w:tcW w:w="473" w:type="pct"/>
                  <w:vAlign w:val="center"/>
                </w:tcPr>
                <w:p>
                  <w:pPr>
                    <w:pStyle w:val="55"/>
                    <w:rPr>
                      <w:b/>
                      <w:color w:val="auto"/>
                      <w:kern w:val="2"/>
                      <w:sz w:val="21"/>
                      <w:szCs w:val="21"/>
                      <w:highlight w:val="none"/>
                    </w:rPr>
                  </w:pPr>
                  <w:r>
                    <w:rPr>
                      <w:b/>
                      <w:color w:val="auto"/>
                      <w:kern w:val="2"/>
                      <w:sz w:val="21"/>
                      <w:szCs w:val="21"/>
                      <w:highlight w:val="none"/>
                    </w:rPr>
                    <w:t>产生量（t/a）</w:t>
                  </w:r>
                </w:p>
              </w:tc>
              <w:tc>
                <w:tcPr>
                  <w:tcW w:w="542" w:type="pct"/>
                  <w:tcBorders>
                    <w:right w:val="single" w:color="auto" w:sz="4" w:space="0"/>
                  </w:tcBorders>
                  <w:vAlign w:val="center"/>
                </w:tcPr>
                <w:p>
                  <w:pPr>
                    <w:pStyle w:val="55"/>
                    <w:rPr>
                      <w:b/>
                      <w:color w:val="auto"/>
                      <w:kern w:val="2"/>
                      <w:sz w:val="21"/>
                      <w:szCs w:val="21"/>
                      <w:highlight w:val="none"/>
                    </w:rPr>
                  </w:pPr>
                  <w:r>
                    <w:rPr>
                      <w:rFonts w:hint="eastAsia"/>
                      <w:b/>
                      <w:color w:val="auto"/>
                      <w:kern w:val="2"/>
                      <w:sz w:val="21"/>
                      <w:szCs w:val="21"/>
                      <w:highlight w:val="none"/>
                    </w:rPr>
                    <w:t>最大贮存量</w:t>
                  </w:r>
                  <w:r>
                    <w:rPr>
                      <w:b/>
                      <w:color w:val="auto"/>
                      <w:kern w:val="2"/>
                      <w:sz w:val="21"/>
                      <w:szCs w:val="21"/>
                      <w:highlight w:val="none"/>
                    </w:rPr>
                    <w:t>（t）</w:t>
                  </w:r>
                </w:p>
              </w:tc>
              <w:tc>
                <w:tcPr>
                  <w:tcW w:w="404" w:type="pct"/>
                  <w:tcBorders>
                    <w:left w:val="single" w:color="auto" w:sz="4" w:space="0"/>
                  </w:tcBorders>
                  <w:vAlign w:val="center"/>
                </w:tcPr>
                <w:p>
                  <w:pPr>
                    <w:pStyle w:val="55"/>
                    <w:rPr>
                      <w:b/>
                      <w:color w:val="auto"/>
                      <w:kern w:val="2"/>
                      <w:sz w:val="21"/>
                      <w:szCs w:val="21"/>
                      <w:highlight w:val="none"/>
                    </w:rPr>
                  </w:pPr>
                  <w:r>
                    <w:rPr>
                      <w:b/>
                      <w:color w:val="auto"/>
                      <w:kern w:val="2"/>
                      <w:sz w:val="21"/>
                      <w:szCs w:val="21"/>
                      <w:highlight w:val="none"/>
                    </w:rPr>
                    <w:t>占地面积m</w:t>
                  </w:r>
                  <w:r>
                    <w:rPr>
                      <w:b/>
                      <w:color w:val="auto"/>
                      <w:kern w:val="2"/>
                      <w:sz w:val="21"/>
                      <w:szCs w:val="21"/>
                      <w:highlight w:val="none"/>
                      <w:vertAlign w:val="superscript"/>
                    </w:rPr>
                    <w:t>2</w:t>
                  </w:r>
                </w:p>
              </w:tc>
              <w:tc>
                <w:tcPr>
                  <w:tcW w:w="403" w:type="pct"/>
                  <w:vAlign w:val="center"/>
                </w:tcPr>
                <w:p>
                  <w:pPr>
                    <w:pStyle w:val="55"/>
                    <w:rPr>
                      <w:b/>
                      <w:color w:val="auto"/>
                      <w:kern w:val="2"/>
                      <w:sz w:val="21"/>
                      <w:szCs w:val="21"/>
                      <w:highlight w:val="none"/>
                    </w:rPr>
                  </w:pPr>
                  <w:r>
                    <w:rPr>
                      <w:b/>
                      <w:color w:val="auto"/>
                      <w:kern w:val="2"/>
                      <w:sz w:val="21"/>
                      <w:szCs w:val="21"/>
                      <w:highlight w:val="none"/>
                    </w:rPr>
                    <w:t>贮存方式</w:t>
                  </w:r>
                </w:p>
              </w:tc>
              <w:tc>
                <w:tcPr>
                  <w:tcW w:w="414" w:type="pct"/>
                  <w:vAlign w:val="center"/>
                </w:tcPr>
                <w:p>
                  <w:pPr>
                    <w:pStyle w:val="55"/>
                    <w:rPr>
                      <w:b/>
                      <w:color w:val="auto"/>
                      <w:kern w:val="2"/>
                      <w:sz w:val="21"/>
                      <w:szCs w:val="21"/>
                      <w:highlight w:val="none"/>
                    </w:rPr>
                  </w:pPr>
                  <w:r>
                    <w:rPr>
                      <w:b/>
                      <w:color w:val="auto"/>
                      <w:kern w:val="2"/>
                      <w:sz w:val="21"/>
                      <w:szCs w:val="21"/>
                      <w:highlight w:val="none"/>
                    </w:rPr>
                    <w:t>贮存能力t</w:t>
                  </w:r>
                </w:p>
              </w:tc>
              <w:tc>
                <w:tcPr>
                  <w:tcW w:w="439" w:type="pct"/>
                  <w:vAlign w:val="center"/>
                </w:tcPr>
                <w:p>
                  <w:pPr>
                    <w:pStyle w:val="55"/>
                    <w:rPr>
                      <w:b/>
                      <w:color w:val="auto"/>
                      <w:kern w:val="2"/>
                      <w:sz w:val="21"/>
                      <w:szCs w:val="21"/>
                      <w:highlight w:val="none"/>
                    </w:rPr>
                  </w:pPr>
                  <w:r>
                    <w:rPr>
                      <w:b/>
                      <w:color w:val="auto"/>
                      <w:kern w:val="2"/>
                      <w:sz w:val="21"/>
                      <w:szCs w:val="21"/>
                      <w:highlight w:val="none"/>
                    </w:rPr>
                    <w:t>贮存周期</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251" w:type="pct"/>
                  <w:vAlign w:val="center"/>
                </w:tcPr>
                <w:p>
                  <w:pPr>
                    <w:pStyle w:val="55"/>
                    <w:rPr>
                      <w:bCs/>
                      <w:color w:val="auto"/>
                      <w:kern w:val="2"/>
                      <w:sz w:val="21"/>
                      <w:szCs w:val="21"/>
                      <w:highlight w:val="none"/>
                    </w:rPr>
                  </w:pPr>
                  <w:r>
                    <w:rPr>
                      <w:rFonts w:hint="eastAsia"/>
                      <w:bCs/>
                      <w:color w:val="auto"/>
                      <w:kern w:val="2"/>
                      <w:sz w:val="21"/>
                      <w:szCs w:val="21"/>
                      <w:highlight w:val="none"/>
                    </w:rPr>
                    <w:t>1</w:t>
                  </w:r>
                </w:p>
              </w:tc>
              <w:tc>
                <w:tcPr>
                  <w:tcW w:w="557" w:type="pct"/>
                  <w:vAlign w:val="center"/>
                </w:tcPr>
                <w:p>
                  <w:pPr>
                    <w:pStyle w:val="46"/>
                    <w:rPr>
                      <w:rFonts w:eastAsia="宋体"/>
                      <w:bCs/>
                      <w:color w:val="auto"/>
                      <w:sz w:val="21"/>
                      <w:szCs w:val="21"/>
                      <w:highlight w:val="none"/>
                    </w:rPr>
                  </w:pPr>
                  <w:r>
                    <w:rPr>
                      <w:rFonts w:eastAsia="宋体"/>
                      <w:color w:val="auto"/>
                      <w:sz w:val="21"/>
                      <w:szCs w:val="21"/>
                      <w:highlight w:val="none"/>
                    </w:rPr>
                    <w:t>废活性炭</w:t>
                  </w:r>
                </w:p>
              </w:tc>
              <w:tc>
                <w:tcPr>
                  <w:tcW w:w="611" w:type="pct"/>
                  <w:vAlign w:val="center"/>
                </w:tcPr>
                <w:p>
                  <w:pPr>
                    <w:pStyle w:val="55"/>
                    <w:rPr>
                      <w:b/>
                      <w:color w:val="auto"/>
                      <w:kern w:val="2"/>
                      <w:sz w:val="21"/>
                      <w:szCs w:val="21"/>
                      <w:highlight w:val="none"/>
                    </w:rPr>
                  </w:pPr>
                  <w:r>
                    <w:rPr>
                      <w:bCs/>
                      <w:color w:val="auto"/>
                      <w:kern w:val="2"/>
                      <w:sz w:val="21"/>
                      <w:szCs w:val="21"/>
                      <w:highlight w:val="none"/>
                    </w:rPr>
                    <w:t>危废仓库</w:t>
                  </w:r>
                  <w:r>
                    <w:rPr>
                      <w:rFonts w:hint="eastAsia"/>
                      <w:bCs/>
                      <w:color w:val="auto"/>
                      <w:sz w:val="21"/>
                      <w:szCs w:val="21"/>
                      <w:highlight w:val="none"/>
                      <w:lang w:val="en-US" w:eastAsia="zh-CN"/>
                    </w:rPr>
                    <w:t>5</w:t>
                  </w:r>
                  <w:r>
                    <w:rPr>
                      <w:bCs/>
                      <w:color w:val="auto"/>
                      <w:sz w:val="21"/>
                      <w:szCs w:val="21"/>
                      <w:highlight w:val="none"/>
                    </w:rPr>
                    <w:t>m</w:t>
                  </w:r>
                  <w:r>
                    <w:rPr>
                      <w:bCs/>
                      <w:color w:val="auto"/>
                      <w:sz w:val="21"/>
                      <w:szCs w:val="21"/>
                      <w:highlight w:val="none"/>
                      <w:vertAlign w:val="superscript"/>
                    </w:rPr>
                    <w:t>2</w:t>
                  </w:r>
                </w:p>
              </w:tc>
              <w:tc>
                <w:tcPr>
                  <w:tcW w:w="443" w:type="pct"/>
                  <w:vAlign w:val="center"/>
                </w:tcPr>
                <w:p>
                  <w:pPr>
                    <w:pStyle w:val="22"/>
                    <w:widowControl w:val="0"/>
                    <w:adjustRightInd w:val="0"/>
                    <w:snapToGrid w:val="0"/>
                    <w:spacing w:before="0" w:beforeAutospacing="0" w:after="0" w:afterAutospacing="0"/>
                    <w:ind w:left="-30" w:right="-30"/>
                    <w:jc w:val="center"/>
                    <w:rPr>
                      <w:color w:val="auto"/>
                      <w:kern w:val="0"/>
                      <w:sz w:val="21"/>
                      <w:szCs w:val="21"/>
                      <w:highlight w:val="none"/>
                    </w:rPr>
                  </w:pPr>
                  <w:r>
                    <w:rPr>
                      <w:rFonts w:ascii="Times New Roman" w:hAnsi="Times New Roman" w:cs="Times New Roman"/>
                      <w:color w:val="auto"/>
                      <w:kern w:val="18"/>
                      <w:sz w:val="21"/>
                      <w:szCs w:val="21"/>
                      <w:highlight w:val="none"/>
                      <w:lang w:bidi="ar"/>
                    </w:rPr>
                    <w:t>HW49</w:t>
                  </w:r>
                </w:p>
              </w:tc>
              <w:tc>
                <w:tcPr>
                  <w:tcW w:w="458" w:type="pct"/>
                  <w:vAlign w:val="center"/>
                </w:tcPr>
                <w:p>
                  <w:pPr>
                    <w:jc w:val="center"/>
                    <w:rPr>
                      <w:color w:val="auto"/>
                      <w:kern w:val="0"/>
                      <w:sz w:val="21"/>
                      <w:szCs w:val="21"/>
                      <w:highlight w:val="none"/>
                    </w:rPr>
                  </w:pPr>
                  <w:r>
                    <w:rPr>
                      <w:color w:val="auto"/>
                      <w:sz w:val="21"/>
                      <w:szCs w:val="21"/>
                      <w:highlight w:val="none"/>
                    </w:rPr>
                    <w:t>900-039-49</w:t>
                  </w:r>
                </w:p>
              </w:tc>
              <w:tc>
                <w:tcPr>
                  <w:tcW w:w="473" w:type="pct"/>
                  <w:vAlign w:val="center"/>
                </w:tcPr>
                <w:p>
                  <w:pPr>
                    <w:pStyle w:val="46"/>
                    <w:rPr>
                      <w:rFonts w:hint="default" w:eastAsia="宋体"/>
                      <w:color w:val="auto"/>
                      <w:kern w:val="0"/>
                      <w:sz w:val="21"/>
                      <w:szCs w:val="21"/>
                      <w:highlight w:val="none"/>
                      <w:lang w:val="en-US" w:eastAsia="zh-CN"/>
                    </w:rPr>
                  </w:pPr>
                  <w:r>
                    <w:rPr>
                      <w:rFonts w:hint="eastAsia" w:eastAsia="宋体"/>
                      <w:color w:val="auto"/>
                      <w:kern w:val="0"/>
                      <w:sz w:val="21"/>
                      <w:szCs w:val="21"/>
                      <w:highlight w:val="none"/>
                      <w:lang w:val="en-US" w:eastAsia="zh-CN"/>
                    </w:rPr>
                    <w:t>2.748</w:t>
                  </w:r>
                </w:p>
              </w:tc>
              <w:tc>
                <w:tcPr>
                  <w:tcW w:w="542" w:type="pct"/>
                  <w:tcBorders>
                    <w:right w:val="single" w:color="auto" w:sz="4" w:space="0"/>
                  </w:tcBorders>
                  <w:vAlign w:val="center"/>
                </w:tcPr>
                <w:p>
                  <w:pPr>
                    <w:pStyle w:val="55"/>
                    <w:rPr>
                      <w:rFonts w:hint="default" w:eastAsia="宋体"/>
                      <w:color w:val="auto"/>
                      <w:kern w:val="0"/>
                      <w:sz w:val="21"/>
                      <w:szCs w:val="21"/>
                      <w:highlight w:val="none"/>
                      <w:lang w:val="en-US" w:eastAsia="zh-CN"/>
                    </w:rPr>
                  </w:pPr>
                  <w:r>
                    <w:rPr>
                      <w:rFonts w:hint="eastAsia"/>
                      <w:color w:val="auto"/>
                      <w:kern w:val="0"/>
                      <w:sz w:val="21"/>
                      <w:szCs w:val="21"/>
                      <w:highlight w:val="none"/>
                      <w:lang w:val="en-US" w:eastAsia="zh-CN"/>
                    </w:rPr>
                    <w:t>0.7</w:t>
                  </w:r>
                </w:p>
              </w:tc>
              <w:tc>
                <w:tcPr>
                  <w:tcW w:w="404" w:type="pct"/>
                  <w:tcBorders>
                    <w:left w:val="single" w:color="auto" w:sz="4" w:space="0"/>
                  </w:tcBorders>
                  <w:vAlign w:val="center"/>
                </w:tcPr>
                <w:p>
                  <w:pPr>
                    <w:pStyle w:val="55"/>
                    <w:rPr>
                      <w:rFonts w:hint="default" w:eastAsia="宋体"/>
                      <w:color w:val="auto"/>
                      <w:kern w:val="0"/>
                      <w:sz w:val="21"/>
                      <w:szCs w:val="21"/>
                      <w:highlight w:val="none"/>
                      <w:lang w:val="en-US" w:eastAsia="zh-CN"/>
                    </w:rPr>
                  </w:pPr>
                  <w:r>
                    <w:rPr>
                      <w:rFonts w:hint="eastAsia"/>
                      <w:color w:val="auto"/>
                      <w:kern w:val="0"/>
                      <w:sz w:val="21"/>
                      <w:szCs w:val="21"/>
                      <w:highlight w:val="none"/>
                      <w:lang w:val="en-US" w:eastAsia="zh-CN"/>
                    </w:rPr>
                    <w:t>0.7</w:t>
                  </w:r>
                </w:p>
              </w:tc>
              <w:tc>
                <w:tcPr>
                  <w:tcW w:w="403" w:type="pct"/>
                  <w:vAlign w:val="center"/>
                </w:tcPr>
                <w:p>
                  <w:pPr>
                    <w:pStyle w:val="49"/>
                    <w:rPr>
                      <w:rFonts w:eastAsia="宋体"/>
                      <w:b w:val="0"/>
                      <w:color w:val="auto"/>
                      <w:kern w:val="0"/>
                      <w:sz w:val="21"/>
                      <w:szCs w:val="21"/>
                      <w:highlight w:val="none"/>
                    </w:rPr>
                  </w:pPr>
                  <w:r>
                    <w:rPr>
                      <w:rFonts w:hint="eastAsia" w:eastAsia="宋体"/>
                      <w:b w:val="0"/>
                      <w:color w:val="auto"/>
                      <w:kern w:val="0"/>
                      <w:sz w:val="21"/>
                      <w:szCs w:val="21"/>
                      <w:highlight w:val="none"/>
                    </w:rPr>
                    <w:t>桶装</w:t>
                  </w:r>
                </w:p>
              </w:tc>
              <w:tc>
                <w:tcPr>
                  <w:tcW w:w="414" w:type="pct"/>
                  <w:vAlign w:val="center"/>
                </w:tcPr>
                <w:p>
                  <w:pPr>
                    <w:pStyle w:val="49"/>
                    <w:rPr>
                      <w:rFonts w:eastAsia="宋体"/>
                      <w:b w:val="0"/>
                      <w:color w:val="auto"/>
                      <w:kern w:val="0"/>
                      <w:sz w:val="21"/>
                      <w:szCs w:val="21"/>
                      <w:highlight w:val="none"/>
                    </w:rPr>
                  </w:pPr>
                  <w:r>
                    <w:rPr>
                      <w:rFonts w:hint="eastAsia" w:eastAsia="宋体"/>
                      <w:b w:val="0"/>
                      <w:color w:val="auto"/>
                      <w:kern w:val="0"/>
                      <w:sz w:val="21"/>
                      <w:szCs w:val="21"/>
                      <w:highlight w:val="none"/>
                    </w:rPr>
                    <w:t>10</w:t>
                  </w:r>
                </w:p>
              </w:tc>
              <w:tc>
                <w:tcPr>
                  <w:tcW w:w="439" w:type="pct"/>
                  <w:vAlign w:val="center"/>
                </w:tcPr>
                <w:p>
                  <w:pPr>
                    <w:pStyle w:val="49"/>
                    <w:rPr>
                      <w:rFonts w:eastAsia="宋体"/>
                      <w:b w:val="0"/>
                      <w:color w:val="auto"/>
                      <w:kern w:val="0"/>
                      <w:sz w:val="21"/>
                      <w:szCs w:val="21"/>
                      <w:highlight w:val="none"/>
                    </w:rPr>
                  </w:pPr>
                  <w:r>
                    <w:rPr>
                      <w:rFonts w:hint="eastAsia" w:eastAsia="宋体"/>
                      <w:b w:val="0"/>
                      <w:color w:val="auto"/>
                      <w:kern w:val="0"/>
                      <w:sz w:val="21"/>
                      <w:szCs w:val="21"/>
                      <w:highlight w:val="none"/>
                      <w:lang w:val="en-US" w:eastAsia="zh-CN"/>
                    </w:rPr>
                    <w:t>3</w:t>
                  </w:r>
                  <w:r>
                    <w:rPr>
                      <w:rFonts w:hint="eastAsia" w:eastAsia="宋体"/>
                      <w:b w:val="0"/>
                      <w:color w:val="auto"/>
                      <w:kern w:val="0"/>
                      <w:sz w:val="21"/>
                      <w:szCs w:val="21"/>
                      <w:highlight w:val="none"/>
                    </w:rPr>
                    <w:t>个月</w:t>
                  </w:r>
                </w:p>
              </w:tc>
            </w:tr>
          </w:tbl>
          <w:p>
            <w:pPr>
              <w:pStyle w:val="2"/>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A</w:t>
            </w:r>
            <w:r>
              <w:rPr>
                <w:rFonts w:hint="eastAsia" w:ascii="Times New Roman" w:hAnsi="Times New Roman" w:eastAsia="宋体"/>
                <w:b/>
                <w:bCs/>
                <w:color w:val="auto"/>
                <w:sz w:val="21"/>
                <w:szCs w:val="21"/>
                <w:highlight w:val="none"/>
                <w:lang w:eastAsia="zh-CN"/>
              </w:rPr>
              <w:t>、</w:t>
            </w:r>
            <w:r>
              <w:rPr>
                <w:rFonts w:ascii="Times New Roman" w:hAnsi="Times New Roman" w:eastAsia="宋体"/>
                <w:b/>
                <w:bCs/>
                <w:color w:val="auto"/>
                <w:sz w:val="21"/>
                <w:szCs w:val="21"/>
                <w:highlight w:val="none"/>
              </w:rPr>
              <w:t>贮存能力可行性分析</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本项目产生的危废暂存于危废仓库，面积为</w:t>
            </w:r>
            <w:r>
              <w:rPr>
                <w:rFonts w:hint="eastAsia" w:ascii="Times New Roman" w:hAnsi="Times New Roman" w:eastAsia="宋体"/>
                <w:color w:val="auto"/>
                <w:sz w:val="21"/>
                <w:szCs w:val="21"/>
                <w:highlight w:val="none"/>
                <w:lang w:val="en-US" w:eastAsia="zh-CN"/>
              </w:rPr>
              <w:t>5</w:t>
            </w:r>
            <w:r>
              <w:rPr>
                <w:rFonts w:ascii="Times New Roman" w:hAnsi="Times New Roman" w:eastAsia="宋体"/>
                <w:color w:val="auto"/>
                <w:sz w:val="21"/>
                <w:szCs w:val="21"/>
                <w:highlight w:val="none"/>
              </w:rPr>
              <w:t>m</w:t>
            </w:r>
            <w:r>
              <w:rPr>
                <w:rFonts w:ascii="Times New Roman" w:hAnsi="Times New Roman" w:eastAsia="宋体"/>
                <w:color w:val="auto"/>
                <w:sz w:val="21"/>
                <w:szCs w:val="21"/>
                <w:highlight w:val="none"/>
                <w:vertAlign w:val="superscript"/>
              </w:rPr>
              <w:t>2</w:t>
            </w:r>
            <w:r>
              <w:rPr>
                <w:rFonts w:ascii="Times New Roman" w:hAnsi="Times New Roman" w:eastAsia="宋体"/>
                <w:color w:val="auto"/>
                <w:sz w:val="21"/>
                <w:szCs w:val="21"/>
                <w:highlight w:val="none"/>
              </w:rPr>
              <w:t>，危废仓库密闭，已做到“六防”，即“防雨、防火、防雷、防扬散、防渗漏装置及泄漏液体收集装置”，危废仓库地面与裙脚为坚固、防渗材料，建筑材料与危险废物相容。</w:t>
            </w:r>
          </w:p>
          <w:p>
            <w:pPr>
              <w:adjustRightInd w:val="0"/>
              <w:snapToGrid w:val="0"/>
              <w:spacing w:line="360" w:lineRule="auto"/>
              <w:ind w:left="105" w:leftChars="50" w:firstLine="420" w:firstLineChars="200"/>
              <w:rPr>
                <w:b/>
                <w:bCs/>
                <w:color w:val="auto"/>
                <w:sz w:val="21"/>
                <w:szCs w:val="21"/>
                <w:highlight w:val="none"/>
              </w:rPr>
            </w:pPr>
            <w:r>
              <w:rPr>
                <w:color w:val="auto"/>
                <w:sz w:val="21"/>
                <w:szCs w:val="21"/>
                <w:highlight w:val="none"/>
              </w:rPr>
              <w:t>由上表可知，本项目危险废物暂存需要</w:t>
            </w:r>
            <w:r>
              <w:rPr>
                <w:rFonts w:hint="eastAsia"/>
                <w:color w:val="auto"/>
                <w:sz w:val="21"/>
                <w:szCs w:val="21"/>
                <w:highlight w:val="none"/>
                <w:lang w:val="en-US" w:eastAsia="zh-CN"/>
              </w:rPr>
              <w:t>0.7</w:t>
            </w:r>
            <w:r>
              <w:rPr>
                <w:color w:val="auto"/>
                <w:sz w:val="21"/>
                <w:szCs w:val="21"/>
                <w:highlight w:val="none"/>
              </w:rPr>
              <w:t>m</w:t>
            </w:r>
            <w:r>
              <w:rPr>
                <w:color w:val="auto"/>
                <w:sz w:val="21"/>
                <w:szCs w:val="21"/>
                <w:highlight w:val="none"/>
                <w:vertAlign w:val="superscript"/>
              </w:rPr>
              <w:t>2</w:t>
            </w:r>
            <w:r>
              <w:rPr>
                <w:color w:val="auto"/>
                <w:sz w:val="21"/>
                <w:szCs w:val="21"/>
                <w:highlight w:val="none"/>
              </w:rPr>
              <w:t>，其他可作为过道、间隔等所用。项目新设置</w:t>
            </w:r>
            <w:r>
              <w:rPr>
                <w:rFonts w:hint="eastAsia"/>
                <w:color w:val="auto"/>
                <w:sz w:val="21"/>
                <w:szCs w:val="21"/>
                <w:highlight w:val="none"/>
                <w:lang w:val="en-US" w:eastAsia="zh-CN"/>
              </w:rPr>
              <w:t>5</w:t>
            </w:r>
            <w:r>
              <w:rPr>
                <w:color w:val="auto"/>
                <w:sz w:val="21"/>
                <w:szCs w:val="21"/>
                <w:highlight w:val="none"/>
              </w:rPr>
              <w:t>m</w:t>
            </w:r>
            <w:r>
              <w:rPr>
                <w:color w:val="auto"/>
                <w:sz w:val="21"/>
                <w:szCs w:val="21"/>
                <w:highlight w:val="none"/>
                <w:vertAlign w:val="superscript"/>
              </w:rPr>
              <w:t>2</w:t>
            </w:r>
            <w:r>
              <w:rPr>
                <w:color w:val="auto"/>
                <w:sz w:val="21"/>
                <w:szCs w:val="21"/>
                <w:highlight w:val="none"/>
              </w:rPr>
              <w:t>的危险废物仓库足够本项目使用。为确保危废合规暂存，建设单位应严格按照制定的转移周期转移。</w:t>
            </w:r>
          </w:p>
          <w:p>
            <w:pPr>
              <w:pStyle w:val="2"/>
              <w:spacing w:line="360" w:lineRule="auto"/>
              <w:ind w:firstLine="422" w:firstLineChars="200"/>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B</w:t>
            </w:r>
            <w:r>
              <w:rPr>
                <w:rFonts w:hint="eastAsia" w:ascii="Times New Roman" w:hAnsi="Times New Roman" w:eastAsia="宋体"/>
                <w:b/>
                <w:bCs/>
                <w:color w:val="auto"/>
                <w:sz w:val="21"/>
                <w:szCs w:val="21"/>
                <w:highlight w:val="none"/>
                <w:lang w:eastAsia="zh-CN"/>
              </w:rPr>
              <w:t>、</w:t>
            </w:r>
            <w:r>
              <w:rPr>
                <w:rFonts w:ascii="Times New Roman" w:hAnsi="Times New Roman" w:eastAsia="宋体"/>
                <w:b/>
                <w:bCs/>
                <w:color w:val="auto"/>
                <w:sz w:val="21"/>
                <w:szCs w:val="21"/>
                <w:highlight w:val="none"/>
              </w:rPr>
              <w:t>贮存安全性分析</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本项目产生及贮存的危废安全贮存过程如下所述：</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废活性炭：具有毒性，置于专用编织袋中密闭存放，贮存于危废仓库</w:t>
            </w:r>
            <w:r>
              <w:rPr>
                <w:rFonts w:hint="eastAsia" w:ascii="Times New Roman" w:hAnsi="Times New Roman" w:eastAsia="宋体"/>
                <w:color w:val="auto"/>
                <w:sz w:val="21"/>
                <w:szCs w:val="21"/>
                <w:highlight w:val="none"/>
              </w:rPr>
              <w:t>；</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本项目危废密封贮存，可保证各类危废不会形成二次污染，且本项目产生的危废设置危废识别标志，盛装危险废物的容器粘贴标签。因此，本项目危废按上述要求安全贮存于危废仓库是可行的。</w:t>
            </w:r>
          </w:p>
          <w:p>
            <w:pPr>
              <w:autoSpaceDE w:val="0"/>
              <w:autoSpaceDN w:val="0"/>
              <w:adjustRightInd w:val="0"/>
              <w:spacing w:line="360" w:lineRule="auto"/>
              <w:ind w:firstLine="422" w:firstLineChars="200"/>
              <w:rPr>
                <w:b/>
                <w:bCs/>
                <w:color w:val="auto"/>
                <w:sz w:val="21"/>
                <w:szCs w:val="21"/>
                <w:highlight w:val="none"/>
              </w:rPr>
            </w:pPr>
            <w:r>
              <w:rPr>
                <w:b/>
                <w:bCs/>
                <w:color w:val="auto"/>
                <w:sz w:val="21"/>
                <w:szCs w:val="21"/>
                <w:highlight w:val="none"/>
              </w:rPr>
              <w:t>C</w:t>
            </w:r>
            <w:r>
              <w:rPr>
                <w:rFonts w:hint="eastAsia"/>
                <w:b/>
                <w:bCs/>
                <w:color w:val="auto"/>
                <w:sz w:val="21"/>
                <w:szCs w:val="21"/>
                <w:highlight w:val="none"/>
                <w:lang w:eastAsia="zh-CN"/>
              </w:rPr>
              <w:t>、</w:t>
            </w:r>
            <w:r>
              <w:rPr>
                <w:b/>
                <w:bCs/>
                <w:color w:val="auto"/>
                <w:sz w:val="21"/>
                <w:szCs w:val="21"/>
                <w:highlight w:val="none"/>
              </w:rPr>
              <w:t>危废贮存场所设计要求</w:t>
            </w:r>
          </w:p>
          <w:p>
            <w:pPr>
              <w:spacing w:line="360" w:lineRule="auto"/>
              <w:ind w:firstLine="420" w:firstLineChars="200"/>
              <w:rPr>
                <w:color w:val="auto"/>
                <w:sz w:val="21"/>
                <w:szCs w:val="21"/>
                <w:highlight w:val="none"/>
              </w:rPr>
            </w:pPr>
            <w:r>
              <w:rPr>
                <w:color w:val="auto"/>
                <w:sz w:val="21"/>
                <w:szCs w:val="21"/>
                <w:highlight w:val="none"/>
              </w:rPr>
              <w:t>危废暂存场需满足以下要求：</w:t>
            </w:r>
          </w:p>
          <w:p>
            <w:pPr>
              <w:spacing w:line="360" w:lineRule="auto"/>
              <w:ind w:firstLine="420" w:firstLineChars="200"/>
              <w:rPr>
                <w:color w:val="auto"/>
                <w:sz w:val="21"/>
                <w:szCs w:val="21"/>
                <w:highlight w:val="none"/>
              </w:rPr>
            </w:pPr>
            <w:r>
              <w:rPr>
                <w:color w:val="auto"/>
                <w:sz w:val="21"/>
                <w:szCs w:val="21"/>
                <w:highlight w:val="none"/>
              </w:rPr>
              <w:t>危废暂存场地必须按《</w:t>
            </w:r>
            <w:r>
              <w:rPr>
                <w:rFonts w:hint="eastAsia"/>
                <w:color w:val="auto"/>
                <w:sz w:val="21"/>
                <w:szCs w:val="21"/>
                <w:highlight w:val="none"/>
                <w:lang w:val="en-US" w:eastAsia="zh-CN"/>
              </w:rPr>
              <w:t>危险废物贮存污染控制标准</w:t>
            </w:r>
            <w:r>
              <w:rPr>
                <w:color w:val="auto"/>
                <w:sz w:val="21"/>
                <w:szCs w:val="21"/>
                <w:highlight w:val="none"/>
              </w:rPr>
              <w:t>》（GB18597-20</w:t>
            </w:r>
            <w:r>
              <w:rPr>
                <w:rFonts w:hint="eastAsia"/>
                <w:color w:val="auto"/>
                <w:sz w:val="21"/>
                <w:szCs w:val="21"/>
                <w:highlight w:val="none"/>
                <w:lang w:val="en-US" w:eastAsia="zh-CN"/>
              </w:rPr>
              <w:t>23</w:t>
            </w:r>
            <w:r>
              <w:rPr>
                <w:color w:val="auto"/>
                <w:sz w:val="21"/>
                <w:szCs w:val="21"/>
                <w:highlight w:val="none"/>
              </w:rPr>
              <w:t>）和《省生态环境厅关于进一步加强危险废物污染防治工作的实施意见苏环办（〔2019〕327号）》的要求进行设置，并做到以下几点：</w:t>
            </w:r>
          </w:p>
          <w:p>
            <w:pPr>
              <w:spacing w:line="360" w:lineRule="auto"/>
              <w:ind w:firstLine="420" w:firstLineChars="200"/>
              <w:rPr>
                <w:rFonts w:hint="eastAsia" w:eastAsia="宋体"/>
                <w:color w:val="auto"/>
                <w:sz w:val="21"/>
                <w:szCs w:val="21"/>
                <w:highlight w:val="none"/>
                <w:lang w:eastAsia="zh-CN"/>
              </w:rPr>
            </w:pPr>
            <w:r>
              <w:rPr>
                <w:color w:val="auto"/>
                <w:sz w:val="21"/>
                <w:szCs w:val="21"/>
                <w:highlight w:val="none"/>
              </w:rPr>
              <w:t>①</w:t>
            </w:r>
            <w:r>
              <w:rPr>
                <w:rFonts w:hint="eastAsia"/>
                <w:color w:val="auto"/>
                <w:sz w:val="21"/>
                <w:szCs w:val="21"/>
                <w:highlight w:val="none"/>
              </w:rPr>
              <w:t>贮存设施应根据危险废物的形态、物理化学性质、包装形式和污染物迁移途径，采取必要的防风、防晒、防雨、防漏、防渗、防腐以及其他环境污染防治措施，不应露天堆放危险废物</w:t>
            </w:r>
            <w:r>
              <w:rPr>
                <w:rFonts w:hint="eastAsia"/>
                <w:color w:val="auto"/>
                <w:sz w:val="21"/>
                <w:szCs w:val="21"/>
                <w:highlight w:val="none"/>
                <w:lang w:eastAsia="zh-CN"/>
              </w:rPr>
              <w:t>；</w:t>
            </w:r>
          </w:p>
          <w:p>
            <w:pPr>
              <w:spacing w:line="360" w:lineRule="auto"/>
              <w:ind w:firstLine="420" w:firstLineChars="200"/>
              <w:rPr>
                <w:rFonts w:hint="eastAsia" w:eastAsia="宋体"/>
                <w:color w:val="auto"/>
                <w:sz w:val="21"/>
                <w:szCs w:val="21"/>
                <w:highlight w:val="none"/>
                <w:lang w:eastAsia="zh-CN"/>
              </w:rPr>
            </w:pPr>
            <w:r>
              <w:rPr>
                <w:color w:val="auto"/>
                <w:sz w:val="21"/>
                <w:szCs w:val="21"/>
                <w:highlight w:val="none"/>
              </w:rPr>
              <w:t>②</w:t>
            </w:r>
            <w:r>
              <w:rPr>
                <w:rFonts w:hint="eastAsia"/>
                <w:color w:val="auto"/>
                <w:sz w:val="21"/>
                <w:szCs w:val="21"/>
                <w:highlight w:val="none"/>
              </w:rPr>
              <w:t>贮存设施应根据危险废物的类别、数量、形态、物理化学性质和污染防治等要求设置必要的贮存分区，避免不相容的危险废物接触、混合</w:t>
            </w:r>
            <w:r>
              <w:rPr>
                <w:rFonts w:hint="eastAsia"/>
                <w:color w:val="auto"/>
                <w:sz w:val="21"/>
                <w:szCs w:val="21"/>
                <w:highlight w:val="none"/>
                <w:lang w:eastAsia="zh-CN"/>
              </w:rPr>
              <w:t>；</w:t>
            </w:r>
          </w:p>
          <w:p>
            <w:pPr>
              <w:spacing w:line="360" w:lineRule="auto"/>
              <w:ind w:firstLine="420" w:firstLineChars="200"/>
              <w:rPr>
                <w:rFonts w:hint="eastAsia" w:eastAsia="宋体"/>
                <w:color w:val="auto"/>
                <w:sz w:val="21"/>
                <w:szCs w:val="21"/>
                <w:highlight w:val="none"/>
                <w:lang w:eastAsia="zh-CN"/>
              </w:rPr>
            </w:pPr>
            <w:r>
              <w:rPr>
                <w:color w:val="auto"/>
                <w:sz w:val="21"/>
                <w:szCs w:val="21"/>
                <w:highlight w:val="none"/>
              </w:rPr>
              <w:t>③</w:t>
            </w:r>
            <w:r>
              <w:rPr>
                <w:rFonts w:hint="eastAsia"/>
                <w:color w:val="auto"/>
                <w:sz w:val="21"/>
                <w:szCs w:val="21"/>
                <w:highlight w:val="none"/>
              </w:rPr>
              <w:t>贮存设施或贮存分区内地面、墙面裙脚、堵截泄漏的围堰、接触危险废物的隔板和墙体等应采用坚固的材料建造，表面无裂缝</w:t>
            </w:r>
            <w:r>
              <w:rPr>
                <w:rFonts w:hint="eastAsia"/>
                <w:color w:val="auto"/>
                <w:sz w:val="21"/>
                <w:szCs w:val="21"/>
                <w:highlight w:val="none"/>
                <w:lang w:eastAsia="zh-CN"/>
              </w:rPr>
              <w:t>；</w:t>
            </w:r>
          </w:p>
          <w:p>
            <w:pPr>
              <w:spacing w:line="360" w:lineRule="auto"/>
              <w:ind w:firstLine="420" w:firstLineChars="200"/>
              <w:rPr>
                <w:color w:val="auto"/>
                <w:sz w:val="21"/>
                <w:szCs w:val="21"/>
                <w:highlight w:val="none"/>
              </w:rPr>
            </w:pPr>
            <w:r>
              <w:rPr>
                <w:color w:val="auto"/>
                <w:sz w:val="21"/>
                <w:szCs w:val="21"/>
                <w:highlight w:val="none"/>
              </w:rPr>
              <w:t>④</w:t>
            </w:r>
            <w:r>
              <w:rPr>
                <w:rFonts w:hint="eastAsia"/>
                <w:color w:val="auto"/>
                <w:sz w:val="21"/>
                <w:szCs w:val="21"/>
                <w:highlight w:val="none"/>
              </w:rPr>
              <w:t>贮存设施地面与裙脚应采取表面防渗措施；表面防渗材料应与所接触的物料或污染物相容，可采用抗渗混凝土、高密度聚乙烯膜、钠基膨润土防水毯或其他防渗性能等效的材料。贮存的危险废物直接接触地面的，还应进行基础防渗，防渗层为至少1m厚黏土层（渗透系数不大于10</w:t>
            </w:r>
            <w:r>
              <w:rPr>
                <w:rFonts w:hint="eastAsia"/>
                <w:color w:val="auto"/>
                <w:sz w:val="21"/>
                <w:szCs w:val="21"/>
                <w:highlight w:val="none"/>
                <w:vertAlign w:val="superscript"/>
              </w:rPr>
              <w:t>-7</w:t>
            </w:r>
            <w:r>
              <w:rPr>
                <w:rFonts w:hint="eastAsia"/>
                <w:color w:val="auto"/>
                <w:sz w:val="21"/>
                <w:szCs w:val="21"/>
                <w:highlight w:val="none"/>
              </w:rPr>
              <w:t>cm/s），或至少2mm厚高密度聚乙烯膜等人工防渗材料（渗透系数不大于10</w:t>
            </w:r>
            <w:r>
              <w:rPr>
                <w:rFonts w:hint="eastAsia"/>
                <w:color w:val="auto"/>
                <w:sz w:val="21"/>
                <w:szCs w:val="21"/>
                <w:highlight w:val="none"/>
                <w:vertAlign w:val="superscript"/>
              </w:rPr>
              <w:t>-10</w:t>
            </w:r>
            <w:r>
              <w:rPr>
                <w:rFonts w:hint="eastAsia"/>
                <w:color w:val="auto"/>
                <w:sz w:val="21"/>
                <w:szCs w:val="21"/>
                <w:highlight w:val="none"/>
              </w:rPr>
              <w:t>cm/s），或其他防渗性能等效的材料。</w:t>
            </w:r>
          </w:p>
          <w:p>
            <w:pPr>
              <w:spacing w:line="360" w:lineRule="auto"/>
              <w:ind w:firstLine="420" w:firstLineChars="200"/>
              <w:rPr>
                <w:color w:val="auto"/>
                <w:sz w:val="21"/>
                <w:szCs w:val="21"/>
                <w:highlight w:val="none"/>
              </w:rPr>
            </w:pPr>
            <w:r>
              <w:rPr>
                <w:color w:val="auto"/>
                <w:sz w:val="21"/>
                <w:szCs w:val="21"/>
                <w:highlight w:val="none"/>
              </w:rPr>
              <w:t>⑤</w:t>
            </w:r>
            <w:r>
              <w:rPr>
                <w:rFonts w:hint="eastAsia"/>
                <w:color w:val="auto"/>
                <w:sz w:val="21"/>
                <w:szCs w:val="21"/>
                <w:highlight w:val="none"/>
              </w:rPr>
              <w:t>同一贮存设施宜采用相同的防渗、防腐工艺（包括防渗、防腐结构或材料），防渗、防腐材料应覆盖所有可能与废物及其渗滤液、渗漏液等接触的构筑物表面；采用不同防渗、防腐工艺应分别建设贮存分区。</w:t>
            </w:r>
          </w:p>
          <w:p>
            <w:pPr>
              <w:spacing w:line="360" w:lineRule="auto"/>
              <w:ind w:firstLine="420" w:firstLineChars="200"/>
              <w:rPr>
                <w:color w:val="auto"/>
                <w:sz w:val="21"/>
                <w:szCs w:val="21"/>
                <w:highlight w:val="none"/>
              </w:rPr>
            </w:pPr>
            <w:r>
              <w:rPr>
                <w:color w:val="auto"/>
                <w:sz w:val="21"/>
                <w:szCs w:val="21"/>
                <w:highlight w:val="none"/>
              </w:rPr>
              <w:t>⑥</w:t>
            </w:r>
            <w:r>
              <w:rPr>
                <w:rFonts w:hint="eastAsia"/>
                <w:color w:val="auto"/>
                <w:sz w:val="21"/>
                <w:szCs w:val="21"/>
                <w:highlight w:val="none"/>
              </w:rPr>
              <w:t>贮存设施应采取技术和管理措施防止无关人员进入。</w:t>
            </w:r>
          </w:p>
          <w:p>
            <w:pPr>
              <w:spacing w:line="360" w:lineRule="auto"/>
              <w:ind w:firstLine="420" w:firstLineChars="200"/>
              <w:rPr>
                <w:color w:val="auto"/>
                <w:sz w:val="21"/>
                <w:szCs w:val="21"/>
                <w:highlight w:val="none"/>
              </w:rPr>
            </w:pPr>
            <w:r>
              <w:rPr>
                <w:color w:val="auto"/>
                <w:sz w:val="21"/>
                <w:szCs w:val="21"/>
                <w:highlight w:val="none"/>
              </w:rPr>
              <w:t>⑦</w:t>
            </w:r>
            <w:r>
              <w:rPr>
                <w:rFonts w:hint="eastAsia"/>
                <w:color w:val="auto"/>
                <w:sz w:val="21"/>
                <w:szCs w:val="21"/>
                <w:highlight w:val="none"/>
              </w:rPr>
              <w:t>贮存库内不同贮存分区之间应采取隔离措施。隔离措施可根据危险废物特性采用过道、隔板或隔墙等方式。</w:t>
            </w:r>
          </w:p>
          <w:p>
            <w:pPr>
              <w:pStyle w:val="2"/>
              <w:spacing w:line="360" w:lineRule="auto"/>
              <w:ind w:firstLine="422" w:firstLineChars="200"/>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D</w:t>
            </w:r>
            <w:r>
              <w:rPr>
                <w:rFonts w:hint="eastAsia" w:ascii="Times New Roman" w:hAnsi="Times New Roman" w:eastAsia="宋体"/>
                <w:b/>
                <w:bCs/>
                <w:color w:val="auto"/>
                <w:sz w:val="21"/>
                <w:szCs w:val="21"/>
                <w:highlight w:val="none"/>
                <w:lang w:eastAsia="zh-CN"/>
              </w:rPr>
              <w:t>、</w:t>
            </w:r>
            <w:r>
              <w:rPr>
                <w:rFonts w:ascii="Times New Roman" w:hAnsi="Times New Roman" w:eastAsia="宋体"/>
                <w:b/>
                <w:bCs/>
                <w:color w:val="auto"/>
                <w:sz w:val="21"/>
                <w:szCs w:val="21"/>
                <w:highlight w:val="none"/>
              </w:rPr>
              <w:t>危险废物运输过程的污染防治措施</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项目危险废物在厂内堆放和转移运输过程应防止抛洒逸散，建立台账记录并按时申报其产生贮存情况。</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危险废物由专用车辆转移至处置公司，转移过程按照要求办理转移审批手续，严格执行五联单制度，确保危险废物从产生、转移到处置的全过程监控，防止抛洒逸散。正常情况下，转移过程不会对沿线环境造成不良影响。</w:t>
            </w:r>
          </w:p>
          <w:p>
            <w:pPr>
              <w:pStyle w:val="2"/>
              <w:spacing w:line="360" w:lineRule="auto"/>
              <w:ind w:firstLine="422" w:firstLineChars="200"/>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E</w:t>
            </w:r>
            <w:r>
              <w:rPr>
                <w:rFonts w:hint="eastAsia" w:ascii="Times New Roman" w:hAnsi="Times New Roman" w:eastAsia="宋体"/>
                <w:b/>
                <w:bCs/>
                <w:color w:val="auto"/>
                <w:sz w:val="21"/>
                <w:szCs w:val="21"/>
                <w:highlight w:val="none"/>
                <w:lang w:eastAsia="zh-CN"/>
              </w:rPr>
              <w:t>、</w:t>
            </w:r>
            <w:r>
              <w:rPr>
                <w:rFonts w:ascii="Times New Roman" w:hAnsi="Times New Roman" w:eastAsia="宋体"/>
                <w:b/>
                <w:bCs/>
                <w:color w:val="auto"/>
                <w:sz w:val="21"/>
                <w:szCs w:val="21"/>
                <w:highlight w:val="none"/>
              </w:rPr>
              <w:t>签订委托处置协议</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因建设单位尚未建成投产，目前未与相关单位签订危废协议或委托处置协议</w:t>
            </w:r>
            <w:r>
              <w:rPr>
                <w:rFonts w:ascii="Times New Roman" w:hAnsi="Times New Roman" w:eastAsia="宋体"/>
                <w:b/>
                <w:bCs/>
                <w:color w:val="auto"/>
                <w:sz w:val="21"/>
                <w:szCs w:val="21"/>
                <w:highlight w:val="none"/>
              </w:rPr>
              <w:t>，</w:t>
            </w:r>
            <w:r>
              <w:rPr>
                <w:rFonts w:ascii="Times New Roman" w:hAnsi="Times New Roman" w:eastAsia="宋体"/>
                <w:color w:val="auto"/>
                <w:sz w:val="21"/>
                <w:szCs w:val="21"/>
                <w:highlight w:val="none"/>
              </w:rPr>
              <w:t>但企业承诺调试之前完善该手续。</w:t>
            </w:r>
          </w:p>
          <w:p>
            <w:pPr>
              <w:pStyle w:val="2"/>
              <w:spacing w:line="360" w:lineRule="auto"/>
              <w:ind w:firstLine="422" w:firstLineChars="200"/>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F</w:t>
            </w:r>
            <w:r>
              <w:rPr>
                <w:rFonts w:hint="eastAsia" w:ascii="Times New Roman" w:hAnsi="Times New Roman" w:eastAsia="宋体"/>
                <w:b/>
                <w:bCs/>
                <w:color w:val="auto"/>
                <w:sz w:val="21"/>
                <w:szCs w:val="21"/>
                <w:highlight w:val="none"/>
                <w:lang w:eastAsia="zh-CN"/>
              </w:rPr>
              <w:t>、</w:t>
            </w:r>
            <w:r>
              <w:rPr>
                <w:rFonts w:ascii="Times New Roman" w:hAnsi="Times New Roman" w:eastAsia="宋体"/>
                <w:b/>
                <w:bCs/>
                <w:color w:val="auto"/>
                <w:sz w:val="21"/>
                <w:szCs w:val="21"/>
                <w:highlight w:val="none"/>
              </w:rPr>
              <w:t>危险废物委托处置可行性分析</w:t>
            </w:r>
          </w:p>
          <w:p>
            <w:pPr>
              <w:autoSpaceDE w:val="0"/>
              <w:autoSpaceDN w:val="0"/>
              <w:adjustRightInd w:val="0"/>
              <w:spacing w:line="360" w:lineRule="auto"/>
              <w:ind w:firstLine="420" w:firstLineChars="200"/>
              <w:rPr>
                <w:color w:val="auto"/>
                <w:sz w:val="21"/>
                <w:szCs w:val="21"/>
                <w:highlight w:val="none"/>
              </w:rPr>
            </w:pPr>
            <w:r>
              <w:rPr>
                <w:color w:val="auto"/>
                <w:sz w:val="21"/>
                <w:szCs w:val="21"/>
                <w:highlight w:val="none"/>
              </w:rPr>
              <w:t>金坛地区危险废物处置单位统计情况见下表。</w:t>
            </w:r>
          </w:p>
          <w:p>
            <w:pPr>
              <w:jc w:val="center"/>
              <w:rPr>
                <w:b/>
                <w:color w:val="auto"/>
                <w:sz w:val="21"/>
                <w:szCs w:val="21"/>
                <w:highlight w:val="none"/>
              </w:rPr>
            </w:pPr>
            <w:r>
              <w:rPr>
                <w:b/>
                <w:color w:val="auto"/>
                <w:sz w:val="21"/>
                <w:szCs w:val="21"/>
                <w:highlight w:val="none"/>
              </w:rPr>
              <w:t>表4-2</w:t>
            </w:r>
            <w:r>
              <w:rPr>
                <w:rFonts w:hint="eastAsia"/>
                <w:b/>
                <w:color w:val="auto"/>
                <w:sz w:val="21"/>
                <w:szCs w:val="21"/>
                <w:highlight w:val="none"/>
                <w:lang w:val="en-US" w:eastAsia="zh-CN"/>
              </w:rPr>
              <w:t>7</w:t>
            </w:r>
            <w:r>
              <w:rPr>
                <w:b/>
                <w:color w:val="auto"/>
                <w:sz w:val="21"/>
                <w:szCs w:val="21"/>
                <w:highlight w:val="none"/>
              </w:rPr>
              <w:t xml:space="preserve"> 金坛地区危险废物处置单位及处置能力</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0" w:type="dxa"/>
                <w:bottom w:w="0" w:type="dxa"/>
                <w:right w:w="0" w:type="dxa"/>
              </w:tblCellMar>
            </w:tblPr>
            <w:tblGrid>
              <w:gridCol w:w="262"/>
              <w:gridCol w:w="991"/>
              <w:gridCol w:w="796"/>
              <w:gridCol w:w="1568"/>
              <w:gridCol w:w="4155"/>
              <w:gridCol w:w="706"/>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155" w:type="pct"/>
                  <w:tcMar>
                    <w:top w:w="0" w:type="dxa"/>
                    <w:left w:w="0" w:type="dxa"/>
                    <w:bottom w:w="0" w:type="dxa"/>
                    <w:right w:w="0" w:type="dxa"/>
                  </w:tcMar>
                  <w:vAlign w:val="center"/>
                </w:tcPr>
                <w:p>
                  <w:pPr>
                    <w:jc w:val="center"/>
                    <w:rPr>
                      <w:b/>
                      <w:color w:val="auto"/>
                      <w:sz w:val="21"/>
                      <w:szCs w:val="21"/>
                      <w:highlight w:val="none"/>
                    </w:rPr>
                  </w:pPr>
                  <w:r>
                    <w:rPr>
                      <w:b/>
                      <w:color w:val="auto"/>
                      <w:sz w:val="21"/>
                      <w:szCs w:val="21"/>
                      <w:highlight w:val="none"/>
                    </w:rPr>
                    <w:t>序号</w:t>
                  </w:r>
                </w:p>
              </w:tc>
              <w:tc>
                <w:tcPr>
                  <w:tcW w:w="584" w:type="pct"/>
                  <w:tcMar>
                    <w:top w:w="0" w:type="dxa"/>
                    <w:left w:w="0" w:type="dxa"/>
                    <w:bottom w:w="0" w:type="dxa"/>
                    <w:right w:w="0" w:type="dxa"/>
                  </w:tcMar>
                  <w:vAlign w:val="center"/>
                </w:tcPr>
                <w:p>
                  <w:pPr>
                    <w:jc w:val="center"/>
                    <w:rPr>
                      <w:b/>
                      <w:color w:val="auto"/>
                      <w:sz w:val="21"/>
                      <w:szCs w:val="21"/>
                      <w:highlight w:val="none"/>
                    </w:rPr>
                  </w:pPr>
                  <w:r>
                    <w:rPr>
                      <w:b/>
                      <w:color w:val="auto"/>
                      <w:sz w:val="21"/>
                      <w:szCs w:val="21"/>
                      <w:highlight w:val="none"/>
                    </w:rPr>
                    <w:t>危险废物处置单位名称</w:t>
                  </w:r>
                </w:p>
              </w:tc>
              <w:tc>
                <w:tcPr>
                  <w:tcW w:w="469" w:type="pct"/>
                  <w:tcMar>
                    <w:top w:w="0" w:type="dxa"/>
                    <w:left w:w="0" w:type="dxa"/>
                    <w:bottom w:w="0" w:type="dxa"/>
                    <w:right w:w="0" w:type="dxa"/>
                  </w:tcMar>
                  <w:vAlign w:val="center"/>
                </w:tcPr>
                <w:p>
                  <w:pPr>
                    <w:jc w:val="center"/>
                    <w:rPr>
                      <w:b/>
                      <w:color w:val="auto"/>
                      <w:sz w:val="21"/>
                      <w:szCs w:val="21"/>
                      <w:highlight w:val="none"/>
                    </w:rPr>
                  </w:pPr>
                  <w:r>
                    <w:rPr>
                      <w:b/>
                      <w:color w:val="auto"/>
                      <w:sz w:val="21"/>
                      <w:szCs w:val="21"/>
                      <w:highlight w:val="none"/>
                    </w:rPr>
                    <w:t>地址</w:t>
                  </w:r>
                </w:p>
              </w:tc>
              <w:tc>
                <w:tcPr>
                  <w:tcW w:w="924" w:type="pct"/>
                  <w:tcMar>
                    <w:top w:w="0" w:type="dxa"/>
                    <w:left w:w="0" w:type="dxa"/>
                    <w:bottom w:w="0" w:type="dxa"/>
                    <w:right w:w="0" w:type="dxa"/>
                  </w:tcMar>
                  <w:vAlign w:val="center"/>
                </w:tcPr>
                <w:p>
                  <w:pPr>
                    <w:jc w:val="center"/>
                    <w:rPr>
                      <w:b/>
                      <w:color w:val="auto"/>
                      <w:sz w:val="21"/>
                      <w:szCs w:val="21"/>
                      <w:highlight w:val="none"/>
                    </w:rPr>
                  </w:pPr>
                  <w:r>
                    <w:rPr>
                      <w:b/>
                      <w:color w:val="auto"/>
                      <w:sz w:val="21"/>
                      <w:szCs w:val="21"/>
                      <w:highlight w:val="none"/>
                    </w:rPr>
                    <w:t>许可证号</w:t>
                  </w:r>
                </w:p>
              </w:tc>
              <w:tc>
                <w:tcPr>
                  <w:tcW w:w="2449" w:type="pct"/>
                  <w:tcMar>
                    <w:top w:w="0" w:type="dxa"/>
                    <w:left w:w="0" w:type="dxa"/>
                    <w:bottom w:w="0" w:type="dxa"/>
                    <w:right w:w="0" w:type="dxa"/>
                  </w:tcMar>
                  <w:vAlign w:val="center"/>
                </w:tcPr>
                <w:p>
                  <w:pPr>
                    <w:jc w:val="center"/>
                    <w:rPr>
                      <w:b/>
                      <w:color w:val="auto"/>
                      <w:sz w:val="21"/>
                      <w:szCs w:val="21"/>
                      <w:highlight w:val="none"/>
                    </w:rPr>
                  </w:pPr>
                  <w:r>
                    <w:rPr>
                      <w:b/>
                      <w:color w:val="auto"/>
                      <w:sz w:val="21"/>
                      <w:szCs w:val="21"/>
                      <w:highlight w:val="none"/>
                    </w:rPr>
                    <w:t>经营类别</w:t>
                  </w:r>
                </w:p>
              </w:tc>
              <w:tc>
                <w:tcPr>
                  <w:tcW w:w="416" w:type="pct"/>
                  <w:tcMar>
                    <w:top w:w="0" w:type="dxa"/>
                    <w:left w:w="0" w:type="dxa"/>
                    <w:bottom w:w="0" w:type="dxa"/>
                    <w:right w:w="0" w:type="dxa"/>
                  </w:tcMar>
                  <w:vAlign w:val="center"/>
                </w:tcPr>
                <w:p>
                  <w:pPr>
                    <w:jc w:val="center"/>
                    <w:rPr>
                      <w:b/>
                      <w:color w:val="auto"/>
                      <w:sz w:val="21"/>
                      <w:szCs w:val="21"/>
                      <w:highlight w:val="none"/>
                    </w:rPr>
                  </w:pPr>
                  <w:r>
                    <w:rPr>
                      <w:b/>
                      <w:color w:val="auto"/>
                      <w:sz w:val="21"/>
                      <w:szCs w:val="21"/>
                      <w:highlight w:val="none"/>
                    </w:rPr>
                    <w:t>许可数量（t/a）</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155" w:type="pct"/>
                  <w:tcMar>
                    <w:top w:w="0" w:type="dxa"/>
                    <w:left w:w="0" w:type="dxa"/>
                    <w:bottom w:w="0" w:type="dxa"/>
                    <w:right w:w="0" w:type="dxa"/>
                  </w:tcMar>
                  <w:vAlign w:val="center"/>
                </w:tcPr>
                <w:p>
                  <w:pPr>
                    <w:jc w:val="center"/>
                    <w:rPr>
                      <w:rFonts w:hint="eastAsia" w:eastAsia="宋体"/>
                      <w:color w:val="auto"/>
                      <w:sz w:val="21"/>
                      <w:szCs w:val="21"/>
                      <w:highlight w:val="none"/>
                      <w:lang w:eastAsia="zh-CN"/>
                    </w:rPr>
                  </w:pPr>
                  <w:r>
                    <w:rPr>
                      <w:rFonts w:hint="eastAsia"/>
                      <w:color w:val="auto"/>
                      <w:sz w:val="21"/>
                      <w:szCs w:val="21"/>
                      <w:highlight w:val="none"/>
                      <w:lang w:val="en-US" w:eastAsia="zh-CN"/>
                    </w:rPr>
                    <w:t>1</w:t>
                  </w:r>
                </w:p>
              </w:tc>
              <w:tc>
                <w:tcPr>
                  <w:tcW w:w="584"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常州润克环保科技有限公司</w:t>
                  </w:r>
                </w:p>
              </w:tc>
              <w:tc>
                <w:tcPr>
                  <w:tcW w:w="469"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金坛区经济开发区东康路101号</w:t>
                  </w:r>
                </w:p>
              </w:tc>
              <w:tc>
                <w:tcPr>
                  <w:tcW w:w="924"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JS0482OOI550-1</w:t>
                  </w:r>
                </w:p>
              </w:tc>
              <w:tc>
                <w:tcPr>
                  <w:tcW w:w="2449"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回转窑焚烧处置医药废物HW02、废药物药品HW03、农药废物HW04、木材防腐剂废物HW05、废有机溶剂与含有机溶剂废物HW06、废矿物油与含矿物油废物HW08、油/水、烃/水混合物或乳化液HW09、精（蒸）馏残渣HW11、染料及涂料废物HW12、有机树脂类废物HW13、新化学物质废物HW14、感光材料废物HW16、有机氰化物废物HW38、含酚废物HW39、含醚废物HW40、含有机卤化物废物HW45、其他废物HW49，合计10000吨/年</w:t>
                  </w:r>
                </w:p>
              </w:tc>
              <w:tc>
                <w:tcPr>
                  <w:tcW w:w="416" w:type="pct"/>
                  <w:tcMar>
                    <w:top w:w="0" w:type="dxa"/>
                    <w:left w:w="0" w:type="dxa"/>
                    <w:bottom w:w="0" w:type="dxa"/>
                    <w:right w:w="0" w:type="dxa"/>
                  </w:tcMar>
                  <w:vAlign w:val="center"/>
                </w:tcPr>
                <w:p>
                  <w:pPr>
                    <w:jc w:val="center"/>
                    <w:rPr>
                      <w:color w:val="auto"/>
                      <w:sz w:val="21"/>
                      <w:szCs w:val="21"/>
                      <w:highlight w:val="none"/>
                    </w:rPr>
                  </w:pPr>
                  <w:r>
                    <w:rPr>
                      <w:color w:val="auto"/>
                      <w:sz w:val="21"/>
                      <w:szCs w:val="21"/>
                      <w:highlight w:val="none"/>
                    </w:rPr>
                    <w:t>10000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0" w:type="dxa"/>
                  <w:bottom w:w="0" w:type="dxa"/>
                  <w:right w:w="0" w:type="dxa"/>
                </w:tblCellMar>
              </w:tblPrEx>
              <w:trPr>
                <w:trHeight w:val="340" w:hRule="atLeast"/>
                <w:jc w:val="center"/>
              </w:trPr>
              <w:tc>
                <w:tcPr>
                  <w:tcW w:w="155" w:type="pct"/>
                  <w:tcMar>
                    <w:top w:w="0" w:type="dxa"/>
                    <w:left w:w="0" w:type="dxa"/>
                    <w:bottom w:w="0" w:type="dxa"/>
                    <w:right w:w="0" w:type="dxa"/>
                  </w:tcMar>
                  <w:vAlign w:val="center"/>
                </w:tcPr>
                <w:p>
                  <w:pPr>
                    <w:jc w:val="center"/>
                    <w:rPr>
                      <w:rFonts w:hint="default"/>
                      <w:color w:val="auto"/>
                      <w:sz w:val="21"/>
                      <w:szCs w:val="21"/>
                      <w:highlight w:val="none"/>
                      <w:lang w:val="en-US" w:eastAsia="zh-CN"/>
                    </w:rPr>
                  </w:pPr>
                  <w:r>
                    <w:rPr>
                      <w:rFonts w:hint="eastAsia"/>
                      <w:color w:val="auto"/>
                      <w:sz w:val="21"/>
                      <w:szCs w:val="21"/>
                      <w:highlight w:val="none"/>
                      <w:lang w:val="en-US" w:eastAsia="zh-CN"/>
                    </w:rPr>
                    <w:t>2</w:t>
                  </w:r>
                </w:p>
              </w:tc>
              <w:tc>
                <w:tcPr>
                  <w:tcW w:w="584" w:type="pct"/>
                  <w:tcMar>
                    <w:top w:w="0" w:type="dxa"/>
                    <w:left w:w="0" w:type="dxa"/>
                    <w:bottom w:w="0" w:type="dxa"/>
                    <w:right w:w="0" w:type="dxa"/>
                  </w:tcMar>
                  <w:vAlign w:val="center"/>
                </w:tcPr>
                <w:p>
                  <w:pPr>
                    <w:jc w:val="center"/>
                    <w:rPr>
                      <w:color w:val="auto"/>
                      <w:szCs w:val="21"/>
                      <w:highlight w:val="none"/>
                    </w:rPr>
                  </w:pPr>
                  <w:r>
                    <w:rPr>
                      <w:rFonts w:hint="eastAsia"/>
                      <w:color w:val="auto"/>
                      <w:szCs w:val="21"/>
                      <w:highlight w:val="none"/>
                    </w:rPr>
                    <w:t>常州市和润环保科技有限公司</w:t>
                  </w:r>
                </w:p>
              </w:tc>
              <w:tc>
                <w:tcPr>
                  <w:tcW w:w="469" w:type="pct"/>
                  <w:tcMar>
                    <w:top w:w="0" w:type="dxa"/>
                    <w:left w:w="0" w:type="dxa"/>
                    <w:bottom w:w="0" w:type="dxa"/>
                    <w:right w:w="0" w:type="dxa"/>
                  </w:tcMar>
                  <w:vAlign w:val="center"/>
                </w:tcPr>
                <w:p>
                  <w:pPr>
                    <w:jc w:val="center"/>
                    <w:rPr>
                      <w:color w:val="auto"/>
                      <w:szCs w:val="21"/>
                      <w:highlight w:val="none"/>
                    </w:rPr>
                  </w:pPr>
                  <w:r>
                    <w:rPr>
                      <w:rFonts w:hint="eastAsia"/>
                      <w:color w:val="auto"/>
                      <w:szCs w:val="21"/>
                      <w:highlight w:val="none"/>
                    </w:rPr>
                    <w:t xml:space="preserve">常州市金坛区金科园华洲路5号 </w:t>
                  </w:r>
                </w:p>
              </w:tc>
              <w:tc>
                <w:tcPr>
                  <w:tcW w:w="924" w:type="pct"/>
                  <w:tcMar>
                    <w:top w:w="0" w:type="dxa"/>
                    <w:left w:w="0" w:type="dxa"/>
                    <w:bottom w:w="0" w:type="dxa"/>
                    <w:right w:w="0" w:type="dxa"/>
                  </w:tcMar>
                  <w:vAlign w:val="center"/>
                </w:tcPr>
                <w:p>
                  <w:pPr>
                    <w:jc w:val="center"/>
                    <w:rPr>
                      <w:color w:val="auto"/>
                      <w:szCs w:val="21"/>
                      <w:highlight w:val="none"/>
                    </w:rPr>
                  </w:pPr>
                  <w:r>
                    <w:rPr>
                      <w:rFonts w:hint="eastAsia"/>
                      <w:color w:val="auto"/>
                      <w:szCs w:val="21"/>
                      <w:highlight w:val="none"/>
                    </w:rPr>
                    <w:t>JS0482OOI578-1</w:t>
                  </w:r>
                </w:p>
              </w:tc>
              <w:tc>
                <w:tcPr>
                  <w:tcW w:w="2449" w:type="pct"/>
                  <w:tcMar>
                    <w:top w:w="0" w:type="dxa"/>
                    <w:left w:w="0" w:type="dxa"/>
                    <w:bottom w:w="0" w:type="dxa"/>
                    <w:right w:w="0" w:type="dxa"/>
                  </w:tcMar>
                  <w:vAlign w:val="center"/>
                </w:tcPr>
                <w:p>
                  <w:pPr>
                    <w:jc w:val="center"/>
                    <w:rPr>
                      <w:color w:val="auto"/>
                      <w:szCs w:val="21"/>
                      <w:highlight w:val="none"/>
                    </w:rPr>
                  </w:pPr>
                  <w:r>
                    <w:rPr>
                      <w:rFonts w:hint="eastAsia"/>
                      <w:color w:val="auto"/>
                      <w:szCs w:val="21"/>
                      <w:highlight w:val="none"/>
                    </w:rPr>
                    <w:t>焚烧处置医药废物（HW02）、废药物、药品（HW03）、农药废物（HW04）、木材防腐剂废物（HW05)、废有机溶剂与含有机溶剂废物（HW06）、热处理含氰废物（HW07）、废矿物油与含矿物油废物（HW08）、油/水、烃/水混合物或乳化液（HW09）、精（蒸）馏残渣（HW11）、染料、涂料废物（HW12）、有机树脂类废物（HW13）、新化学物质废物（HW14）、感光材料废物（HW16，仅限266-009-16、266-010-16、231-001-16、231-002-16、398-001-16、806-001-16、900-019-16）、表面处理废物（HW17）、含金属羰基化合物废物（HW19）、废酸（HW34，仅限251-014-34）、废碱（HW35，仅限251-015-35、261-059-35、900-399-35）、有机磷化合物废物（HW37）、有机氰化物废物（HW38）、含酚废物（HW39）、含醚废物（HW40）、含有机卤化物废物（HW45）、其他废物（HW49，仅限309-001-49、900-039-49、900-041-49、900-042-49、900-046-49、900-047-49、900-999-49）共计25000吨/年</w:t>
                  </w:r>
                </w:p>
              </w:tc>
              <w:tc>
                <w:tcPr>
                  <w:tcW w:w="416" w:type="pct"/>
                  <w:tcMar>
                    <w:top w:w="0" w:type="dxa"/>
                    <w:left w:w="0" w:type="dxa"/>
                    <w:bottom w:w="0" w:type="dxa"/>
                    <w:right w:w="0" w:type="dxa"/>
                  </w:tcMar>
                  <w:vAlign w:val="center"/>
                </w:tcPr>
                <w:p>
                  <w:pPr>
                    <w:jc w:val="center"/>
                    <w:rPr>
                      <w:rFonts w:hint="default" w:eastAsia="宋体"/>
                      <w:color w:val="auto"/>
                      <w:szCs w:val="21"/>
                      <w:highlight w:val="none"/>
                      <w:lang w:val="en-US" w:eastAsia="zh-CN"/>
                    </w:rPr>
                  </w:pPr>
                  <w:r>
                    <w:rPr>
                      <w:rFonts w:hint="eastAsia"/>
                      <w:color w:val="auto"/>
                      <w:szCs w:val="21"/>
                      <w:highlight w:val="none"/>
                      <w:lang w:val="en-US" w:eastAsia="zh-CN"/>
                    </w:rPr>
                    <w:t>25000</w:t>
                  </w:r>
                </w:p>
              </w:tc>
            </w:tr>
          </w:tbl>
          <w:p>
            <w:pPr>
              <w:pStyle w:val="13"/>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0" w:firstLineChars="200"/>
              <w:textAlignment w:val="baseline"/>
              <w:rPr>
                <w:rFonts w:ascii="Times New Roman"/>
                <w:color w:val="auto"/>
                <w:spacing w:val="0"/>
                <w:kern w:val="2"/>
                <w:sz w:val="21"/>
                <w:szCs w:val="21"/>
                <w:highlight w:val="none"/>
              </w:rPr>
            </w:pPr>
            <w:r>
              <w:rPr>
                <w:rFonts w:ascii="Times New Roman"/>
                <w:color w:val="auto"/>
                <w:spacing w:val="0"/>
                <w:kern w:val="2"/>
                <w:sz w:val="21"/>
                <w:szCs w:val="21"/>
                <w:highlight w:val="none"/>
              </w:rPr>
              <w:t>本项目待处置的危险废物为</w:t>
            </w:r>
            <w:r>
              <w:rPr>
                <w:rFonts w:ascii="Times New Roman"/>
                <w:color w:val="auto"/>
                <w:sz w:val="21"/>
                <w:szCs w:val="21"/>
                <w:highlight w:val="none"/>
                <w:lang w:bidi="ar"/>
              </w:rPr>
              <w:t>废活性炭（HW49）</w:t>
            </w:r>
            <w:r>
              <w:rPr>
                <w:rFonts w:ascii="Times New Roman"/>
                <w:color w:val="auto"/>
                <w:spacing w:val="0"/>
                <w:kern w:val="2"/>
                <w:sz w:val="21"/>
                <w:szCs w:val="21"/>
                <w:highlight w:val="none"/>
              </w:rPr>
              <w:t>，对照金坛地区现有危险废物处置单位的经营类别及许可处理能力，本项目各类危险废物均在金坛地区现有危险废物处置单位的处置范围内，各类危险废物可实现在金坛区域内处置。</w:t>
            </w:r>
          </w:p>
          <w:p>
            <w:pPr>
              <w:autoSpaceDE w:val="0"/>
              <w:autoSpaceDN w:val="0"/>
              <w:adjustRightInd w:val="0"/>
              <w:spacing w:line="360" w:lineRule="auto"/>
              <w:ind w:firstLine="422" w:firstLineChars="200"/>
              <w:rPr>
                <w:b/>
                <w:bCs/>
                <w:color w:val="auto"/>
                <w:sz w:val="21"/>
                <w:szCs w:val="21"/>
                <w:highlight w:val="none"/>
              </w:rPr>
            </w:pPr>
            <w:r>
              <w:rPr>
                <w:b/>
                <w:bCs/>
                <w:color w:val="auto"/>
                <w:sz w:val="21"/>
                <w:szCs w:val="21"/>
                <w:highlight w:val="none"/>
              </w:rPr>
              <w:t>（2）一般固体废物防治措施</w:t>
            </w:r>
          </w:p>
          <w:p>
            <w:pPr>
              <w:adjustRightInd w:val="0"/>
              <w:snapToGrid w:val="0"/>
              <w:spacing w:line="360" w:lineRule="auto"/>
              <w:ind w:firstLine="420" w:firstLineChars="200"/>
              <w:rPr>
                <w:color w:val="auto"/>
                <w:sz w:val="21"/>
                <w:szCs w:val="21"/>
                <w:highlight w:val="none"/>
              </w:rPr>
            </w:pPr>
            <w:r>
              <w:rPr>
                <w:color w:val="auto"/>
                <w:sz w:val="21"/>
                <w:szCs w:val="21"/>
                <w:highlight w:val="none"/>
              </w:rPr>
              <w:t>本项目一般固废为</w:t>
            </w:r>
            <w:r>
              <w:rPr>
                <w:rFonts w:hint="eastAsia"/>
                <w:color w:val="auto"/>
                <w:sz w:val="21"/>
                <w:szCs w:val="21"/>
                <w:highlight w:val="none"/>
              </w:rPr>
              <w:t>废包装袋</w:t>
            </w:r>
            <w:r>
              <w:rPr>
                <w:color w:val="auto"/>
                <w:sz w:val="21"/>
                <w:szCs w:val="21"/>
                <w:highlight w:val="none"/>
              </w:rPr>
              <w:t>。本项目在车间内设置一般固废暂存区1处（建筑面积</w:t>
            </w:r>
            <w:r>
              <w:rPr>
                <w:rFonts w:hint="eastAsia"/>
                <w:color w:val="auto"/>
                <w:sz w:val="21"/>
                <w:szCs w:val="21"/>
                <w:highlight w:val="none"/>
              </w:rPr>
              <w:t>30</w:t>
            </w:r>
            <w:r>
              <w:rPr>
                <w:color w:val="auto"/>
                <w:sz w:val="21"/>
                <w:szCs w:val="21"/>
                <w:highlight w:val="none"/>
              </w:rPr>
              <w:t>m</w:t>
            </w:r>
            <w:r>
              <w:rPr>
                <w:color w:val="auto"/>
                <w:sz w:val="21"/>
                <w:szCs w:val="21"/>
                <w:highlight w:val="none"/>
                <w:vertAlign w:val="superscript"/>
              </w:rPr>
              <w:t>2</w:t>
            </w:r>
            <w:r>
              <w:rPr>
                <w:color w:val="auto"/>
                <w:sz w:val="21"/>
                <w:szCs w:val="21"/>
                <w:highlight w:val="none"/>
              </w:rPr>
              <w:t>），一般固废暂存需满足《一般工业固体废物贮存、处置场污染控制标准》（GB18599-2020 ）中要求。具体要求如下：</w:t>
            </w:r>
          </w:p>
          <w:p>
            <w:pPr>
              <w:adjustRightInd w:val="0"/>
              <w:snapToGrid w:val="0"/>
              <w:spacing w:line="360" w:lineRule="auto"/>
              <w:ind w:firstLine="420" w:firstLineChars="200"/>
              <w:rPr>
                <w:color w:val="auto"/>
                <w:sz w:val="21"/>
                <w:szCs w:val="21"/>
                <w:highlight w:val="none"/>
              </w:rPr>
            </w:pPr>
            <w:r>
              <w:rPr>
                <w:color w:val="auto"/>
                <w:sz w:val="21"/>
                <w:szCs w:val="21"/>
                <w:highlight w:val="none"/>
              </w:rPr>
              <w:t>①贮存、处置场的建设类型必须与将要堆放的一般工业固体废物的类别一致。</w:t>
            </w:r>
          </w:p>
          <w:p>
            <w:pPr>
              <w:adjustRightInd w:val="0"/>
              <w:snapToGrid w:val="0"/>
              <w:spacing w:line="360" w:lineRule="auto"/>
              <w:ind w:firstLine="420" w:firstLineChars="200"/>
              <w:rPr>
                <w:color w:val="auto"/>
                <w:sz w:val="21"/>
                <w:szCs w:val="21"/>
                <w:highlight w:val="none"/>
              </w:rPr>
            </w:pPr>
            <w:r>
              <w:rPr>
                <w:color w:val="auto"/>
                <w:sz w:val="21"/>
                <w:szCs w:val="21"/>
                <w:highlight w:val="none"/>
              </w:rPr>
              <w:t>②加强监督管理，采取防火、防扬散、防雨、防流失措施，贮存、处置场应按GB1552.2设置环境保护图形标志。</w:t>
            </w:r>
          </w:p>
          <w:p>
            <w:pPr>
              <w:adjustRightInd w:val="0"/>
              <w:snapToGrid w:val="0"/>
              <w:spacing w:line="360" w:lineRule="auto"/>
              <w:ind w:firstLine="420" w:firstLineChars="200"/>
              <w:rPr>
                <w:color w:val="auto"/>
                <w:sz w:val="21"/>
                <w:szCs w:val="21"/>
                <w:highlight w:val="none"/>
              </w:rPr>
            </w:pPr>
            <w:r>
              <w:rPr>
                <w:color w:val="auto"/>
                <w:sz w:val="21"/>
                <w:szCs w:val="21"/>
                <w:highlight w:val="none"/>
              </w:rPr>
              <w:t>③一般工业固废贮存场所的选址应符合相关法律法规的要求，满足地基承载力要求，避开断层、岩溶发育区、天然滑坡或泥石流影响区，避开江河、湖泊、水库最高水位线以下的滩地和洪泛区，远离规划水库等淹没区和保护区外。</w:t>
            </w:r>
          </w:p>
          <w:p>
            <w:pPr>
              <w:adjustRightInd w:val="0"/>
              <w:snapToGrid w:val="0"/>
              <w:spacing w:line="360" w:lineRule="auto"/>
              <w:ind w:firstLine="420" w:firstLineChars="200"/>
              <w:rPr>
                <w:color w:val="auto"/>
                <w:sz w:val="21"/>
                <w:szCs w:val="21"/>
                <w:highlight w:val="none"/>
              </w:rPr>
            </w:pPr>
            <w:r>
              <w:rPr>
                <w:color w:val="auto"/>
                <w:sz w:val="21"/>
                <w:szCs w:val="21"/>
                <w:highlight w:val="none"/>
              </w:rPr>
              <w:t>④一般工业固废贮存场所应具备防渗漏措施。</w:t>
            </w:r>
          </w:p>
          <w:p>
            <w:pPr>
              <w:adjustRightInd w:val="0"/>
              <w:snapToGrid w:val="0"/>
              <w:spacing w:line="360" w:lineRule="auto"/>
              <w:ind w:firstLine="420" w:firstLineChars="200"/>
              <w:rPr>
                <w:color w:val="auto"/>
                <w:sz w:val="21"/>
                <w:szCs w:val="21"/>
                <w:highlight w:val="none"/>
              </w:rPr>
            </w:pPr>
            <w:r>
              <w:rPr>
                <w:color w:val="auto"/>
                <w:sz w:val="21"/>
                <w:szCs w:val="21"/>
                <w:highlight w:val="none"/>
              </w:rPr>
              <w:t>⑤</w:t>
            </w:r>
            <w:r>
              <w:rPr>
                <w:color w:val="auto"/>
                <w:sz w:val="21"/>
                <w:szCs w:val="21"/>
                <w:highlight w:val="none"/>
              </w:rPr>
              <w:fldChar w:fldCharType="begin"/>
            </w:r>
            <w:r>
              <w:rPr>
                <w:color w:val="auto"/>
                <w:sz w:val="21"/>
                <w:szCs w:val="21"/>
                <w:highlight w:val="none"/>
              </w:rPr>
              <w:instrText xml:space="preserve"> = 1 \* ROMAN </w:instrText>
            </w:r>
            <w:r>
              <w:rPr>
                <w:color w:val="auto"/>
                <w:sz w:val="21"/>
                <w:szCs w:val="21"/>
                <w:highlight w:val="none"/>
              </w:rPr>
              <w:fldChar w:fldCharType="separate"/>
            </w:r>
            <w:r>
              <w:rPr>
                <w:color w:val="auto"/>
                <w:sz w:val="21"/>
                <w:szCs w:val="21"/>
                <w:highlight w:val="none"/>
              </w:rPr>
              <w:t>I</w:t>
            </w:r>
            <w:r>
              <w:rPr>
                <w:color w:val="auto"/>
                <w:sz w:val="21"/>
                <w:szCs w:val="21"/>
                <w:highlight w:val="none"/>
              </w:rPr>
              <w:fldChar w:fldCharType="end"/>
            </w:r>
            <w:r>
              <w:rPr>
                <w:color w:val="auto"/>
                <w:sz w:val="21"/>
                <w:szCs w:val="21"/>
                <w:highlight w:val="none"/>
              </w:rPr>
              <w:t>类工业固废贮存场所当天然基础层饱和渗透系数小于1.0×10</w:t>
            </w:r>
            <w:r>
              <w:rPr>
                <w:color w:val="auto"/>
                <w:sz w:val="21"/>
                <w:szCs w:val="21"/>
                <w:highlight w:val="none"/>
                <w:vertAlign w:val="superscript"/>
              </w:rPr>
              <w:t>-5</w:t>
            </w:r>
            <w:r>
              <w:rPr>
                <w:color w:val="auto"/>
                <w:sz w:val="21"/>
                <w:szCs w:val="21"/>
                <w:highlight w:val="none"/>
              </w:rPr>
              <w:t>cm/s，且厚度不小于0.75m时，可以使用天然基础层作为防渗衬层，当天然基础层不满足防渗要求时，可采用同等效力的其他材料做防渗衬层，防渗性能不低于渗透系数1.0×10</w:t>
            </w:r>
            <w:r>
              <w:rPr>
                <w:color w:val="auto"/>
                <w:sz w:val="21"/>
                <w:szCs w:val="21"/>
                <w:highlight w:val="none"/>
                <w:vertAlign w:val="superscript"/>
              </w:rPr>
              <w:t>-5</w:t>
            </w:r>
            <w:r>
              <w:rPr>
                <w:color w:val="auto"/>
                <w:sz w:val="21"/>
                <w:szCs w:val="21"/>
                <w:highlight w:val="none"/>
              </w:rPr>
              <w:t>cm/s，厚度0.75m。</w:t>
            </w:r>
          </w:p>
          <w:p>
            <w:pPr>
              <w:adjustRightInd w:val="0"/>
              <w:snapToGrid w:val="0"/>
              <w:spacing w:line="360" w:lineRule="auto"/>
              <w:ind w:firstLine="422" w:firstLineChars="200"/>
              <w:rPr>
                <w:b/>
                <w:bCs/>
                <w:color w:val="auto"/>
                <w:sz w:val="21"/>
                <w:szCs w:val="21"/>
                <w:highlight w:val="none"/>
              </w:rPr>
            </w:pPr>
            <w:r>
              <w:rPr>
                <w:b/>
                <w:bCs/>
                <w:color w:val="auto"/>
                <w:sz w:val="21"/>
                <w:szCs w:val="21"/>
                <w:highlight w:val="none"/>
              </w:rPr>
              <w:t>（3）生活垃圾防治措施</w:t>
            </w:r>
          </w:p>
          <w:p>
            <w:pPr>
              <w:spacing w:line="360" w:lineRule="auto"/>
              <w:ind w:firstLine="420" w:firstLineChars="200"/>
              <w:rPr>
                <w:color w:val="auto"/>
                <w:sz w:val="21"/>
                <w:szCs w:val="21"/>
                <w:highlight w:val="none"/>
              </w:rPr>
            </w:pPr>
            <w:r>
              <w:rPr>
                <w:color w:val="auto"/>
                <w:sz w:val="21"/>
                <w:szCs w:val="21"/>
                <w:highlight w:val="none"/>
              </w:rPr>
              <w:t>厂内设置垃圾桶若干，</w:t>
            </w:r>
            <w:r>
              <w:rPr>
                <w:rFonts w:hint="eastAsia"/>
                <w:color w:val="auto"/>
                <w:sz w:val="21"/>
                <w:szCs w:val="21"/>
                <w:highlight w:val="none"/>
              </w:rPr>
              <w:t>员工</w:t>
            </w:r>
            <w:r>
              <w:rPr>
                <w:color w:val="auto"/>
                <w:sz w:val="21"/>
                <w:szCs w:val="21"/>
                <w:highlight w:val="none"/>
              </w:rPr>
              <w:t>生活垃圾由环卫部门定期清运，可得到有效处置。</w:t>
            </w:r>
          </w:p>
          <w:p>
            <w:pPr>
              <w:pStyle w:val="37"/>
              <w:spacing w:line="360" w:lineRule="auto"/>
              <w:ind w:firstLine="482"/>
              <w:rPr>
                <w:rFonts w:eastAsia="宋体"/>
                <w:b/>
                <w:bCs/>
                <w:color w:val="auto"/>
                <w:sz w:val="21"/>
                <w:szCs w:val="21"/>
                <w:highlight w:val="none"/>
              </w:rPr>
            </w:pPr>
            <w:r>
              <w:rPr>
                <w:rFonts w:eastAsia="宋体"/>
                <w:b/>
                <w:bCs/>
                <w:color w:val="auto"/>
                <w:sz w:val="21"/>
                <w:szCs w:val="21"/>
                <w:highlight w:val="none"/>
              </w:rPr>
              <w:t>（4）固体废物环境管理要求</w:t>
            </w:r>
          </w:p>
          <w:p>
            <w:pPr>
              <w:adjustRightInd w:val="0"/>
              <w:snapToGrid w:val="0"/>
              <w:spacing w:line="360" w:lineRule="auto"/>
              <w:ind w:firstLine="420" w:firstLineChars="200"/>
              <w:rPr>
                <w:color w:val="auto"/>
                <w:sz w:val="21"/>
                <w:szCs w:val="21"/>
                <w:highlight w:val="none"/>
              </w:rPr>
            </w:pPr>
            <w:r>
              <w:rPr>
                <w:color w:val="auto"/>
                <w:sz w:val="21"/>
                <w:szCs w:val="21"/>
                <w:highlight w:val="none"/>
              </w:rPr>
              <w:t>企业为固体废物污染防治的责任主体，企业应建立有关转移管理的相关规定、人员培训考核制度、档案管理制度、全过程管理制度等。</w:t>
            </w:r>
          </w:p>
          <w:p>
            <w:pPr>
              <w:adjustRightInd w:val="0"/>
              <w:snapToGrid w:val="0"/>
              <w:spacing w:line="360" w:lineRule="auto"/>
              <w:ind w:firstLine="420" w:firstLineChars="200"/>
              <w:rPr>
                <w:color w:val="auto"/>
                <w:sz w:val="21"/>
                <w:szCs w:val="21"/>
                <w:highlight w:val="none"/>
              </w:rPr>
            </w:pPr>
            <w:r>
              <w:rPr>
                <w:color w:val="auto"/>
                <w:sz w:val="21"/>
                <w:szCs w:val="21"/>
                <w:highlight w:val="none"/>
              </w:rPr>
              <w:t>将固体废物的实际产生、贮存、利用、处置等情况纳入进行记录，建立柜体废物台账。</w:t>
            </w:r>
          </w:p>
          <w:p>
            <w:pPr>
              <w:adjustRightInd w:val="0"/>
              <w:snapToGrid w:val="0"/>
              <w:spacing w:line="360" w:lineRule="auto"/>
              <w:ind w:firstLine="420" w:firstLineChars="200"/>
              <w:rPr>
                <w:color w:val="auto"/>
                <w:sz w:val="21"/>
                <w:szCs w:val="21"/>
                <w:highlight w:val="none"/>
              </w:rPr>
            </w:pPr>
            <w:r>
              <w:rPr>
                <w:color w:val="auto"/>
                <w:sz w:val="21"/>
                <w:szCs w:val="21"/>
                <w:highlight w:val="none"/>
              </w:rPr>
              <w:t>企业应规范一般固废贮存场，并按照要求张贴标识。</w:t>
            </w:r>
          </w:p>
          <w:p>
            <w:pPr>
              <w:adjustRightInd w:val="0"/>
              <w:snapToGrid w:val="0"/>
              <w:spacing w:line="360" w:lineRule="auto"/>
              <w:ind w:firstLine="422" w:firstLineChars="200"/>
              <w:rPr>
                <w:b/>
                <w:bCs/>
                <w:color w:val="auto"/>
                <w:sz w:val="21"/>
                <w:szCs w:val="21"/>
                <w:highlight w:val="none"/>
              </w:rPr>
            </w:pPr>
            <w:r>
              <w:rPr>
                <w:b/>
                <w:bCs/>
                <w:color w:val="auto"/>
                <w:sz w:val="21"/>
                <w:szCs w:val="21"/>
                <w:highlight w:val="none"/>
              </w:rPr>
              <w:t>（5）固体废物环境影响分析结论</w:t>
            </w:r>
          </w:p>
          <w:p>
            <w:pPr>
              <w:adjustRightInd w:val="0"/>
              <w:snapToGrid w:val="0"/>
              <w:spacing w:line="360" w:lineRule="auto"/>
              <w:ind w:firstLine="420" w:firstLineChars="200"/>
              <w:rPr>
                <w:color w:val="auto"/>
                <w:sz w:val="21"/>
                <w:szCs w:val="21"/>
                <w:highlight w:val="none"/>
              </w:rPr>
            </w:pPr>
            <w:r>
              <w:rPr>
                <w:color w:val="auto"/>
                <w:sz w:val="21"/>
                <w:szCs w:val="21"/>
                <w:highlight w:val="none"/>
              </w:rPr>
              <w:t>依据固体废物的种类、产生量及其管理的全过程可能造成的环境影响进行分析：</w:t>
            </w:r>
          </w:p>
          <w:p>
            <w:pPr>
              <w:adjustRightInd w:val="0"/>
              <w:snapToGrid w:val="0"/>
              <w:spacing w:line="360" w:lineRule="auto"/>
              <w:ind w:firstLine="420" w:firstLineChars="200"/>
              <w:rPr>
                <w:color w:val="auto"/>
                <w:sz w:val="21"/>
                <w:szCs w:val="21"/>
                <w:highlight w:val="none"/>
              </w:rPr>
            </w:pPr>
            <w:r>
              <w:rPr>
                <w:color w:val="auto"/>
                <w:sz w:val="21"/>
                <w:szCs w:val="21"/>
                <w:highlight w:val="none"/>
              </w:rPr>
              <w:t>①全厂固废分类收集与贮存，不混放，固废相互间不影响。</w:t>
            </w:r>
          </w:p>
          <w:p>
            <w:pPr>
              <w:adjustRightInd w:val="0"/>
              <w:snapToGrid w:val="0"/>
              <w:spacing w:line="360" w:lineRule="auto"/>
              <w:ind w:firstLine="420" w:firstLineChars="200"/>
              <w:rPr>
                <w:color w:val="auto"/>
                <w:sz w:val="21"/>
                <w:szCs w:val="21"/>
                <w:highlight w:val="none"/>
              </w:rPr>
            </w:pPr>
            <w:r>
              <w:rPr>
                <w:color w:val="auto"/>
                <w:sz w:val="21"/>
                <w:szCs w:val="21"/>
                <w:highlight w:val="none"/>
              </w:rPr>
              <w:t>②全厂固废运输由专业的运输单位负责，在运输过程中采用封闭运输，运输过程中不易散落和泄漏的，对环境影响较小。</w:t>
            </w:r>
          </w:p>
          <w:p>
            <w:pPr>
              <w:adjustRightInd w:val="0"/>
              <w:snapToGrid w:val="0"/>
              <w:spacing w:line="360" w:lineRule="auto"/>
              <w:ind w:firstLine="420" w:firstLineChars="200"/>
              <w:rPr>
                <w:color w:val="auto"/>
                <w:sz w:val="21"/>
                <w:szCs w:val="21"/>
                <w:highlight w:val="none"/>
              </w:rPr>
            </w:pPr>
            <w:r>
              <w:rPr>
                <w:color w:val="auto"/>
                <w:sz w:val="21"/>
                <w:szCs w:val="21"/>
                <w:highlight w:val="none"/>
              </w:rPr>
              <w:t>③固废的贮存场所地面采用防渗地面，发生渗漏等事故可能性较小或甚微，对土壤、地下水产生的影响较小。</w:t>
            </w:r>
          </w:p>
          <w:p>
            <w:pPr>
              <w:adjustRightInd w:val="0"/>
              <w:snapToGrid w:val="0"/>
              <w:spacing w:line="360" w:lineRule="auto"/>
              <w:ind w:firstLine="420" w:firstLineChars="200"/>
              <w:rPr>
                <w:color w:val="auto"/>
                <w:sz w:val="21"/>
                <w:szCs w:val="21"/>
                <w:highlight w:val="none"/>
              </w:rPr>
            </w:pPr>
            <w:r>
              <w:rPr>
                <w:color w:val="auto"/>
                <w:sz w:val="21"/>
                <w:szCs w:val="21"/>
                <w:highlight w:val="none"/>
              </w:rPr>
              <w:t>④全厂的固废通过外卖、环卫清运方式处置或利用，均不在厂内自行建设施处理，对大气、水体、土壤环境基本不产生影响。</w:t>
            </w:r>
          </w:p>
          <w:p>
            <w:pPr>
              <w:adjustRightInd w:val="0"/>
              <w:snapToGrid w:val="0"/>
              <w:spacing w:line="360" w:lineRule="auto"/>
              <w:ind w:firstLine="420" w:firstLineChars="200"/>
              <w:rPr>
                <w:color w:val="auto"/>
                <w:sz w:val="21"/>
                <w:szCs w:val="21"/>
                <w:highlight w:val="none"/>
              </w:rPr>
            </w:pPr>
            <w:r>
              <w:rPr>
                <w:color w:val="auto"/>
                <w:sz w:val="21"/>
                <w:szCs w:val="21"/>
                <w:highlight w:val="none"/>
              </w:rPr>
              <w:t>因此，项目所产生的固废均得到合理处置，固废零排放，对周围环境影响较小。</w:t>
            </w:r>
          </w:p>
          <w:p>
            <w:pPr>
              <w:pStyle w:val="11"/>
              <w:spacing w:line="360" w:lineRule="auto"/>
              <w:ind w:left="0" w:leftChars="0" w:right="0" w:rightChars="0" w:firstLine="482"/>
              <w:jc w:val="left"/>
              <w:rPr>
                <w:b/>
                <w:bCs/>
                <w:color w:val="auto"/>
                <w:sz w:val="21"/>
                <w:szCs w:val="21"/>
                <w:highlight w:val="none"/>
              </w:rPr>
            </w:pPr>
            <w:r>
              <w:rPr>
                <w:b/>
                <w:bCs/>
                <w:color w:val="auto"/>
                <w:sz w:val="21"/>
                <w:szCs w:val="21"/>
                <w:highlight w:val="none"/>
              </w:rPr>
              <w:t>五、土壤和地下水环境影响分析</w:t>
            </w:r>
          </w:p>
          <w:p>
            <w:pPr>
              <w:pStyle w:val="11"/>
              <w:spacing w:line="360" w:lineRule="auto"/>
              <w:ind w:left="0" w:leftChars="0" w:right="0" w:rightChars="0" w:firstLine="480"/>
              <w:jc w:val="left"/>
              <w:rPr>
                <w:b/>
                <w:bCs/>
                <w:color w:val="auto"/>
                <w:sz w:val="21"/>
                <w:szCs w:val="21"/>
                <w:highlight w:val="none"/>
              </w:rPr>
            </w:pPr>
            <w:r>
              <w:rPr>
                <w:rFonts w:hint="eastAsia"/>
                <w:color w:val="auto"/>
                <w:sz w:val="21"/>
                <w:szCs w:val="21"/>
                <w:highlight w:val="none"/>
              </w:rPr>
              <w:t>项目主体厂房位于2楼，原辅材料均为固态，下渗风险较小，危险废物储存区等应采取防渗措施，按照《危险废物贮存污染控制》（GB18597-2001）的要求进行设计、施工，对周围土壤环境及地下水影响较小。</w:t>
            </w:r>
          </w:p>
          <w:p>
            <w:pPr>
              <w:pStyle w:val="11"/>
              <w:numPr>
                <w:ilvl w:val="0"/>
                <w:numId w:val="9"/>
              </w:numPr>
              <w:spacing w:line="360" w:lineRule="auto"/>
              <w:ind w:left="0" w:leftChars="0" w:right="0" w:rightChars="0" w:firstLine="482"/>
              <w:jc w:val="left"/>
              <w:rPr>
                <w:b/>
                <w:bCs/>
                <w:color w:val="auto"/>
                <w:sz w:val="21"/>
                <w:szCs w:val="21"/>
                <w:highlight w:val="none"/>
              </w:rPr>
            </w:pPr>
            <w:r>
              <w:rPr>
                <w:b/>
                <w:bCs/>
                <w:color w:val="auto"/>
                <w:sz w:val="21"/>
                <w:szCs w:val="21"/>
                <w:highlight w:val="none"/>
              </w:rPr>
              <w:t>污染源分析</w:t>
            </w:r>
          </w:p>
          <w:p>
            <w:pPr>
              <w:pStyle w:val="11"/>
              <w:spacing w:line="360" w:lineRule="auto"/>
              <w:ind w:left="0" w:leftChars="0" w:right="0" w:rightChars="0" w:firstLine="480"/>
              <w:jc w:val="left"/>
              <w:rPr>
                <w:color w:val="auto"/>
                <w:sz w:val="21"/>
                <w:szCs w:val="21"/>
                <w:highlight w:val="none"/>
              </w:rPr>
            </w:pPr>
            <w:r>
              <w:rPr>
                <w:rFonts w:hint="eastAsia"/>
                <w:color w:val="auto"/>
                <w:sz w:val="21"/>
                <w:szCs w:val="21"/>
                <w:highlight w:val="none"/>
              </w:rPr>
              <w:t>经过筛选、评估，本项目可能影响土壤、地下水环境的途径为危险废物散落，雨污管网系统老化造成污水渗漏。</w:t>
            </w:r>
          </w:p>
          <w:p>
            <w:pPr>
              <w:pStyle w:val="11"/>
              <w:spacing w:line="360" w:lineRule="auto"/>
              <w:ind w:left="0" w:leftChars="0" w:right="0" w:rightChars="0" w:firstLine="482"/>
              <w:jc w:val="left"/>
              <w:rPr>
                <w:b/>
                <w:bCs/>
                <w:color w:val="auto"/>
                <w:sz w:val="21"/>
                <w:szCs w:val="21"/>
                <w:highlight w:val="none"/>
              </w:rPr>
            </w:pPr>
            <w:r>
              <w:rPr>
                <w:rFonts w:hint="eastAsia"/>
                <w:b/>
                <w:bCs/>
                <w:color w:val="auto"/>
                <w:sz w:val="21"/>
                <w:szCs w:val="21"/>
                <w:highlight w:val="none"/>
              </w:rPr>
              <w:t>2、防渗要求</w:t>
            </w:r>
          </w:p>
          <w:p>
            <w:pPr>
              <w:spacing w:line="360" w:lineRule="auto"/>
              <w:ind w:firstLine="420" w:firstLineChars="200"/>
              <w:rPr>
                <w:color w:val="auto"/>
                <w:sz w:val="21"/>
                <w:szCs w:val="21"/>
                <w:highlight w:val="none"/>
              </w:rPr>
            </w:pPr>
            <w:r>
              <w:rPr>
                <w:rFonts w:hint="eastAsia"/>
                <w:color w:val="auto"/>
                <w:sz w:val="21"/>
                <w:szCs w:val="21"/>
                <w:highlight w:val="none"/>
              </w:rPr>
              <w:t>①</w:t>
            </w:r>
            <w:r>
              <w:rPr>
                <w:color w:val="auto"/>
                <w:sz w:val="21"/>
                <w:szCs w:val="21"/>
                <w:highlight w:val="none"/>
              </w:rPr>
              <w:t>源头上控制对土壤及地下水的污染</w:t>
            </w:r>
          </w:p>
          <w:p>
            <w:pPr>
              <w:spacing w:line="360" w:lineRule="auto"/>
              <w:ind w:firstLine="420" w:firstLineChars="200"/>
              <w:rPr>
                <w:color w:val="auto"/>
                <w:sz w:val="21"/>
                <w:szCs w:val="21"/>
                <w:highlight w:val="none"/>
              </w:rPr>
            </w:pPr>
            <w:r>
              <w:rPr>
                <w:color w:val="auto"/>
                <w:sz w:val="21"/>
                <w:szCs w:val="21"/>
                <w:highlight w:val="none"/>
              </w:rPr>
              <w:t>实施清洁生产和循环经济，减少污染物的排放量。从设计、管理设备和物料运输线路上，防止和减少</w:t>
            </w:r>
            <w:r>
              <w:rPr>
                <w:rFonts w:hint="eastAsia"/>
                <w:color w:val="auto"/>
                <w:sz w:val="21"/>
                <w:szCs w:val="21"/>
                <w:highlight w:val="none"/>
              </w:rPr>
              <w:t>固态</w:t>
            </w:r>
            <w:r>
              <w:rPr>
                <w:color w:val="auto"/>
                <w:sz w:val="21"/>
                <w:szCs w:val="21"/>
                <w:highlight w:val="none"/>
              </w:rPr>
              <w:t>污染物的</w:t>
            </w:r>
            <w:r>
              <w:rPr>
                <w:rFonts w:hint="eastAsia"/>
                <w:color w:val="auto"/>
                <w:sz w:val="21"/>
                <w:szCs w:val="21"/>
                <w:highlight w:val="none"/>
              </w:rPr>
              <w:t>散落</w:t>
            </w:r>
            <w:r>
              <w:rPr>
                <w:color w:val="auto"/>
                <w:sz w:val="21"/>
                <w:szCs w:val="21"/>
                <w:highlight w:val="none"/>
              </w:rPr>
              <w:t>；</w:t>
            </w:r>
            <w:r>
              <w:rPr>
                <w:rFonts w:hint="eastAsia"/>
                <w:color w:val="auto"/>
                <w:sz w:val="21"/>
                <w:szCs w:val="21"/>
                <w:highlight w:val="none"/>
              </w:rPr>
              <w:t>建设完善的雨污管网系统，污水管道采用专用防渗管沟，保证污水能够顺畅排入市政管网</w:t>
            </w:r>
            <w:r>
              <w:rPr>
                <w:color w:val="auto"/>
                <w:sz w:val="21"/>
                <w:szCs w:val="21"/>
                <w:highlight w:val="none"/>
              </w:rPr>
              <w:t>合理布局，</w:t>
            </w:r>
            <w:r>
              <w:rPr>
                <w:rFonts w:hint="eastAsia"/>
                <w:color w:val="auto"/>
                <w:sz w:val="21"/>
                <w:szCs w:val="21"/>
                <w:highlight w:val="none"/>
              </w:rPr>
              <w:t>防止污水跑冒滴漏</w:t>
            </w:r>
            <w:r>
              <w:rPr>
                <w:color w:val="auto"/>
                <w:sz w:val="21"/>
                <w:szCs w:val="21"/>
                <w:highlight w:val="none"/>
              </w:rPr>
              <w:t>。</w:t>
            </w:r>
          </w:p>
          <w:p>
            <w:pPr>
              <w:spacing w:line="360" w:lineRule="auto"/>
              <w:ind w:firstLine="420" w:firstLineChars="200"/>
              <w:rPr>
                <w:color w:val="auto"/>
                <w:sz w:val="21"/>
                <w:szCs w:val="21"/>
                <w:highlight w:val="none"/>
              </w:rPr>
            </w:pPr>
            <w:r>
              <w:rPr>
                <w:rFonts w:hint="eastAsia"/>
                <w:color w:val="auto"/>
                <w:sz w:val="21"/>
                <w:szCs w:val="21"/>
                <w:highlight w:val="none"/>
              </w:rPr>
              <w:t>②污染防治措施</w:t>
            </w:r>
          </w:p>
          <w:p>
            <w:pPr>
              <w:spacing w:line="360" w:lineRule="auto"/>
              <w:ind w:firstLine="420" w:firstLineChars="200"/>
              <w:rPr>
                <w:rStyle w:val="30"/>
                <w:b/>
                <w:bCs/>
                <w:color w:val="auto"/>
                <w:sz w:val="21"/>
                <w:szCs w:val="21"/>
                <w:highlight w:val="none"/>
              </w:rPr>
            </w:pPr>
            <w:r>
              <w:rPr>
                <w:color w:val="auto"/>
                <w:sz w:val="21"/>
                <w:szCs w:val="21"/>
                <w:highlight w:val="none"/>
              </w:rPr>
              <w:t>为防止物料、废物等跑、冒、滴、漏以及产生渗漏水污染地下水和土壤，项目应当采取分区防渗措施，本项目具体防渗要求详见下表</w:t>
            </w:r>
            <w:r>
              <w:rPr>
                <w:rFonts w:hint="eastAsia"/>
                <w:color w:val="auto"/>
                <w:sz w:val="21"/>
                <w:szCs w:val="21"/>
                <w:highlight w:val="none"/>
              </w:rPr>
              <w:t>：</w:t>
            </w:r>
          </w:p>
          <w:p>
            <w:pPr>
              <w:jc w:val="center"/>
              <w:rPr>
                <w:rStyle w:val="30"/>
                <w:b/>
                <w:bCs/>
                <w:color w:val="auto"/>
                <w:sz w:val="21"/>
                <w:szCs w:val="21"/>
                <w:highlight w:val="none"/>
              </w:rPr>
            </w:pPr>
          </w:p>
          <w:p>
            <w:pPr>
              <w:jc w:val="center"/>
              <w:rPr>
                <w:rStyle w:val="30"/>
                <w:b/>
                <w:bCs/>
                <w:color w:val="auto"/>
                <w:sz w:val="21"/>
                <w:szCs w:val="21"/>
                <w:highlight w:val="none"/>
              </w:rPr>
            </w:pPr>
          </w:p>
          <w:p>
            <w:pPr>
              <w:jc w:val="center"/>
              <w:rPr>
                <w:rStyle w:val="30"/>
                <w:b/>
                <w:bCs/>
                <w:color w:val="auto"/>
                <w:sz w:val="21"/>
                <w:szCs w:val="21"/>
                <w:highlight w:val="none"/>
              </w:rPr>
            </w:pPr>
          </w:p>
          <w:p>
            <w:pPr>
              <w:jc w:val="center"/>
              <w:rPr>
                <w:rStyle w:val="30"/>
                <w:b/>
                <w:bCs/>
                <w:color w:val="auto"/>
                <w:sz w:val="21"/>
                <w:szCs w:val="21"/>
                <w:highlight w:val="none"/>
              </w:rPr>
            </w:pPr>
          </w:p>
          <w:p>
            <w:pPr>
              <w:jc w:val="center"/>
              <w:rPr>
                <w:rStyle w:val="30"/>
                <w:b/>
                <w:bCs/>
                <w:color w:val="auto"/>
                <w:sz w:val="21"/>
                <w:szCs w:val="21"/>
                <w:highlight w:val="none"/>
              </w:rPr>
            </w:pPr>
            <w:r>
              <w:rPr>
                <w:rStyle w:val="30"/>
                <w:b/>
                <w:bCs/>
                <w:color w:val="auto"/>
                <w:sz w:val="21"/>
                <w:szCs w:val="21"/>
                <w:highlight w:val="none"/>
              </w:rPr>
              <w:t>表4-2</w:t>
            </w:r>
            <w:r>
              <w:rPr>
                <w:rStyle w:val="30"/>
                <w:rFonts w:hint="eastAsia"/>
                <w:b/>
                <w:bCs/>
                <w:color w:val="auto"/>
                <w:sz w:val="21"/>
                <w:szCs w:val="21"/>
                <w:highlight w:val="none"/>
                <w:lang w:val="en-US" w:eastAsia="zh-CN"/>
              </w:rPr>
              <w:t>8</w:t>
            </w:r>
            <w:r>
              <w:rPr>
                <w:rStyle w:val="30"/>
                <w:b/>
                <w:bCs/>
                <w:color w:val="auto"/>
                <w:sz w:val="21"/>
                <w:szCs w:val="21"/>
                <w:highlight w:val="none"/>
              </w:rPr>
              <w:t xml:space="preserve"> 地下水、土壤污染源</w:t>
            </w:r>
          </w:p>
          <w:tbl>
            <w:tblPr>
              <w:tblStyle w:val="25"/>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287"/>
              <w:gridCol w:w="845"/>
              <w:gridCol w:w="634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40" w:hRule="atLeast"/>
              </w:trPr>
              <w:tc>
                <w:tcPr>
                  <w:tcW w:w="759" w:type="pct"/>
                  <w:vAlign w:val="center"/>
                </w:tcPr>
                <w:p>
                  <w:pPr>
                    <w:jc w:val="center"/>
                    <w:rPr>
                      <w:rStyle w:val="30"/>
                      <w:b/>
                      <w:bCs/>
                      <w:color w:val="auto"/>
                      <w:sz w:val="21"/>
                      <w:szCs w:val="21"/>
                      <w:highlight w:val="none"/>
                    </w:rPr>
                  </w:pPr>
                  <w:r>
                    <w:rPr>
                      <w:rStyle w:val="30"/>
                      <w:b/>
                      <w:bCs/>
                      <w:color w:val="auto"/>
                      <w:sz w:val="21"/>
                      <w:szCs w:val="21"/>
                      <w:highlight w:val="none"/>
                    </w:rPr>
                    <w:t>防渗区域</w:t>
                  </w:r>
                </w:p>
              </w:tc>
              <w:tc>
                <w:tcPr>
                  <w:tcW w:w="498" w:type="pct"/>
                  <w:vAlign w:val="center"/>
                </w:tcPr>
                <w:p>
                  <w:pPr>
                    <w:jc w:val="center"/>
                    <w:rPr>
                      <w:rStyle w:val="30"/>
                      <w:b/>
                      <w:bCs/>
                      <w:color w:val="auto"/>
                      <w:sz w:val="21"/>
                      <w:szCs w:val="21"/>
                      <w:highlight w:val="none"/>
                    </w:rPr>
                  </w:pPr>
                  <w:r>
                    <w:rPr>
                      <w:rStyle w:val="30"/>
                      <w:b/>
                      <w:bCs/>
                      <w:color w:val="auto"/>
                      <w:sz w:val="21"/>
                      <w:szCs w:val="21"/>
                      <w:highlight w:val="none"/>
                    </w:rPr>
                    <w:t>防渗类别</w:t>
                  </w:r>
                </w:p>
              </w:tc>
              <w:tc>
                <w:tcPr>
                  <w:tcW w:w="3742" w:type="pct"/>
                  <w:vAlign w:val="center"/>
                </w:tcPr>
                <w:p>
                  <w:pPr>
                    <w:jc w:val="center"/>
                    <w:rPr>
                      <w:rStyle w:val="30"/>
                      <w:b/>
                      <w:bCs/>
                      <w:color w:val="auto"/>
                      <w:sz w:val="21"/>
                      <w:szCs w:val="21"/>
                      <w:highlight w:val="none"/>
                    </w:rPr>
                  </w:pPr>
                  <w:r>
                    <w:rPr>
                      <w:rStyle w:val="30"/>
                      <w:b/>
                      <w:bCs/>
                      <w:color w:val="auto"/>
                      <w:sz w:val="21"/>
                      <w:szCs w:val="21"/>
                      <w:highlight w:val="none"/>
                    </w:rPr>
                    <w:t>防渗要求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759" w:type="pct"/>
                  <w:vAlign w:val="center"/>
                </w:tcPr>
                <w:p>
                  <w:pPr>
                    <w:jc w:val="center"/>
                    <w:rPr>
                      <w:rStyle w:val="30"/>
                      <w:color w:val="auto"/>
                      <w:sz w:val="21"/>
                      <w:szCs w:val="21"/>
                      <w:highlight w:val="none"/>
                    </w:rPr>
                  </w:pPr>
                  <w:r>
                    <w:rPr>
                      <w:rStyle w:val="30"/>
                      <w:rFonts w:hint="eastAsia"/>
                      <w:color w:val="auto"/>
                      <w:sz w:val="21"/>
                      <w:szCs w:val="21"/>
                      <w:highlight w:val="none"/>
                    </w:rPr>
                    <w:t>危险废物储存区</w:t>
                  </w:r>
                </w:p>
              </w:tc>
              <w:tc>
                <w:tcPr>
                  <w:tcW w:w="498" w:type="pct"/>
                  <w:vAlign w:val="center"/>
                </w:tcPr>
                <w:p>
                  <w:pPr>
                    <w:jc w:val="center"/>
                    <w:rPr>
                      <w:rStyle w:val="30"/>
                      <w:color w:val="auto"/>
                      <w:sz w:val="21"/>
                      <w:szCs w:val="21"/>
                      <w:highlight w:val="none"/>
                    </w:rPr>
                  </w:pPr>
                  <w:r>
                    <w:rPr>
                      <w:rStyle w:val="30"/>
                      <w:rFonts w:hint="eastAsia"/>
                      <w:color w:val="auto"/>
                      <w:sz w:val="21"/>
                      <w:szCs w:val="21"/>
                      <w:highlight w:val="none"/>
                    </w:rPr>
                    <w:t>重点</w:t>
                  </w:r>
                  <w:r>
                    <w:rPr>
                      <w:rStyle w:val="30"/>
                      <w:color w:val="auto"/>
                      <w:sz w:val="21"/>
                      <w:szCs w:val="21"/>
                      <w:highlight w:val="none"/>
                    </w:rPr>
                    <w:t>防渗</w:t>
                  </w:r>
                </w:p>
              </w:tc>
              <w:tc>
                <w:tcPr>
                  <w:tcW w:w="3742" w:type="pct"/>
                  <w:vAlign w:val="center"/>
                </w:tcPr>
                <w:p>
                  <w:pPr>
                    <w:jc w:val="center"/>
                    <w:rPr>
                      <w:rStyle w:val="30"/>
                      <w:color w:val="auto"/>
                      <w:sz w:val="21"/>
                      <w:szCs w:val="21"/>
                      <w:highlight w:val="none"/>
                    </w:rPr>
                  </w:pPr>
                  <w:r>
                    <w:rPr>
                      <w:rStyle w:val="30"/>
                      <w:color w:val="auto"/>
                      <w:sz w:val="21"/>
                      <w:szCs w:val="21"/>
                      <w:highlight w:val="none"/>
                    </w:rPr>
                    <w:t>地面</w:t>
                  </w:r>
                  <w:r>
                    <w:rPr>
                      <w:rStyle w:val="30"/>
                      <w:rFonts w:hint="eastAsia"/>
                      <w:color w:val="auto"/>
                      <w:sz w:val="21"/>
                      <w:szCs w:val="21"/>
                      <w:highlight w:val="none"/>
                    </w:rPr>
                    <w:t>应铺设抗渗混凝土及耐腐蚀硬化材料</w:t>
                  </w:r>
                  <w:r>
                    <w:rPr>
                      <w:rStyle w:val="30"/>
                      <w:color w:val="auto"/>
                      <w:sz w:val="21"/>
                      <w:szCs w:val="21"/>
                      <w:highlight w:val="none"/>
                    </w:rPr>
                    <w:t>，防渗层为2mm厚高密度聚乙烯，或至少2mm厚的其它</w:t>
                  </w:r>
                  <w:r>
                    <w:rPr>
                      <w:rStyle w:val="30"/>
                      <w:rFonts w:hint="eastAsia"/>
                      <w:color w:val="auto"/>
                      <w:sz w:val="21"/>
                      <w:szCs w:val="21"/>
                      <w:highlight w:val="none"/>
                    </w:rPr>
                    <w:t>耐腐蚀</w:t>
                  </w:r>
                  <w:r>
                    <w:rPr>
                      <w:rStyle w:val="30"/>
                      <w:color w:val="auto"/>
                      <w:sz w:val="21"/>
                      <w:szCs w:val="21"/>
                      <w:highlight w:val="none"/>
                    </w:rPr>
                    <w:t>材料，渗透系数≤10</w:t>
                  </w:r>
                  <w:r>
                    <w:rPr>
                      <w:rStyle w:val="30"/>
                      <w:color w:val="auto"/>
                      <w:sz w:val="21"/>
                      <w:szCs w:val="21"/>
                      <w:highlight w:val="none"/>
                      <w:vertAlign w:val="superscript"/>
                    </w:rPr>
                    <w:t>-10</w:t>
                  </w:r>
                  <w:r>
                    <w:rPr>
                      <w:rStyle w:val="30"/>
                      <w:color w:val="auto"/>
                      <w:sz w:val="21"/>
                      <w:szCs w:val="21"/>
                      <w:highlight w:val="none"/>
                    </w:rPr>
                    <w:t>cm/s</w:t>
                  </w:r>
                  <w:r>
                    <w:rPr>
                      <w:rStyle w:val="30"/>
                      <w:rFonts w:hint="eastAsia"/>
                      <w:color w:val="auto"/>
                      <w:sz w:val="21"/>
                      <w:szCs w:val="21"/>
                      <w:highlight w:val="none"/>
                    </w:rPr>
                    <w:t>，且地面无裂缝</w:t>
                  </w:r>
                  <w:r>
                    <w:rPr>
                      <w:rStyle w:val="30"/>
                      <w:color w:val="auto"/>
                      <w:sz w:val="21"/>
                      <w:szCs w:val="21"/>
                      <w:highlight w:val="none"/>
                    </w:rPr>
                    <w:t>；衬里要能够覆盖废物或其溶出物可能涉及到的范围；衬里材料与堆放的废物相容</w:t>
                  </w:r>
                  <w:r>
                    <w:rPr>
                      <w:rStyle w:val="30"/>
                      <w:rFonts w:hint="eastAsia"/>
                      <w:color w:val="auto"/>
                      <w:sz w:val="21"/>
                      <w:szCs w:val="21"/>
                      <w:highlight w:val="none"/>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759" w:type="pct"/>
                  <w:vAlign w:val="center"/>
                </w:tcPr>
                <w:p>
                  <w:pPr>
                    <w:jc w:val="center"/>
                    <w:rPr>
                      <w:rStyle w:val="30"/>
                      <w:color w:val="auto"/>
                      <w:sz w:val="21"/>
                      <w:szCs w:val="21"/>
                      <w:highlight w:val="none"/>
                    </w:rPr>
                  </w:pPr>
                  <w:r>
                    <w:rPr>
                      <w:rStyle w:val="30"/>
                      <w:color w:val="auto"/>
                      <w:sz w:val="21"/>
                      <w:szCs w:val="21"/>
                      <w:highlight w:val="none"/>
                    </w:rPr>
                    <w:t>生产</w:t>
                  </w:r>
                  <w:r>
                    <w:rPr>
                      <w:rStyle w:val="30"/>
                      <w:rFonts w:hint="eastAsia"/>
                      <w:color w:val="auto"/>
                      <w:sz w:val="21"/>
                      <w:szCs w:val="21"/>
                      <w:highlight w:val="none"/>
                    </w:rPr>
                    <w:t>区域、一般固废储存区等</w:t>
                  </w:r>
                </w:p>
              </w:tc>
              <w:tc>
                <w:tcPr>
                  <w:tcW w:w="498" w:type="pct"/>
                  <w:vAlign w:val="center"/>
                </w:tcPr>
                <w:p>
                  <w:pPr>
                    <w:jc w:val="center"/>
                    <w:rPr>
                      <w:rStyle w:val="30"/>
                      <w:color w:val="auto"/>
                      <w:sz w:val="21"/>
                      <w:szCs w:val="21"/>
                      <w:highlight w:val="none"/>
                    </w:rPr>
                  </w:pPr>
                  <w:r>
                    <w:rPr>
                      <w:rStyle w:val="30"/>
                      <w:rFonts w:hint="eastAsia"/>
                      <w:color w:val="auto"/>
                      <w:sz w:val="21"/>
                      <w:szCs w:val="21"/>
                      <w:highlight w:val="none"/>
                    </w:rPr>
                    <w:t>一般防渗</w:t>
                  </w:r>
                </w:p>
              </w:tc>
              <w:tc>
                <w:tcPr>
                  <w:tcW w:w="3742" w:type="pct"/>
                  <w:vAlign w:val="center"/>
                </w:tcPr>
                <w:p>
                  <w:pPr>
                    <w:ind w:firstLine="420" w:firstLineChars="200"/>
                    <w:jc w:val="center"/>
                    <w:rPr>
                      <w:rStyle w:val="30"/>
                      <w:color w:val="auto"/>
                      <w:sz w:val="21"/>
                      <w:szCs w:val="21"/>
                      <w:highlight w:val="none"/>
                    </w:rPr>
                  </w:pPr>
                  <w:r>
                    <w:rPr>
                      <w:color w:val="auto"/>
                      <w:sz w:val="21"/>
                      <w:szCs w:val="21"/>
                      <w:highlight w:val="none"/>
                    </w:rPr>
                    <w:t>包括除重点防渗区外的其余部分地面，包括原料区、成品区</w:t>
                  </w:r>
                  <w:r>
                    <w:rPr>
                      <w:rFonts w:hint="eastAsia"/>
                      <w:color w:val="auto"/>
                      <w:sz w:val="21"/>
                      <w:szCs w:val="21"/>
                      <w:highlight w:val="none"/>
                    </w:rPr>
                    <w:t>等</w:t>
                  </w:r>
                  <w:r>
                    <w:rPr>
                      <w:color w:val="auto"/>
                      <w:sz w:val="21"/>
                      <w:szCs w:val="21"/>
                      <w:highlight w:val="none"/>
                    </w:rPr>
                    <w:t>，采用抗渗等级不低于P1级的抗渗混凝土（渗透系数约0.4×10</w:t>
                  </w:r>
                  <w:r>
                    <w:rPr>
                      <w:color w:val="auto"/>
                      <w:sz w:val="21"/>
                      <w:szCs w:val="21"/>
                      <w:highlight w:val="none"/>
                      <w:vertAlign w:val="superscript"/>
                    </w:rPr>
                    <w:t>-7</w:t>
                  </w:r>
                  <w:r>
                    <w:rPr>
                      <w:color w:val="auto"/>
                      <w:sz w:val="21"/>
                      <w:szCs w:val="21"/>
                      <w:highlight w:val="none"/>
                    </w:rPr>
                    <w:t>cm/s，厚度不低于20cm）硬化地面。</w:t>
                  </w:r>
                </w:p>
              </w:tc>
            </w:tr>
          </w:tbl>
          <w:p>
            <w:pPr>
              <w:pStyle w:val="37"/>
              <w:keepNext w:val="0"/>
              <w:keepLines w:val="0"/>
              <w:pageBreakBefore w:val="0"/>
              <w:widowControl w:val="0"/>
              <w:kinsoku/>
              <w:wordWrap/>
              <w:overflowPunct/>
              <w:topLinePunct w:val="0"/>
              <w:autoSpaceDE/>
              <w:autoSpaceDN/>
              <w:bidi w:val="0"/>
              <w:adjustRightInd/>
              <w:snapToGrid/>
              <w:spacing w:before="157" w:beforeLines="50" w:line="360" w:lineRule="auto"/>
              <w:ind w:left="482" w:firstLine="0" w:firstLineChars="0"/>
              <w:textAlignment w:val="auto"/>
              <w:rPr>
                <w:rFonts w:eastAsia="宋体"/>
                <w:b/>
                <w:bCs/>
                <w:color w:val="auto"/>
                <w:sz w:val="21"/>
                <w:szCs w:val="21"/>
                <w:highlight w:val="none"/>
              </w:rPr>
            </w:pPr>
            <w:r>
              <w:rPr>
                <w:rFonts w:eastAsia="宋体"/>
                <w:b/>
                <w:bCs/>
                <w:color w:val="auto"/>
                <w:sz w:val="21"/>
                <w:szCs w:val="21"/>
                <w:highlight w:val="none"/>
              </w:rPr>
              <w:t>3、地下水、土壤环境影响分析结论</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color w:val="auto"/>
                <w:sz w:val="21"/>
                <w:szCs w:val="21"/>
                <w:highlight w:val="none"/>
              </w:rPr>
            </w:pPr>
            <w:r>
              <w:rPr>
                <w:rFonts w:hint="eastAsia"/>
                <w:color w:val="auto"/>
                <w:sz w:val="21"/>
                <w:szCs w:val="21"/>
                <w:highlight w:val="none"/>
              </w:rPr>
              <w:t>项目在采取分区防渗后</w:t>
            </w:r>
            <w:r>
              <w:rPr>
                <w:color w:val="auto"/>
                <w:sz w:val="21"/>
                <w:szCs w:val="21"/>
                <w:highlight w:val="none"/>
              </w:rPr>
              <w:t>，可有效防止</w:t>
            </w:r>
            <w:r>
              <w:rPr>
                <w:rFonts w:hint="eastAsia"/>
                <w:color w:val="auto"/>
                <w:sz w:val="21"/>
                <w:szCs w:val="21"/>
                <w:highlight w:val="none"/>
              </w:rPr>
              <w:t>项目物料对土壤、地下水的影响。</w:t>
            </w:r>
          </w:p>
          <w:p>
            <w:pPr>
              <w:pStyle w:val="11"/>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jc w:val="left"/>
              <w:textAlignment w:val="auto"/>
              <w:rPr>
                <w:b/>
                <w:bCs/>
                <w:color w:val="auto"/>
                <w:sz w:val="21"/>
                <w:szCs w:val="21"/>
                <w:highlight w:val="none"/>
              </w:rPr>
            </w:pPr>
            <w:r>
              <w:rPr>
                <w:b/>
                <w:bCs/>
                <w:color w:val="auto"/>
                <w:sz w:val="21"/>
                <w:szCs w:val="21"/>
                <w:highlight w:val="none"/>
              </w:rPr>
              <w:t>六、环境风险</w:t>
            </w:r>
          </w:p>
          <w:p>
            <w:pPr>
              <w:pStyle w:val="10"/>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firstLine="422" w:firstLineChars="200"/>
              <w:textAlignment w:val="auto"/>
              <w:rPr>
                <w:rFonts w:hint="default" w:ascii="Times New Roman" w:hAnsi="Times New Roman" w:eastAsia="宋体" w:cs="Times New Roman"/>
                <w:b/>
                <w:bCs w:val="0"/>
                <w:color w:val="auto"/>
                <w:sz w:val="21"/>
                <w:szCs w:val="21"/>
              </w:rPr>
            </w:pPr>
            <w:r>
              <w:rPr>
                <w:rFonts w:hint="eastAsia" w:eastAsia="宋体" w:cs="Times New Roman"/>
                <w:b/>
                <w:bCs w:val="0"/>
                <w:color w:val="auto"/>
                <w:sz w:val="21"/>
                <w:szCs w:val="21"/>
                <w:lang w:val="en-US" w:eastAsia="zh-CN"/>
              </w:rPr>
              <w:t>1、</w:t>
            </w:r>
            <w:r>
              <w:rPr>
                <w:rFonts w:hint="default" w:ascii="Times New Roman" w:hAnsi="Times New Roman" w:eastAsia="宋体" w:cs="Times New Roman"/>
                <w:b/>
                <w:bCs w:val="0"/>
                <w:color w:val="auto"/>
                <w:sz w:val="21"/>
                <w:szCs w:val="21"/>
              </w:rPr>
              <w:t>风险源调查及识别</w:t>
            </w:r>
          </w:p>
          <w:p>
            <w:pPr>
              <w:pStyle w:val="11"/>
              <w:spacing w:line="360" w:lineRule="auto"/>
              <w:ind w:left="0" w:leftChars="0" w:right="0" w:rightChars="0" w:firstLine="482"/>
              <w:jc w:val="left"/>
              <w:rPr>
                <w:rFonts w:hint="default" w:eastAsia="宋体" w:cs="Times New Roman"/>
                <w:b/>
                <w:bCs w:val="0"/>
                <w:color w:val="auto"/>
                <w:sz w:val="21"/>
                <w:szCs w:val="21"/>
                <w:lang w:val="en-US" w:eastAsia="zh-CN"/>
              </w:rPr>
            </w:pPr>
            <w:r>
              <w:rPr>
                <w:rFonts w:hint="eastAsia" w:eastAsia="宋体" w:cs="Times New Roman"/>
                <w:b/>
                <w:bCs w:val="0"/>
                <w:color w:val="auto"/>
                <w:sz w:val="21"/>
                <w:szCs w:val="21"/>
                <w:lang w:val="en-US" w:eastAsia="zh-CN"/>
              </w:rPr>
              <w:t>（1）风险物质</w:t>
            </w:r>
          </w:p>
          <w:p>
            <w:pPr>
              <w:pStyle w:val="10"/>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20" w:firstLineChars="200"/>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color w:val="auto"/>
                <w:sz w:val="21"/>
                <w:szCs w:val="21"/>
                <w:highlight w:val="none"/>
              </w:rPr>
              <w:t>根据《建设项目环境风险评价技术导则》（HJ/T169-2018）附录B</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全厂涉及的危险物质数量及分布情况见下表。</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zh-CN"/>
              </w:rPr>
            </w:pPr>
            <w:r>
              <w:rPr>
                <w:rFonts w:hint="default" w:ascii="Times New Roman" w:hAnsi="Times New Roman" w:eastAsia="宋体" w:cs="Times New Roman"/>
                <w:b/>
                <w:bCs/>
                <w:color w:val="auto"/>
                <w:sz w:val="21"/>
                <w:szCs w:val="21"/>
                <w:highlight w:val="none"/>
              </w:rPr>
              <w:t>表4-</w:t>
            </w:r>
            <w:r>
              <w:rPr>
                <w:rFonts w:hint="eastAsia" w:cs="Times New Roman"/>
                <w:b/>
                <w:bCs/>
                <w:color w:val="auto"/>
                <w:sz w:val="21"/>
                <w:szCs w:val="21"/>
                <w:highlight w:val="none"/>
                <w:lang w:val="en-US" w:eastAsia="zh-CN"/>
              </w:rPr>
              <w:t>29</w:t>
            </w:r>
            <w:r>
              <w:rPr>
                <w:rFonts w:hint="eastAsia" w:ascii="Times New Roman" w:hAnsi="Times New Roman" w:eastAsia="宋体" w:cs="Times New Roman"/>
                <w:b/>
                <w:bCs/>
                <w:color w:val="auto"/>
                <w:sz w:val="21"/>
                <w:szCs w:val="21"/>
                <w:highlight w:val="none"/>
                <w:lang w:val="en-US" w:eastAsia="zh-CN"/>
              </w:rPr>
              <w:t xml:space="preserve"> </w:t>
            </w:r>
            <w:r>
              <w:rPr>
                <w:rFonts w:hint="default" w:ascii="Times New Roman" w:hAnsi="Times New Roman" w:eastAsia="宋体" w:cs="Times New Roman"/>
                <w:b/>
                <w:bCs/>
                <w:color w:val="auto"/>
                <w:sz w:val="21"/>
                <w:szCs w:val="21"/>
                <w:highlight w:val="none"/>
              </w:rPr>
              <w:t>全厂涉及的危险物质数量及分布情况表</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282"/>
              <w:gridCol w:w="2788"/>
              <w:gridCol w:w="241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35" w:type="pct"/>
                  <w:noWrap w:val="0"/>
                  <w:vAlign w:val="center"/>
                </w:tcPr>
                <w:p>
                  <w:pPr>
                    <w:tabs>
                      <w:tab w:val="left" w:pos="960"/>
                    </w:tabs>
                    <w:snapToGrid w:val="0"/>
                    <w:spacing w:line="240" w:lineRule="auto"/>
                    <w:jc w:val="center"/>
                    <w:rPr>
                      <w:rFonts w:hint="default" w:ascii="Times New Roman" w:hAnsi="Times New Roman" w:eastAsia="宋体" w:cs="Times New Roman"/>
                      <w:b/>
                      <w:bCs/>
                      <w:color w:val="auto"/>
                      <w:spacing w:val="-4"/>
                      <w:sz w:val="21"/>
                      <w:szCs w:val="21"/>
                      <w:highlight w:val="none"/>
                    </w:rPr>
                  </w:pPr>
                  <w:r>
                    <w:rPr>
                      <w:rFonts w:hint="default" w:ascii="Times New Roman" w:hAnsi="Times New Roman" w:eastAsia="宋体" w:cs="Times New Roman"/>
                      <w:b/>
                      <w:bCs/>
                      <w:color w:val="auto"/>
                      <w:spacing w:val="-4"/>
                      <w:sz w:val="21"/>
                      <w:szCs w:val="21"/>
                      <w:highlight w:val="none"/>
                    </w:rPr>
                    <w:t>名称</w:t>
                  </w:r>
                </w:p>
              </w:tc>
              <w:tc>
                <w:tcPr>
                  <w:tcW w:w="1643" w:type="pct"/>
                  <w:noWrap w:val="0"/>
                  <w:vAlign w:val="center"/>
                </w:tcPr>
                <w:p>
                  <w:pPr>
                    <w:tabs>
                      <w:tab w:val="left" w:pos="960"/>
                    </w:tabs>
                    <w:snapToGrid w:val="0"/>
                    <w:spacing w:line="240" w:lineRule="auto"/>
                    <w:jc w:val="center"/>
                    <w:rPr>
                      <w:rFonts w:hint="default" w:ascii="Times New Roman" w:hAnsi="Times New Roman" w:eastAsia="宋体" w:cs="Times New Roman"/>
                      <w:b/>
                      <w:bCs/>
                      <w:color w:val="auto"/>
                      <w:spacing w:val="-4"/>
                      <w:sz w:val="21"/>
                      <w:szCs w:val="21"/>
                      <w:highlight w:val="none"/>
                    </w:rPr>
                  </w:pPr>
                  <w:r>
                    <w:rPr>
                      <w:rFonts w:hint="default" w:ascii="Times New Roman" w:hAnsi="Times New Roman" w:eastAsia="宋体" w:cs="Times New Roman"/>
                      <w:b/>
                      <w:bCs/>
                      <w:color w:val="auto"/>
                      <w:spacing w:val="-4"/>
                      <w:sz w:val="21"/>
                      <w:szCs w:val="21"/>
                      <w:highlight w:val="none"/>
                    </w:rPr>
                    <w:t>最大存储量/t</w:t>
                  </w:r>
                </w:p>
              </w:tc>
              <w:tc>
                <w:tcPr>
                  <w:tcW w:w="1421" w:type="pct"/>
                  <w:noWrap w:val="0"/>
                  <w:vAlign w:val="center"/>
                </w:tcPr>
                <w:p>
                  <w:pPr>
                    <w:tabs>
                      <w:tab w:val="left" w:pos="960"/>
                    </w:tabs>
                    <w:snapToGrid w:val="0"/>
                    <w:spacing w:line="240" w:lineRule="auto"/>
                    <w:jc w:val="center"/>
                    <w:rPr>
                      <w:rFonts w:hint="default" w:ascii="Times New Roman" w:hAnsi="Times New Roman" w:eastAsia="宋体" w:cs="Times New Roman"/>
                      <w:b/>
                      <w:bCs/>
                      <w:color w:val="auto"/>
                      <w:spacing w:val="-4"/>
                      <w:sz w:val="21"/>
                      <w:szCs w:val="21"/>
                      <w:highlight w:val="none"/>
                    </w:rPr>
                  </w:pPr>
                  <w:r>
                    <w:rPr>
                      <w:rFonts w:hint="default" w:ascii="Times New Roman" w:hAnsi="Times New Roman" w:eastAsia="宋体" w:cs="Times New Roman"/>
                      <w:b/>
                      <w:bCs/>
                      <w:color w:val="auto"/>
                      <w:spacing w:val="-4"/>
                      <w:sz w:val="21"/>
                      <w:szCs w:val="21"/>
                      <w:highlight w:val="none"/>
                    </w:rPr>
                    <w:t>储存位置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35" w:type="pct"/>
                  <w:noWrap w:val="0"/>
                  <w:vAlign w:val="center"/>
                </w:tcPr>
                <w:p>
                  <w:pPr>
                    <w:tabs>
                      <w:tab w:val="left" w:pos="960"/>
                    </w:tabs>
                    <w:snapToGrid w:val="0"/>
                    <w:spacing w:line="240" w:lineRule="auto"/>
                    <w:jc w:val="center"/>
                    <w:rPr>
                      <w:rFonts w:hint="default" w:ascii="Times New Roman" w:hAnsi="Times New Roman" w:eastAsia="宋体" w:cs="Times New Roman"/>
                      <w:b/>
                      <w:bCs/>
                      <w:color w:val="auto"/>
                      <w:spacing w:val="-4"/>
                      <w:kern w:val="2"/>
                      <w:sz w:val="21"/>
                      <w:szCs w:val="21"/>
                      <w:highlight w:val="none"/>
                      <w:lang w:val="en-US" w:eastAsia="zh-CN" w:bidi="ar-SA"/>
                    </w:rPr>
                  </w:pPr>
                  <w:r>
                    <w:rPr>
                      <w:rFonts w:hint="eastAsia" w:eastAsia="宋体" w:cs="Times New Roman"/>
                      <w:b w:val="0"/>
                      <w:bCs w:val="0"/>
                      <w:color w:val="auto"/>
                      <w:spacing w:val="-4"/>
                      <w:sz w:val="21"/>
                      <w:szCs w:val="21"/>
                      <w:highlight w:val="none"/>
                      <w:lang w:val="en-US" w:eastAsia="zh-CN"/>
                    </w:rPr>
                    <w:t>环戊烷（占比8%）</w:t>
                  </w:r>
                </w:p>
              </w:tc>
              <w:tc>
                <w:tcPr>
                  <w:tcW w:w="1643" w:type="pct"/>
                  <w:noWrap w:val="0"/>
                  <w:vAlign w:val="center"/>
                </w:tcPr>
                <w:p>
                  <w:pPr>
                    <w:tabs>
                      <w:tab w:val="left" w:pos="960"/>
                    </w:tabs>
                    <w:snapToGrid w:val="0"/>
                    <w:spacing w:line="240" w:lineRule="auto"/>
                    <w:jc w:val="center"/>
                    <w:rPr>
                      <w:rFonts w:hint="default" w:ascii="Times New Roman" w:hAnsi="Times New Roman" w:eastAsia="宋体" w:cs="Times New Roman"/>
                      <w:b w:val="0"/>
                      <w:bCs w:val="0"/>
                      <w:color w:val="auto"/>
                      <w:spacing w:val="-4"/>
                      <w:kern w:val="2"/>
                      <w:sz w:val="21"/>
                      <w:szCs w:val="21"/>
                      <w:highlight w:val="none"/>
                      <w:lang w:val="en-US" w:eastAsia="zh-CN" w:bidi="ar-SA"/>
                    </w:rPr>
                  </w:pPr>
                  <w:r>
                    <w:rPr>
                      <w:rFonts w:hint="eastAsia" w:cs="Times New Roman"/>
                      <w:b w:val="0"/>
                      <w:bCs w:val="0"/>
                      <w:color w:val="auto"/>
                      <w:spacing w:val="-4"/>
                      <w:sz w:val="21"/>
                      <w:szCs w:val="21"/>
                      <w:highlight w:val="none"/>
                      <w:lang w:val="en-US" w:eastAsia="zh-CN"/>
                    </w:rPr>
                    <w:t>28</w:t>
                  </w:r>
                </w:p>
              </w:tc>
              <w:tc>
                <w:tcPr>
                  <w:tcW w:w="1421" w:type="pct"/>
                  <w:noWrap w:val="0"/>
                  <w:vAlign w:val="center"/>
                </w:tcPr>
                <w:p>
                  <w:pPr>
                    <w:tabs>
                      <w:tab w:val="left" w:pos="960"/>
                    </w:tabs>
                    <w:snapToGrid w:val="0"/>
                    <w:spacing w:line="240" w:lineRule="auto"/>
                    <w:jc w:val="center"/>
                    <w:rPr>
                      <w:rFonts w:hint="default" w:ascii="Times New Roman" w:hAnsi="Times New Roman" w:eastAsia="宋体" w:cs="Times New Roman"/>
                      <w:b/>
                      <w:bCs/>
                      <w:color w:val="auto"/>
                      <w:spacing w:val="-4"/>
                      <w:sz w:val="21"/>
                      <w:szCs w:val="21"/>
                      <w:highlight w:val="none"/>
                      <w:lang w:val="en-US" w:eastAsia="zh-CN"/>
                    </w:rPr>
                  </w:pPr>
                  <w:r>
                    <w:rPr>
                      <w:rFonts w:hint="eastAsia" w:eastAsia="宋体" w:cs="Times New Roman"/>
                      <w:b w:val="0"/>
                      <w:bCs w:val="0"/>
                      <w:color w:val="auto"/>
                      <w:spacing w:val="-4"/>
                      <w:sz w:val="21"/>
                      <w:szCs w:val="21"/>
                      <w:highlight w:val="none"/>
                      <w:lang w:val="en-US" w:eastAsia="zh-CN"/>
                    </w:rPr>
                    <w:t>原料仓库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935" w:type="pct"/>
                  <w:noWrap w:val="0"/>
                  <w:vAlign w:val="center"/>
                </w:tcPr>
                <w:p>
                  <w:pPr>
                    <w:spacing w:line="240" w:lineRule="auto"/>
                    <w:jc w:val="center"/>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废活性炭</w:t>
                  </w:r>
                </w:p>
              </w:tc>
              <w:tc>
                <w:tcPr>
                  <w:tcW w:w="1643" w:type="pct"/>
                  <w:noWrap w:val="0"/>
                  <w:vAlign w:val="center"/>
                </w:tcPr>
                <w:p>
                  <w:pPr>
                    <w:pStyle w:val="50"/>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sz w:val="21"/>
                      <w:szCs w:val="21"/>
                      <w:highlight w:val="none"/>
                      <w:lang w:val="en-US" w:eastAsia="zh-CN"/>
                    </w:rPr>
                    <w:t>0.7</w:t>
                  </w:r>
                </w:p>
              </w:tc>
              <w:tc>
                <w:tcPr>
                  <w:tcW w:w="1421" w:type="pct"/>
                  <w:noWrap w:val="0"/>
                  <w:vAlign w:val="center"/>
                </w:tcPr>
                <w:p>
                  <w:pPr>
                    <w:tabs>
                      <w:tab w:val="left" w:pos="960"/>
                    </w:tabs>
                    <w:snapToGrid w:val="0"/>
                    <w:spacing w:line="240" w:lineRule="auto"/>
                    <w:jc w:val="center"/>
                    <w:rPr>
                      <w:rFonts w:hint="default" w:ascii="Times New Roman" w:hAnsi="Times New Roman" w:eastAsia="宋体" w:cs="Times New Roman"/>
                      <w:b w:val="0"/>
                      <w:bCs w:val="0"/>
                      <w:color w:val="auto"/>
                      <w:spacing w:val="-4"/>
                      <w:sz w:val="21"/>
                      <w:szCs w:val="21"/>
                      <w:highlight w:val="none"/>
                      <w:lang w:val="en-US" w:eastAsia="zh-CN"/>
                    </w:rPr>
                  </w:pPr>
                  <w:r>
                    <w:rPr>
                      <w:rFonts w:hint="eastAsia" w:ascii="Times New Roman" w:hAnsi="Times New Roman" w:eastAsia="宋体" w:cs="Times New Roman"/>
                      <w:b w:val="0"/>
                      <w:bCs w:val="0"/>
                      <w:color w:val="auto"/>
                      <w:spacing w:val="-4"/>
                      <w:sz w:val="21"/>
                      <w:szCs w:val="21"/>
                      <w:highlight w:val="none"/>
                      <w:lang w:val="en-US" w:eastAsia="zh-CN"/>
                    </w:rPr>
                    <w:t>危废仓库</w:t>
                  </w: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default" w:ascii="Times New Roman" w:hAnsi="Times New Roman" w:eastAsia="宋体" w:cs="Times New Roman"/>
                <w:b/>
                <w:bCs w:val="0"/>
                <w:color w:val="auto"/>
                <w:sz w:val="21"/>
                <w:szCs w:val="21"/>
                <w:lang w:val="en-US" w:eastAsia="zh-CN"/>
              </w:rPr>
            </w:pPr>
            <w:r>
              <w:rPr>
                <w:rFonts w:hint="eastAsia" w:eastAsia="宋体" w:cs="Times New Roman"/>
                <w:b/>
                <w:bCs w:val="0"/>
                <w:color w:val="auto"/>
                <w:sz w:val="21"/>
                <w:szCs w:val="21"/>
                <w:lang w:val="en-US" w:eastAsia="zh-CN"/>
              </w:rPr>
              <w:t>（2）</w:t>
            </w:r>
            <w:r>
              <w:rPr>
                <w:rFonts w:hint="default" w:ascii="Times New Roman" w:hAnsi="Times New Roman" w:eastAsia="宋体" w:cs="Times New Roman"/>
                <w:b/>
                <w:bCs w:val="0"/>
                <w:color w:val="auto"/>
                <w:sz w:val="21"/>
                <w:szCs w:val="21"/>
                <w:lang w:val="en-US" w:eastAsia="zh-CN"/>
              </w:rPr>
              <w:t>Q值计算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20" w:firstLineChars="200"/>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根据《建设项目环境风险评价技术导则》（HJ/T169-2018）中附录C</w:t>
            </w:r>
            <w:r>
              <w:rPr>
                <w:rFonts w:hint="eastAsia" w:eastAsia="宋体" w:cs="Times New Roman"/>
                <w:bCs/>
                <w:color w:val="auto"/>
                <w:sz w:val="21"/>
                <w:szCs w:val="21"/>
                <w:lang w:val="en-US" w:eastAsia="zh-CN"/>
              </w:rPr>
              <w:t>以及《危险化学品重大危险源辨识》（GB18218-2018）表2</w:t>
            </w:r>
            <w:r>
              <w:rPr>
                <w:rFonts w:hint="default" w:ascii="Times New Roman" w:hAnsi="Times New Roman" w:eastAsia="宋体" w:cs="Times New Roman"/>
                <w:bCs/>
                <w:color w:val="auto"/>
                <w:sz w:val="21"/>
                <w:szCs w:val="21"/>
              </w:rPr>
              <w:t>计算所涉及的每种危险物质在厂界内的最大存在总量与其在附录B中对应临界量的比值Q。在不同厂区的同一种物质，按其在厂界内的最大存在总量计算。对于长输管线项目，按照两个截断阀室之间管段危险物质最大存在总量计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当只涉及一种危险物质时，计算该物质的总量与其临界量比值，即为Q；当存在多种危险物质时，则按式（C.1）计算物质总量与其临界量比值（Q）：</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leftChars="0" w:right="0" w:firstLine="0" w:firstLine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position w:val="-30"/>
                <w:sz w:val="21"/>
                <w:szCs w:val="21"/>
              </w:rPr>
              <w:object>
                <v:shape id="_x0000_i1031" o:spt="75" type="#_x0000_t75" style="height:34.8pt;width:150.7pt;" o:ole="t" filled="f" o:preferrelative="t" stroked="f" coordsize="21600,21600">
                  <v:path/>
                  <v:fill on="f" focussize="0,0"/>
                  <v:stroke on="f" joinstyle="miter"/>
                  <v:imagedata r:id="rId23" o:title=""/>
                  <o:lock v:ext="edit" aspectratio="t"/>
                  <w10:wrap type="none"/>
                  <w10:anchorlock/>
                </v:shape>
                <o:OLEObject Type="Embed" ProgID="Equation.3" ShapeID="_x0000_i1031" DrawAspect="Content" ObjectID="_1468075731" r:id="rId22">
                  <o:LockedField>false</o:LockedField>
                </o:OLEObject>
              </w:objec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left"/>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式中：q</w:t>
            </w:r>
            <w:r>
              <w:rPr>
                <w:rFonts w:hint="default" w:ascii="Times New Roman" w:hAnsi="Times New Roman" w:eastAsia="宋体" w:cs="Times New Roman"/>
                <w:bCs/>
                <w:color w:val="auto"/>
                <w:sz w:val="21"/>
                <w:szCs w:val="21"/>
                <w:vertAlign w:val="subscript"/>
              </w:rPr>
              <w:t>1</w:t>
            </w:r>
            <w:r>
              <w:rPr>
                <w:rFonts w:hint="default" w:ascii="Times New Roman" w:hAnsi="Times New Roman" w:eastAsia="宋体" w:cs="Times New Roman"/>
                <w:bCs/>
                <w:color w:val="auto"/>
                <w:sz w:val="21"/>
                <w:szCs w:val="21"/>
              </w:rPr>
              <w:t>，q</w:t>
            </w:r>
            <w:r>
              <w:rPr>
                <w:rFonts w:hint="default" w:ascii="Times New Roman" w:hAnsi="Times New Roman" w:eastAsia="宋体" w:cs="Times New Roman"/>
                <w:bCs/>
                <w:color w:val="auto"/>
                <w:sz w:val="21"/>
                <w:szCs w:val="21"/>
                <w:vertAlign w:val="subscript"/>
              </w:rPr>
              <w:t>2</w:t>
            </w:r>
            <w:r>
              <w:rPr>
                <w:rFonts w:hint="default" w:ascii="Times New Roman" w:hAnsi="Times New Roman" w:eastAsia="宋体" w:cs="Times New Roman"/>
                <w:bCs/>
                <w:color w:val="auto"/>
                <w:sz w:val="21"/>
                <w:szCs w:val="21"/>
              </w:rPr>
              <w:t>，q</w:t>
            </w:r>
            <w:r>
              <w:rPr>
                <w:rFonts w:hint="default" w:ascii="Times New Roman" w:hAnsi="Times New Roman" w:eastAsia="宋体" w:cs="Times New Roman"/>
                <w:bCs/>
                <w:color w:val="auto"/>
                <w:sz w:val="21"/>
                <w:szCs w:val="21"/>
                <w:vertAlign w:val="subscript"/>
              </w:rPr>
              <w:t>3</w:t>
            </w:r>
            <w:r>
              <w:rPr>
                <w:rFonts w:hint="default" w:ascii="Times New Roman" w:hAnsi="Times New Roman" w:eastAsia="宋体" w:cs="Times New Roman"/>
                <w:bCs/>
                <w:color w:val="auto"/>
                <w:sz w:val="21"/>
                <w:szCs w:val="21"/>
              </w:rPr>
              <w:t>，...q</w:t>
            </w:r>
            <w:r>
              <w:rPr>
                <w:rFonts w:hint="default" w:ascii="Times New Roman" w:hAnsi="Times New Roman" w:eastAsia="宋体" w:cs="Times New Roman"/>
                <w:bCs/>
                <w:color w:val="auto"/>
                <w:sz w:val="21"/>
                <w:szCs w:val="21"/>
                <w:vertAlign w:val="subscript"/>
              </w:rPr>
              <w:t>n</w:t>
            </w:r>
            <w:r>
              <w:rPr>
                <w:rFonts w:hint="default" w:ascii="Times New Roman" w:hAnsi="Times New Roman" w:eastAsia="宋体" w:cs="Times New Roman"/>
                <w:bCs/>
                <w:color w:val="auto"/>
                <w:sz w:val="21"/>
                <w:szCs w:val="21"/>
              </w:rPr>
              <w:t>——每种危险物质的最大存在总量，t；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1050" w:firstLineChars="500"/>
              <w:jc w:val="left"/>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iCs/>
                <w:color w:val="auto"/>
                <w:sz w:val="21"/>
                <w:szCs w:val="21"/>
              </w:rPr>
              <w:t>Q</w:t>
            </w:r>
            <w:r>
              <w:rPr>
                <w:rFonts w:hint="default" w:ascii="Times New Roman" w:hAnsi="Times New Roman" w:eastAsia="宋体" w:cs="Times New Roman"/>
                <w:iCs/>
                <w:color w:val="auto"/>
                <w:sz w:val="21"/>
                <w:szCs w:val="21"/>
                <w:vertAlign w:val="subscript"/>
              </w:rPr>
              <w:t>1</w:t>
            </w:r>
            <w:r>
              <w:rPr>
                <w:rFonts w:hint="default" w:ascii="Times New Roman" w:hAnsi="Times New Roman" w:eastAsia="宋体" w:cs="Times New Roman"/>
                <w:iCs/>
                <w:color w:val="auto"/>
                <w:sz w:val="21"/>
                <w:szCs w:val="21"/>
              </w:rPr>
              <w:t>，Q</w:t>
            </w:r>
            <w:r>
              <w:rPr>
                <w:rFonts w:hint="default" w:ascii="Times New Roman" w:hAnsi="Times New Roman" w:eastAsia="宋体" w:cs="Times New Roman"/>
                <w:iCs/>
                <w:color w:val="auto"/>
                <w:sz w:val="21"/>
                <w:szCs w:val="21"/>
                <w:vertAlign w:val="subscript"/>
              </w:rPr>
              <w:t>2</w:t>
            </w:r>
            <w:r>
              <w:rPr>
                <w:rFonts w:hint="default" w:ascii="Times New Roman" w:hAnsi="Times New Roman" w:eastAsia="宋体" w:cs="Times New Roman"/>
                <w:iCs/>
                <w:color w:val="auto"/>
                <w:sz w:val="21"/>
                <w:szCs w:val="21"/>
              </w:rPr>
              <w:t>，Q</w:t>
            </w:r>
            <w:r>
              <w:rPr>
                <w:rFonts w:hint="default" w:ascii="Times New Roman" w:hAnsi="Times New Roman" w:eastAsia="宋体" w:cs="Times New Roman"/>
                <w:iCs/>
                <w:color w:val="auto"/>
                <w:sz w:val="21"/>
                <w:szCs w:val="21"/>
                <w:vertAlign w:val="subscript"/>
              </w:rPr>
              <w:t>3</w:t>
            </w:r>
            <w:r>
              <w:rPr>
                <w:rFonts w:hint="default" w:ascii="Times New Roman" w:hAnsi="Times New Roman" w:eastAsia="宋体" w:cs="Times New Roman"/>
                <w:iCs/>
                <w:color w:val="auto"/>
                <w:sz w:val="21"/>
                <w:szCs w:val="21"/>
              </w:rPr>
              <w:t>，</w:t>
            </w:r>
            <w:r>
              <w:rPr>
                <w:rFonts w:hint="default" w:ascii="Times New Roman" w:hAnsi="Times New Roman" w:eastAsia="宋体" w:cs="Times New Roman"/>
                <w:bCs/>
                <w:color w:val="auto"/>
                <w:sz w:val="21"/>
                <w:szCs w:val="21"/>
              </w:rPr>
              <w:t>...</w:t>
            </w:r>
            <w:r>
              <w:rPr>
                <w:rFonts w:hint="default" w:ascii="Times New Roman" w:hAnsi="Times New Roman" w:eastAsia="宋体" w:cs="Times New Roman"/>
                <w:iCs/>
                <w:color w:val="auto"/>
                <w:sz w:val="21"/>
                <w:szCs w:val="21"/>
              </w:rPr>
              <w:t>Q</w:t>
            </w:r>
            <w:r>
              <w:rPr>
                <w:rFonts w:hint="default" w:ascii="Times New Roman" w:hAnsi="Times New Roman" w:eastAsia="宋体" w:cs="Times New Roman"/>
                <w:iCs/>
                <w:color w:val="auto"/>
                <w:sz w:val="21"/>
                <w:szCs w:val="21"/>
                <w:vertAlign w:val="subscript"/>
              </w:rPr>
              <w:t>n</w:t>
            </w:r>
            <w:r>
              <w:rPr>
                <w:rFonts w:hint="default" w:ascii="Times New Roman" w:hAnsi="Times New Roman" w:eastAsia="宋体" w:cs="Times New Roman"/>
                <w:color w:val="auto"/>
                <w:sz w:val="21"/>
                <w:szCs w:val="21"/>
              </w:rPr>
              <w:t>——</w:t>
            </w:r>
            <w:r>
              <w:rPr>
                <w:rFonts w:hint="default" w:ascii="Times New Roman" w:hAnsi="Times New Roman" w:eastAsia="宋体" w:cs="Times New Roman"/>
                <w:bCs/>
                <w:color w:val="auto"/>
                <w:sz w:val="21"/>
                <w:szCs w:val="21"/>
              </w:rPr>
              <w:t>每种危险物质的临界量</w:t>
            </w:r>
            <w:r>
              <w:rPr>
                <w:rFonts w:hint="default" w:ascii="Times New Roman" w:hAnsi="Times New Roman" w:eastAsia="宋体" w:cs="Times New Roman"/>
                <w:color w:val="auto"/>
                <w:sz w:val="21"/>
                <w:szCs w:val="21"/>
              </w:rPr>
              <w:t>，t。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当Q＜1时，该项目环境风险潜势为Ⅰ。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当Q≥1时，将Q值划分为：（1）1≤Q＜10；（2）10≤Q＜100；（3）Q≥100。</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20" w:firstLineChars="200"/>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根据全厂</w:t>
            </w:r>
            <w:r>
              <w:rPr>
                <w:rFonts w:hint="default" w:ascii="Times New Roman" w:hAnsi="Times New Roman" w:eastAsia="宋体" w:cs="Times New Roman"/>
                <w:bCs/>
                <w:color w:val="auto"/>
                <w:sz w:val="21"/>
                <w:szCs w:val="21"/>
                <w:lang w:val="en-US" w:eastAsia="zh-CN"/>
              </w:rPr>
              <w:t>风险</w:t>
            </w:r>
            <w:r>
              <w:rPr>
                <w:rFonts w:hint="default" w:ascii="Times New Roman" w:hAnsi="Times New Roman" w:eastAsia="宋体" w:cs="Times New Roman"/>
                <w:bCs/>
                <w:color w:val="auto"/>
                <w:sz w:val="21"/>
                <w:szCs w:val="21"/>
              </w:rPr>
              <w:t>物质的最大存在总量与其在附录B中对应临界量进行计算，具体见下表。</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b/>
                <w:color w:val="auto"/>
                <w:sz w:val="21"/>
                <w:szCs w:val="21"/>
                <w:highlight w:val="none"/>
              </w:rPr>
            </w:pPr>
          </w:p>
          <w:p>
            <w:pPr>
              <w:keepNext w:val="0"/>
              <w:keepLines w:val="0"/>
              <w:suppressLineNumbers w:val="0"/>
              <w:spacing w:before="0" w:beforeAutospacing="0" w:after="0" w:afterAutospacing="0"/>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表4-</w:t>
            </w:r>
            <w:r>
              <w:rPr>
                <w:rFonts w:hint="eastAsia" w:eastAsia="宋体" w:cs="Times New Roman"/>
                <w:b/>
                <w:color w:val="auto"/>
                <w:sz w:val="21"/>
                <w:szCs w:val="21"/>
                <w:highlight w:val="none"/>
                <w:lang w:val="en-US" w:eastAsia="zh-CN"/>
              </w:rPr>
              <w:t>30</w:t>
            </w:r>
            <w:r>
              <w:rPr>
                <w:rFonts w:hint="eastAsia"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b/>
                <w:color w:val="auto"/>
                <w:sz w:val="21"/>
                <w:szCs w:val="21"/>
                <w:highlight w:val="none"/>
              </w:rPr>
              <w:t>风险物质最大存在总量及临界量</w:t>
            </w:r>
          </w:p>
          <w:tbl>
            <w:tblPr>
              <w:tblStyle w:val="25"/>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2598"/>
              <w:gridCol w:w="2388"/>
              <w:gridCol w:w="1689"/>
              <w:gridCol w:w="180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532" w:type="pct"/>
                  <w:noWrap w:val="0"/>
                  <w:vAlign w:val="center"/>
                </w:tcPr>
                <w:p>
                  <w:pPr>
                    <w:tabs>
                      <w:tab w:val="left" w:pos="960"/>
                    </w:tabs>
                    <w:snapToGrid w:val="0"/>
                    <w:spacing w:line="240" w:lineRule="auto"/>
                    <w:jc w:val="center"/>
                    <w:rPr>
                      <w:rFonts w:hint="default" w:ascii="Times New Roman" w:hAnsi="Times New Roman" w:eastAsia="宋体" w:cs="Times New Roman"/>
                      <w:b/>
                      <w:bCs/>
                      <w:color w:val="auto"/>
                      <w:spacing w:val="-4"/>
                      <w:sz w:val="21"/>
                      <w:szCs w:val="21"/>
                      <w:highlight w:val="none"/>
                    </w:rPr>
                  </w:pPr>
                  <w:r>
                    <w:rPr>
                      <w:rFonts w:hint="default" w:ascii="Times New Roman" w:hAnsi="Times New Roman" w:eastAsia="宋体" w:cs="Times New Roman"/>
                      <w:b/>
                      <w:bCs/>
                      <w:color w:val="auto"/>
                      <w:spacing w:val="-4"/>
                      <w:sz w:val="21"/>
                      <w:szCs w:val="21"/>
                      <w:highlight w:val="none"/>
                    </w:rPr>
                    <w:t>名称</w:t>
                  </w:r>
                </w:p>
              </w:tc>
              <w:tc>
                <w:tcPr>
                  <w:tcW w:w="1408" w:type="pct"/>
                  <w:noWrap w:val="0"/>
                  <w:vAlign w:val="center"/>
                </w:tcPr>
                <w:p>
                  <w:pPr>
                    <w:tabs>
                      <w:tab w:val="left" w:pos="960"/>
                    </w:tabs>
                    <w:snapToGrid w:val="0"/>
                    <w:spacing w:line="240" w:lineRule="auto"/>
                    <w:jc w:val="center"/>
                    <w:rPr>
                      <w:rFonts w:hint="default" w:ascii="Times New Roman" w:hAnsi="Times New Roman" w:eastAsia="宋体" w:cs="Times New Roman"/>
                      <w:b/>
                      <w:bCs/>
                      <w:color w:val="auto"/>
                      <w:spacing w:val="-4"/>
                      <w:sz w:val="21"/>
                      <w:szCs w:val="21"/>
                      <w:highlight w:val="none"/>
                    </w:rPr>
                  </w:pPr>
                  <w:r>
                    <w:rPr>
                      <w:rFonts w:hint="default" w:ascii="Times New Roman" w:hAnsi="Times New Roman" w:eastAsia="宋体" w:cs="Times New Roman"/>
                      <w:b/>
                      <w:bCs/>
                      <w:color w:val="auto"/>
                      <w:spacing w:val="-4"/>
                      <w:sz w:val="21"/>
                      <w:szCs w:val="21"/>
                      <w:highlight w:val="none"/>
                    </w:rPr>
                    <w:t>最大存储量/t</w:t>
                  </w:r>
                </w:p>
              </w:tc>
              <w:tc>
                <w:tcPr>
                  <w:tcW w:w="996" w:type="pct"/>
                  <w:noWrap w:val="0"/>
                  <w:vAlign w:val="center"/>
                </w:tcPr>
                <w:p>
                  <w:pPr>
                    <w:tabs>
                      <w:tab w:val="left" w:pos="960"/>
                    </w:tabs>
                    <w:snapToGrid w:val="0"/>
                    <w:spacing w:line="240" w:lineRule="auto"/>
                    <w:jc w:val="center"/>
                    <w:rPr>
                      <w:rFonts w:hint="default" w:ascii="Times New Roman" w:hAnsi="Times New Roman" w:eastAsia="宋体" w:cs="Times New Roman"/>
                      <w:b/>
                      <w:bCs/>
                      <w:color w:val="auto"/>
                      <w:spacing w:val="-4"/>
                      <w:sz w:val="21"/>
                      <w:szCs w:val="21"/>
                      <w:highlight w:val="none"/>
                    </w:rPr>
                  </w:pPr>
                  <w:r>
                    <w:rPr>
                      <w:rFonts w:hint="default" w:ascii="Times New Roman" w:hAnsi="Times New Roman" w:eastAsia="宋体" w:cs="Times New Roman"/>
                      <w:b/>
                      <w:bCs/>
                      <w:color w:val="auto"/>
                      <w:spacing w:val="-4"/>
                      <w:sz w:val="21"/>
                      <w:szCs w:val="21"/>
                      <w:highlight w:val="none"/>
                    </w:rPr>
                    <w:t>临界量/t</w:t>
                  </w:r>
                </w:p>
              </w:tc>
              <w:tc>
                <w:tcPr>
                  <w:tcW w:w="1063" w:type="pct"/>
                  <w:noWrap w:val="0"/>
                  <w:vAlign w:val="center"/>
                </w:tcPr>
                <w:p>
                  <w:pPr>
                    <w:tabs>
                      <w:tab w:val="left" w:pos="960"/>
                    </w:tabs>
                    <w:snapToGrid w:val="0"/>
                    <w:spacing w:line="240" w:lineRule="auto"/>
                    <w:jc w:val="center"/>
                    <w:rPr>
                      <w:rFonts w:hint="default" w:ascii="Times New Roman" w:hAnsi="Times New Roman" w:eastAsia="宋体" w:cs="Times New Roman"/>
                      <w:b/>
                      <w:bCs/>
                      <w:color w:val="auto"/>
                      <w:spacing w:val="-4"/>
                      <w:sz w:val="21"/>
                      <w:szCs w:val="21"/>
                      <w:highlight w:val="none"/>
                    </w:rPr>
                  </w:pPr>
                  <w:r>
                    <w:rPr>
                      <w:rFonts w:hint="default" w:ascii="Times New Roman" w:hAnsi="Times New Roman" w:eastAsia="宋体" w:cs="Times New Roman"/>
                      <w:b/>
                      <w:bCs/>
                      <w:color w:val="auto"/>
                      <w:spacing w:val="-4"/>
                      <w:sz w:val="21"/>
                      <w:szCs w:val="21"/>
                      <w:highlight w:val="none"/>
                    </w:rPr>
                    <w:t>Q值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532" w:type="pct"/>
                  <w:noWrap w:val="0"/>
                  <w:vAlign w:val="center"/>
                </w:tcPr>
                <w:p>
                  <w:pPr>
                    <w:tabs>
                      <w:tab w:val="left" w:pos="960"/>
                    </w:tabs>
                    <w:snapToGrid w:val="0"/>
                    <w:spacing w:line="240" w:lineRule="auto"/>
                    <w:jc w:val="center"/>
                    <w:rPr>
                      <w:rFonts w:hint="default" w:ascii="Times New Roman" w:hAnsi="Times New Roman" w:eastAsia="宋体" w:cs="Times New Roman"/>
                      <w:b/>
                      <w:bCs/>
                      <w:color w:val="auto"/>
                      <w:spacing w:val="-4"/>
                      <w:sz w:val="21"/>
                      <w:szCs w:val="21"/>
                      <w:highlight w:val="none"/>
                      <w:lang w:val="en-US" w:eastAsia="zh-CN"/>
                    </w:rPr>
                  </w:pPr>
                  <w:r>
                    <w:rPr>
                      <w:rFonts w:hint="eastAsia" w:eastAsia="宋体" w:cs="Times New Roman"/>
                      <w:b w:val="0"/>
                      <w:bCs w:val="0"/>
                      <w:color w:val="auto"/>
                      <w:spacing w:val="-4"/>
                      <w:sz w:val="21"/>
                      <w:szCs w:val="21"/>
                      <w:highlight w:val="none"/>
                      <w:lang w:val="en-US" w:eastAsia="zh-CN"/>
                    </w:rPr>
                    <w:t>环戊烷（占比8%）</w:t>
                  </w:r>
                </w:p>
              </w:tc>
              <w:tc>
                <w:tcPr>
                  <w:tcW w:w="1408" w:type="pct"/>
                  <w:noWrap w:val="0"/>
                  <w:vAlign w:val="center"/>
                </w:tcPr>
                <w:p>
                  <w:pPr>
                    <w:tabs>
                      <w:tab w:val="left" w:pos="960"/>
                    </w:tabs>
                    <w:snapToGrid w:val="0"/>
                    <w:spacing w:line="240" w:lineRule="auto"/>
                    <w:jc w:val="center"/>
                    <w:rPr>
                      <w:rFonts w:hint="default" w:ascii="Times New Roman" w:hAnsi="Times New Roman" w:eastAsia="宋体" w:cs="Times New Roman"/>
                      <w:b w:val="0"/>
                      <w:bCs w:val="0"/>
                      <w:color w:val="auto"/>
                      <w:spacing w:val="-4"/>
                      <w:sz w:val="21"/>
                      <w:szCs w:val="21"/>
                      <w:highlight w:val="none"/>
                      <w:lang w:val="en-US" w:eastAsia="zh-CN"/>
                    </w:rPr>
                  </w:pPr>
                  <w:r>
                    <w:rPr>
                      <w:rFonts w:hint="eastAsia" w:cs="Times New Roman"/>
                      <w:b w:val="0"/>
                      <w:bCs w:val="0"/>
                      <w:color w:val="auto"/>
                      <w:spacing w:val="-4"/>
                      <w:sz w:val="21"/>
                      <w:szCs w:val="21"/>
                      <w:highlight w:val="none"/>
                      <w:lang w:val="en-US" w:eastAsia="zh-CN"/>
                    </w:rPr>
                    <w:t>28</w:t>
                  </w:r>
                </w:p>
              </w:tc>
              <w:tc>
                <w:tcPr>
                  <w:tcW w:w="996" w:type="pct"/>
                  <w:noWrap w:val="0"/>
                  <w:vAlign w:val="center"/>
                </w:tcPr>
                <w:p>
                  <w:pPr>
                    <w:tabs>
                      <w:tab w:val="left" w:pos="960"/>
                    </w:tabs>
                    <w:snapToGrid w:val="0"/>
                    <w:spacing w:line="240" w:lineRule="auto"/>
                    <w:jc w:val="center"/>
                    <w:rPr>
                      <w:rFonts w:hint="default" w:ascii="Times New Roman" w:hAnsi="Times New Roman" w:eastAsia="宋体" w:cs="Times New Roman"/>
                      <w:b w:val="0"/>
                      <w:bCs w:val="0"/>
                      <w:color w:val="auto"/>
                      <w:spacing w:val="-4"/>
                      <w:sz w:val="21"/>
                      <w:szCs w:val="21"/>
                      <w:highlight w:val="none"/>
                      <w:lang w:val="en-US" w:eastAsia="zh-CN"/>
                    </w:rPr>
                  </w:pPr>
                  <w:r>
                    <w:rPr>
                      <w:rFonts w:hint="eastAsia" w:eastAsia="宋体" w:cs="Times New Roman"/>
                      <w:b w:val="0"/>
                      <w:bCs w:val="0"/>
                      <w:color w:val="auto"/>
                      <w:spacing w:val="-4"/>
                      <w:sz w:val="21"/>
                      <w:szCs w:val="21"/>
                      <w:highlight w:val="none"/>
                      <w:lang w:val="en-US" w:eastAsia="zh-CN"/>
                    </w:rPr>
                    <w:t>1000</w:t>
                  </w:r>
                </w:p>
              </w:tc>
              <w:tc>
                <w:tcPr>
                  <w:tcW w:w="1063" w:type="pct"/>
                  <w:noWrap w:val="0"/>
                  <w:vAlign w:val="center"/>
                </w:tcPr>
                <w:p>
                  <w:pPr>
                    <w:tabs>
                      <w:tab w:val="left" w:pos="960"/>
                    </w:tabs>
                    <w:snapToGrid w:val="0"/>
                    <w:spacing w:line="240" w:lineRule="auto"/>
                    <w:jc w:val="center"/>
                    <w:rPr>
                      <w:rFonts w:hint="default" w:ascii="Times New Roman" w:hAnsi="Times New Roman" w:eastAsia="宋体" w:cs="Times New Roman"/>
                      <w:b w:val="0"/>
                      <w:bCs w:val="0"/>
                      <w:color w:val="auto"/>
                      <w:spacing w:val="-4"/>
                      <w:sz w:val="21"/>
                      <w:szCs w:val="21"/>
                      <w:highlight w:val="none"/>
                      <w:lang w:val="en-US" w:eastAsia="zh-CN"/>
                    </w:rPr>
                  </w:pPr>
                  <w:r>
                    <w:rPr>
                      <w:rFonts w:hint="eastAsia" w:eastAsia="宋体" w:cs="Times New Roman"/>
                      <w:b w:val="0"/>
                      <w:bCs w:val="0"/>
                      <w:color w:val="auto"/>
                      <w:spacing w:val="-4"/>
                      <w:sz w:val="21"/>
                      <w:szCs w:val="21"/>
                      <w:highlight w:val="none"/>
                      <w:lang w:val="en-US" w:eastAsia="zh-CN"/>
                    </w:rPr>
                    <w:t>0.028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532" w:type="pct"/>
                  <w:noWrap w:val="0"/>
                  <w:vAlign w:val="center"/>
                </w:tcPr>
                <w:p>
                  <w:pPr>
                    <w:spacing w:line="240" w:lineRule="auto"/>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废活性炭</w:t>
                  </w:r>
                </w:p>
              </w:tc>
              <w:tc>
                <w:tcPr>
                  <w:tcW w:w="1408" w:type="pct"/>
                  <w:noWrap w:val="0"/>
                  <w:vAlign w:val="center"/>
                </w:tcPr>
                <w:p>
                  <w:pPr>
                    <w:pStyle w:val="50"/>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eastAsia" w:eastAsia="宋体" w:cs="Times New Roman"/>
                      <w:color w:val="auto"/>
                      <w:kern w:val="2"/>
                      <w:sz w:val="21"/>
                      <w:szCs w:val="21"/>
                      <w:highlight w:val="none"/>
                      <w:lang w:val="en-US" w:eastAsia="zh-CN" w:bidi="ar-SA"/>
                    </w:rPr>
                    <w:t>0.7</w:t>
                  </w:r>
                </w:p>
              </w:tc>
              <w:tc>
                <w:tcPr>
                  <w:tcW w:w="996" w:type="pct"/>
                  <w:noWrap w:val="0"/>
                  <w:vAlign w:val="center"/>
                </w:tcPr>
                <w:p>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ascii="Times New Roman" w:hAnsi="Times New Roman" w:eastAsia="宋体" w:cs="Times New Roman"/>
                      <w:i w:val="0"/>
                      <w:iCs w:val="0"/>
                      <w:color w:val="auto"/>
                      <w:kern w:val="0"/>
                      <w:sz w:val="21"/>
                      <w:szCs w:val="21"/>
                      <w:highlight w:val="none"/>
                      <w:u w:val="none"/>
                      <w:lang w:val="en-US" w:eastAsia="zh-CN" w:bidi="ar"/>
                    </w:rPr>
                    <w:t>50</w:t>
                  </w:r>
                </w:p>
              </w:tc>
              <w:tc>
                <w:tcPr>
                  <w:tcW w:w="1063" w:type="pct"/>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highlight w:val="none"/>
                      <w:u w:val="none"/>
                      <w:lang w:val="en-US" w:eastAsia="zh-CN" w:bidi="ar"/>
                    </w:rPr>
                  </w:pPr>
                  <w:r>
                    <w:rPr>
                      <w:rFonts w:hint="eastAsia" w:cs="Times New Roman"/>
                      <w:i w:val="0"/>
                      <w:iCs w:val="0"/>
                      <w:color w:val="auto"/>
                      <w:kern w:val="0"/>
                      <w:sz w:val="21"/>
                      <w:szCs w:val="21"/>
                      <w:highlight w:val="none"/>
                      <w:u w:val="none"/>
                      <w:lang w:val="en-US" w:eastAsia="zh-CN" w:bidi="ar"/>
                    </w:rPr>
                    <w:t>0.014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936" w:type="pct"/>
                  <w:gridSpan w:val="3"/>
                  <w:noWrap w:val="0"/>
                  <w:vAlign w:val="center"/>
                </w:tcPr>
                <w:p>
                  <w:pPr>
                    <w:snapToGrid w:val="0"/>
                    <w:spacing w:line="240" w:lineRule="auto"/>
                    <w:jc w:val="center"/>
                    <w:rPr>
                      <w:rFonts w:hint="default" w:ascii="Times New Roman" w:hAnsi="Times New Roman" w:eastAsia="宋体" w:cs="Times New Roman"/>
                      <w:bCs/>
                      <w:color w:val="auto"/>
                      <w:spacing w:val="-4"/>
                      <w:sz w:val="21"/>
                      <w:szCs w:val="21"/>
                      <w:highlight w:val="none"/>
                    </w:rPr>
                  </w:pPr>
                  <w:r>
                    <w:rPr>
                      <w:rFonts w:hint="default" w:ascii="Times New Roman" w:hAnsi="Times New Roman" w:eastAsia="宋体" w:cs="Times New Roman"/>
                      <w:b/>
                      <w:bCs/>
                      <w:color w:val="auto"/>
                      <w:spacing w:val="-4"/>
                      <w:sz w:val="21"/>
                      <w:szCs w:val="21"/>
                      <w:highlight w:val="none"/>
                    </w:rPr>
                    <w:t>∑Q值</w:t>
                  </w:r>
                </w:p>
              </w:tc>
              <w:tc>
                <w:tcPr>
                  <w:tcW w:w="1063" w:type="pct"/>
                  <w:noWrap w:val="0"/>
                  <w:vAlign w:val="center"/>
                </w:tcPr>
                <w:p>
                  <w:pPr>
                    <w:widowControl/>
                    <w:spacing w:line="240" w:lineRule="auto"/>
                    <w:jc w:val="center"/>
                    <w:textAlignment w:val="center"/>
                    <w:rPr>
                      <w:rFonts w:hint="default" w:ascii="Times New Roman" w:hAnsi="Times New Roman" w:eastAsia="宋体" w:cs="Times New Roman"/>
                      <w:color w:val="auto"/>
                      <w:sz w:val="21"/>
                      <w:szCs w:val="21"/>
                      <w:highlight w:val="none"/>
                      <w:lang w:val="en-US" w:eastAsia="zh-CN"/>
                    </w:rPr>
                  </w:pPr>
                  <w:r>
                    <w:rPr>
                      <w:rFonts w:hint="eastAsia" w:eastAsia="宋体" w:cs="Times New Roman"/>
                      <w:color w:val="auto"/>
                      <w:sz w:val="21"/>
                      <w:szCs w:val="21"/>
                      <w:highlight w:val="none"/>
                      <w:lang w:val="en-US" w:eastAsia="zh-CN"/>
                    </w:rPr>
                    <w:t>0.0</w:t>
                  </w:r>
                  <w:r>
                    <w:rPr>
                      <w:rFonts w:hint="eastAsia" w:cs="Times New Roman"/>
                      <w:color w:val="auto"/>
                      <w:sz w:val="21"/>
                      <w:szCs w:val="21"/>
                      <w:highlight w:val="none"/>
                      <w:lang w:val="en-US" w:eastAsia="zh-CN"/>
                    </w:rPr>
                    <w:t>42</w:t>
                  </w:r>
                </w:p>
              </w:tc>
            </w:tr>
          </w:tbl>
          <w:p>
            <w:pPr>
              <w:pStyle w:val="11"/>
              <w:keepNext w:val="0"/>
              <w:keepLines w:val="0"/>
              <w:pageBreakBefore w:val="0"/>
              <w:widowControl w:val="0"/>
              <w:kinsoku/>
              <w:wordWrap/>
              <w:overflowPunct/>
              <w:topLinePunct w:val="0"/>
              <w:autoSpaceDE/>
              <w:autoSpaceDN/>
              <w:bidi w:val="0"/>
              <w:adjustRightInd w:val="0"/>
              <w:snapToGrid w:val="0"/>
              <w:spacing w:before="157" w:beforeLines="50" w:line="360" w:lineRule="auto"/>
              <w:ind w:left="0" w:leftChars="0" w:right="0" w:rightChars="0" w:firstLine="482"/>
              <w:jc w:val="left"/>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color w:val="auto"/>
                <w:sz w:val="21"/>
                <w:szCs w:val="21"/>
              </w:rPr>
              <w:t>由上表可知</w:t>
            </w:r>
            <w:r>
              <w:rPr>
                <w:rFonts w:hint="default" w:ascii="Times New Roman" w:hAnsi="Times New Roman" w:eastAsia="宋体" w:cs="Times New Roman"/>
                <w:bCs/>
                <w:color w:val="auto"/>
                <w:sz w:val="21"/>
                <w:szCs w:val="21"/>
              </w:rPr>
              <w:t>Q＜1，</w:t>
            </w:r>
            <w:r>
              <w:rPr>
                <w:rFonts w:hint="default" w:ascii="Times New Roman" w:hAnsi="Times New Roman" w:eastAsia="宋体" w:cs="Times New Roman"/>
                <w:bCs/>
                <w:color w:val="auto"/>
                <w:sz w:val="21"/>
                <w:szCs w:val="21"/>
                <w:lang w:val="en-US" w:eastAsia="zh-CN"/>
              </w:rPr>
              <w:t>风险</w:t>
            </w:r>
            <w:r>
              <w:rPr>
                <w:rFonts w:hint="default" w:ascii="Times New Roman" w:hAnsi="Times New Roman" w:eastAsia="宋体" w:cs="Times New Roman"/>
                <w:bCs/>
                <w:color w:val="auto"/>
                <w:sz w:val="21"/>
                <w:szCs w:val="21"/>
              </w:rPr>
              <w:t>物质存储量</w:t>
            </w:r>
            <w:r>
              <w:rPr>
                <w:rFonts w:hint="default" w:ascii="Times New Roman" w:hAnsi="Times New Roman" w:eastAsia="宋体" w:cs="Times New Roman"/>
                <w:bCs/>
                <w:color w:val="auto"/>
                <w:sz w:val="21"/>
                <w:szCs w:val="21"/>
                <w:lang w:val="en-US" w:eastAsia="zh-CN"/>
              </w:rPr>
              <w:t>未</w:t>
            </w:r>
            <w:r>
              <w:rPr>
                <w:rFonts w:hint="default" w:ascii="Times New Roman" w:hAnsi="Times New Roman" w:eastAsia="宋体" w:cs="Times New Roman"/>
                <w:bCs/>
                <w:color w:val="auto"/>
                <w:sz w:val="21"/>
                <w:szCs w:val="21"/>
              </w:rPr>
              <w:t>超过临界量</w:t>
            </w:r>
            <w:r>
              <w:rPr>
                <w:rFonts w:hint="default" w:ascii="Times New Roman" w:hAnsi="Times New Roman" w:eastAsia="宋体" w:cs="Times New Roman"/>
                <w:bCs/>
                <w:color w:val="auto"/>
                <w:sz w:val="21"/>
                <w:szCs w:val="21"/>
                <w:lang w:eastAsia="zh-CN"/>
              </w:rPr>
              <w:t>，</w:t>
            </w:r>
            <w:r>
              <w:rPr>
                <w:rFonts w:hint="default" w:ascii="Times New Roman" w:hAnsi="Times New Roman" w:eastAsia="宋体" w:cs="Times New Roman"/>
                <w:bCs/>
                <w:color w:val="auto"/>
                <w:sz w:val="21"/>
                <w:szCs w:val="21"/>
                <w:highlight w:val="none"/>
              </w:rPr>
              <w:t>本项目环境风险潜势为Ⅰ</w:t>
            </w:r>
            <w:r>
              <w:rPr>
                <w:rFonts w:hint="eastAsia"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z w:val="21"/>
                <w:szCs w:val="21"/>
                <w:lang w:val="en-US" w:eastAsia="zh-CN"/>
              </w:rPr>
              <w:t>不需要做环境风险专项</w:t>
            </w:r>
            <w:r>
              <w:rPr>
                <w:rFonts w:hint="eastAsia" w:ascii="Times New Roman" w:hAnsi="Times New Roman" w:cs="Times New Roman"/>
                <w:bCs/>
                <w:color w:val="auto"/>
                <w:sz w:val="21"/>
                <w:szCs w:val="21"/>
                <w:lang w:val="en-US" w:eastAsia="zh-CN"/>
              </w:rPr>
              <w:t>。</w:t>
            </w:r>
          </w:p>
          <w:p>
            <w:pPr>
              <w:pStyle w:val="11"/>
              <w:numPr>
                <w:ilvl w:val="0"/>
                <w:numId w:val="9"/>
              </w:numPr>
              <w:spacing w:line="360" w:lineRule="auto"/>
              <w:ind w:left="0" w:leftChars="0" w:right="0" w:rightChars="0" w:firstLine="422" w:firstLineChars="200"/>
              <w:rPr>
                <w:rFonts w:hint="eastAsia" w:eastAsia="宋体" w:cs="Times New Roman"/>
                <w:b/>
                <w:bCs/>
                <w:color w:val="auto"/>
                <w:sz w:val="21"/>
                <w:szCs w:val="21"/>
                <w:highlight w:val="none"/>
                <w:lang w:val="en-US" w:eastAsia="zh-CN"/>
              </w:rPr>
            </w:pPr>
            <w:r>
              <w:rPr>
                <w:rFonts w:hint="eastAsia" w:eastAsia="宋体" w:cs="Times New Roman"/>
                <w:b/>
                <w:bCs/>
                <w:color w:val="auto"/>
                <w:sz w:val="21"/>
                <w:szCs w:val="21"/>
                <w:highlight w:val="none"/>
                <w:lang w:val="en-US" w:eastAsia="zh-CN"/>
              </w:rPr>
              <w:t>环境风险分析</w:t>
            </w:r>
          </w:p>
          <w:p>
            <w:pPr>
              <w:pStyle w:val="11"/>
              <w:numPr>
                <w:ilvl w:val="0"/>
                <w:numId w:val="0"/>
              </w:numPr>
              <w:spacing w:line="360" w:lineRule="auto"/>
              <w:ind w:right="0" w:rightChars="0" w:firstLine="420" w:firstLineChars="200"/>
              <w:rPr>
                <w:rFonts w:hint="default" w:eastAsia="宋体" w:cs="Times New Roman"/>
                <w:b w:val="0"/>
                <w:bCs w:val="0"/>
                <w:color w:val="auto"/>
                <w:sz w:val="21"/>
                <w:szCs w:val="21"/>
                <w:highlight w:val="none"/>
                <w:lang w:val="en-US" w:eastAsia="zh-CN"/>
              </w:rPr>
            </w:pPr>
            <w:r>
              <w:rPr>
                <w:rFonts w:hint="default" w:eastAsia="宋体" w:cs="Times New Roman"/>
                <w:b w:val="0"/>
                <w:bCs w:val="0"/>
                <w:color w:val="auto"/>
                <w:sz w:val="21"/>
                <w:szCs w:val="21"/>
                <w:highlight w:val="none"/>
                <w:lang w:val="en-US" w:eastAsia="zh-CN"/>
              </w:rPr>
              <w:t>本项日</w:t>
            </w:r>
            <w:r>
              <w:rPr>
                <w:rFonts w:hint="eastAsia" w:eastAsia="宋体" w:cs="Times New Roman"/>
                <w:b w:val="0"/>
                <w:bCs w:val="0"/>
                <w:color w:val="auto"/>
                <w:sz w:val="21"/>
                <w:szCs w:val="21"/>
                <w:highlight w:val="none"/>
                <w:lang w:val="en-US" w:eastAsia="zh-CN"/>
              </w:rPr>
              <w:t>原料及</w:t>
            </w:r>
            <w:r>
              <w:rPr>
                <w:rFonts w:hint="default" w:eastAsia="宋体" w:cs="Times New Roman"/>
                <w:b w:val="0"/>
                <w:bCs w:val="0"/>
                <w:color w:val="auto"/>
                <w:sz w:val="21"/>
                <w:szCs w:val="21"/>
                <w:highlight w:val="none"/>
                <w:lang w:val="en-US" w:eastAsia="zh-CN"/>
              </w:rPr>
              <w:t>产品易燃，且在生产过程中会产生少量</w:t>
            </w:r>
            <w:r>
              <w:rPr>
                <w:rFonts w:hint="eastAsia" w:eastAsia="宋体" w:cs="Times New Roman"/>
                <w:b w:val="0"/>
                <w:bCs w:val="0"/>
                <w:color w:val="auto"/>
                <w:sz w:val="21"/>
                <w:szCs w:val="21"/>
                <w:highlight w:val="none"/>
                <w:lang w:val="en-US" w:eastAsia="zh-CN"/>
              </w:rPr>
              <w:t>环</w:t>
            </w:r>
            <w:r>
              <w:rPr>
                <w:rFonts w:hint="default" w:eastAsia="宋体" w:cs="Times New Roman"/>
                <w:b w:val="0"/>
                <w:bCs w:val="0"/>
                <w:color w:val="auto"/>
                <w:sz w:val="21"/>
                <w:szCs w:val="21"/>
                <w:highlight w:val="none"/>
                <w:lang w:val="en-US" w:eastAsia="zh-CN"/>
              </w:rPr>
              <w:t>戊烷，因其相对密度为2.4</w:t>
            </w:r>
            <w:r>
              <w:rPr>
                <w:rFonts w:hint="eastAsia" w:eastAsia="宋体" w:cs="Times New Roman"/>
                <w:b w:val="0"/>
                <w:bCs w:val="0"/>
                <w:color w:val="auto"/>
                <w:sz w:val="21"/>
                <w:szCs w:val="21"/>
                <w:highlight w:val="none"/>
                <w:lang w:val="en-US" w:eastAsia="zh-CN"/>
              </w:rPr>
              <w:t>2（</w:t>
            </w:r>
            <w:r>
              <w:rPr>
                <w:rFonts w:hint="default" w:eastAsia="宋体" w:cs="Times New Roman"/>
                <w:b w:val="0"/>
                <w:bCs w:val="0"/>
                <w:color w:val="auto"/>
                <w:sz w:val="21"/>
                <w:szCs w:val="21"/>
                <w:highlight w:val="none"/>
                <w:lang w:val="en-US" w:eastAsia="zh-CN"/>
              </w:rPr>
              <w:t>空气=1</w:t>
            </w:r>
            <w:r>
              <w:rPr>
                <w:rFonts w:hint="eastAsia" w:eastAsia="宋体" w:cs="Times New Roman"/>
                <w:b w:val="0"/>
                <w:bCs w:val="0"/>
                <w:color w:val="auto"/>
                <w:sz w:val="21"/>
                <w:szCs w:val="21"/>
                <w:highlight w:val="none"/>
                <w:lang w:val="en-US" w:eastAsia="zh-CN"/>
              </w:rPr>
              <w:t>）</w:t>
            </w:r>
            <w:r>
              <w:rPr>
                <w:rFonts w:hint="default" w:eastAsia="宋体" w:cs="Times New Roman"/>
                <w:b w:val="0"/>
                <w:bCs w:val="0"/>
                <w:color w:val="auto"/>
                <w:sz w:val="21"/>
                <w:szCs w:val="21"/>
                <w:highlight w:val="none"/>
                <w:lang w:val="en-US" w:eastAsia="zh-CN"/>
              </w:rPr>
              <w:t>，大于空气，容易在生产车间</w:t>
            </w:r>
            <w:r>
              <w:rPr>
                <w:rFonts w:hint="eastAsia" w:eastAsia="宋体" w:cs="Times New Roman"/>
                <w:b w:val="0"/>
                <w:bCs w:val="0"/>
                <w:color w:val="auto"/>
                <w:sz w:val="21"/>
                <w:szCs w:val="21"/>
                <w:highlight w:val="none"/>
                <w:lang w:val="en-US" w:eastAsia="zh-CN"/>
              </w:rPr>
              <w:t>地面</w:t>
            </w:r>
            <w:r>
              <w:rPr>
                <w:rFonts w:hint="default" w:eastAsia="宋体" w:cs="Times New Roman"/>
                <w:b w:val="0"/>
                <w:bCs w:val="0"/>
                <w:color w:val="auto"/>
                <w:sz w:val="21"/>
                <w:szCs w:val="21"/>
                <w:highlight w:val="none"/>
                <w:lang w:val="en-US" w:eastAsia="zh-CN"/>
              </w:rPr>
              <w:t>上积留，当</w:t>
            </w:r>
            <w:r>
              <w:rPr>
                <w:rFonts w:hint="eastAsia" w:eastAsia="宋体" w:cs="Times New Roman"/>
                <w:b w:val="0"/>
                <w:bCs w:val="0"/>
                <w:color w:val="auto"/>
                <w:sz w:val="21"/>
                <w:szCs w:val="21"/>
                <w:highlight w:val="none"/>
                <w:lang w:val="en-US" w:eastAsia="zh-CN"/>
              </w:rPr>
              <w:t>环</w:t>
            </w:r>
            <w:r>
              <w:rPr>
                <w:rFonts w:hint="default" w:eastAsia="宋体" w:cs="Times New Roman"/>
                <w:b w:val="0"/>
                <w:bCs w:val="0"/>
                <w:color w:val="auto"/>
                <w:sz w:val="21"/>
                <w:szCs w:val="21"/>
                <w:highlight w:val="none"/>
                <w:lang w:val="en-US" w:eastAsia="zh-CN"/>
              </w:rPr>
              <w:t>戊烷与空气的比例达到</w:t>
            </w:r>
            <w:r>
              <w:rPr>
                <w:rFonts w:hint="eastAsia" w:eastAsia="宋体" w:cs="Times New Roman"/>
                <w:b w:val="0"/>
                <w:bCs w:val="0"/>
                <w:color w:val="auto"/>
                <w:sz w:val="21"/>
                <w:szCs w:val="21"/>
                <w:highlight w:val="none"/>
                <w:lang w:val="en-US" w:eastAsia="zh-CN"/>
              </w:rPr>
              <w:t>1.4</w:t>
            </w:r>
            <w:r>
              <w:rPr>
                <w:rFonts w:hint="default" w:eastAsia="宋体" w:cs="Times New Roman"/>
                <w:b w:val="0"/>
                <w:bCs w:val="0"/>
                <w:color w:val="auto"/>
                <w:sz w:val="21"/>
                <w:szCs w:val="21"/>
                <w:highlight w:val="none"/>
                <w:lang w:val="en-US" w:eastAsia="zh-CN"/>
              </w:rPr>
              <w:t>%时，遇火点</w:t>
            </w:r>
            <w:r>
              <w:rPr>
                <w:rFonts w:hint="eastAsia" w:eastAsia="宋体" w:cs="Times New Roman"/>
                <w:b w:val="0"/>
                <w:bCs w:val="0"/>
                <w:color w:val="auto"/>
                <w:sz w:val="21"/>
                <w:szCs w:val="21"/>
                <w:highlight w:val="none"/>
                <w:lang w:val="en-US" w:eastAsia="zh-CN"/>
              </w:rPr>
              <w:t>（</w:t>
            </w:r>
            <w:r>
              <w:rPr>
                <w:rFonts w:hint="default" w:eastAsia="宋体" w:cs="Times New Roman"/>
                <w:b w:val="0"/>
                <w:bCs w:val="0"/>
                <w:color w:val="auto"/>
                <w:sz w:val="21"/>
                <w:szCs w:val="21"/>
                <w:highlight w:val="none"/>
                <w:lang w:val="en-US" w:eastAsia="zh-CN"/>
              </w:rPr>
              <w:t>热源</w:t>
            </w:r>
            <w:r>
              <w:rPr>
                <w:rFonts w:hint="eastAsia" w:eastAsia="宋体" w:cs="Times New Roman"/>
                <w:b w:val="0"/>
                <w:bCs w:val="0"/>
                <w:color w:val="auto"/>
                <w:sz w:val="21"/>
                <w:szCs w:val="21"/>
                <w:highlight w:val="none"/>
                <w:lang w:val="en-US" w:eastAsia="zh-CN"/>
              </w:rPr>
              <w:t>）</w:t>
            </w:r>
            <w:r>
              <w:rPr>
                <w:rFonts w:hint="default" w:eastAsia="宋体" w:cs="Times New Roman"/>
                <w:b w:val="0"/>
                <w:bCs w:val="0"/>
                <w:color w:val="auto"/>
                <w:sz w:val="21"/>
                <w:szCs w:val="21"/>
                <w:highlight w:val="none"/>
                <w:lang w:val="en-US" w:eastAsia="zh-CN"/>
              </w:rPr>
              <w:t>，就会爆炸着火，因此务必予以注意，鉴于此，本项目生产具有潜在危险，分析如下</w:t>
            </w:r>
            <w:r>
              <w:rPr>
                <w:rFonts w:hint="eastAsia" w:eastAsia="宋体" w:cs="Times New Roman"/>
                <w:b w:val="0"/>
                <w:bCs w:val="0"/>
                <w:color w:val="auto"/>
                <w:sz w:val="21"/>
                <w:szCs w:val="21"/>
                <w:highlight w:val="none"/>
                <w:lang w:val="en-US" w:eastAsia="zh-CN"/>
              </w:rPr>
              <w:t>：</w:t>
            </w:r>
          </w:p>
          <w:p>
            <w:pPr>
              <w:pStyle w:val="11"/>
              <w:numPr>
                <w:ilvl w:val="0"/>
                <w:numId w:val="0"/>
              </w:numPr>
              <w:spacing w:line="360" w:lineRule="auto"/>
              <w:ind w:leftChars="200" w:right="0" w:rightChars="0"/>
              <w:rPr>
                <w:rFonts w:hint="default" w:eastAsia="宋体" w:cs="Times New Roman"/>
                <w:b w:val="0"/>
                <w:bCs w:val="0"/>
                <w:color w:val="auto"/>
                <w:sz w:val="21"/>
                <w:szCs w:val="21"/>
                <w:highlight w:val="none"/>
                <w:lang w:val="en-US" w:eastAsia="zh-CN"/>
              </w:rPr>
            </w:pPr>
            <w:r>
              <w:rPr>
                <w:rFonts w:hint="eastAsia" w:eastAsia="宋体" w:cs="Times New Roman"/>
                <w:b w:val="0"/>
                <w:bCs w:val="0"/>
                <w:color w:val="auto"/>
                <w:sz w:val="21"/>
                <w:szCs w:val="21"/>
                <w:highlight w:val="none"/>
                <w:lang w:val="en-US" w:eastAsia="zh-CN"/>
              </w:rPr>
              <w:t>（1）</w:t>
            </w:r>
            <w:r>
              <w:rPr>
                <w:rFonts w:hint="default" w:eastAsia="宋体" w:cs="Times New Roman"/>
                <w:b w:val="0"/>
                <w:bCs w:val="0"/>
                <w:color w:val="auto"/>
                <w:sz w:val="21"/>
                <w:szCs w:val="21"/>
                <w:highlight w:val="none"/>
                <w:lang w:val="en-US" w:eastAsia="zh-CN"/>
              </w:rPr>
              <w:t>危害性</w:t>
            </w:r>
          </w:p>
          <w:p>
            <w:pPr>
              <w:pStyle w:val="11"/>
              <w:numPr>
                <w:ilvl w:val="0"/>
                <w:numId w:val="0"/>
              </w:numPr>
              <w:spacing w:line="360" w:lineRule="auto"/>
              <w:ind w:right="0" w:rightChars="0" w:firstLine="420" w:firstLineChars="200"/>
              <w:rPr>
                <w:rFonts w:hint="eastAsia" w:eastAsia="宋体" w:cs="Times New Roman"/>
                <w:b w:val="0"/>
                <w:bCs w:val="0"/>
                <w:color w:val="auto"/>
                <w:sz w:val="21"/>
                <w:szCs w:val="21"/>
                <w:highlight w:val="none"/>
                <w:lang w:val="en-US" w:eastAsia="zh-CN"/>
              </w:rPr>
            </w:pPr>
            <w:r>
              <w:rPr>
                <w:rFonts w:hint="default" w:eastAsia="宋体" w:cs="Times New Roman"/>
                <w:b w:val="0"/>
                <w:bCs w:val="0"/>
                <w:color w:val="auto"/>
                <w:sz w:val="21"/>
                <w:szCs w:val="21"/>
                <w:highlight w:val="none"/>
                <w:lang w:val="en-US" w:eastAsia="zh-CN"/>
              </w:rPr>
              <w:t>其危害途径主要为吸入、食入，高浓度可引起眼利呼吸道粘膜轻度刺激症状和麻醉</w:t>
            </w:r>
            <w:r>
              <w:rPr>
                <w:rFonts w:hint="eastAsia" w:eastAsia="宋体" w:cs="Times New Roman"/>
                <w:b w:val="0"/>
                <w:bCs w:val="0"/>
                <w:color w:val="auto"/>
                <w:sz w:val="21"/>
                <w:szCs w:val="21"/>
                <w:highlight w:val="none"/>
                <w:lang w:val="en-US" w:eastAsia="zh-CN"/>
              </w:rPr>
              <w:t>状态，其至意识丧失，慢性作用为眼和呼吸道的轻度刺激，可引起轻度皮炎。</w:t>
            </w:r>
          </w:p>
          <w:p>
            <w:pPr>
              <w:pStyle w:val="11"/>
              <w:spacing w:line="360" w:lineRule="auto"/>
              <w:ind w:left="0" w:leftChars="0" w:right="0" w:rightChars="0" w:firstLine="482"/>
              <w:rPr>
                <w:rFonts w:hint="eastAsia" w:eastAsia="宋体" w:cs="Times New Roman"/>
                <w:b w:val="0"/>
                <w:bCs w:val="0"/>
                <w:color w:val="auto"/>
                <w:sz w:val="21"/>
                <w:szCs w:val="21"/>
                <w:highlight w:val="none"/>
                <w:lang w:val="en-US" w:eastAsia="zh-CN"/>
              </w:rPr>
            </w:pPr>
            <w:r>
              <w:rPr>
                <w:rFonts w:hint="eastAsia" w:eastAsia="宋体" w:cs="Times New Roman"/>
                <w:b w:val="0"/>
                <w:bCs w:val="0"/>
                <w:color w:val="auto"/>
                <w:sz w:val="21"/>
                <w:szCs w:val="21"/>
                <w:highlight w:val="none"/>
                <w:lang w:val="en-US" w:eastAsia="zh-CN"/>
              </w:rPr>
              <w:t>（2）危险特性</w:t>
            </w:r>
          </w:p>
          <w:p>
            <w:pPr>
              <w:pStyle w:val="11"/>
              <w:spacing w:line="360" w:lineRule="auto"/>
              <w:ind w:left="0" w:leftChars="0" w:right="0" w:rightChars="0" w:firstLine="482"/>
              <w:rPr>
                <w:rFonts w:hint="eastAsia" w:eastAsia="宋体" w:cs="Times New Roman"/>
                <w:b w:val="0"/>
                <w:bCs w:val="0"/>
                <w:color w:val="auto"/>
                <w:sz w:val="21"/>
                <w:szCs w:val="21"/>
                <w:highlight w:val="none"/>
                <w:lang w:val="en-US" w:eastAsia="zh-CN"/>
              </w:rPr>
            </w:pPr>
            <w:r>
              <w:rPr>
                <w:rFonts w:hint="eastAsia" w:eastAsia="宋体" w:cs="Times New Roman"/>
                <w:b w:val="0"/>
                <w:bCs w:val="0"/>
                <w:color w:val="auto"/>
                <w:sz w:val="21"/>
                <w:szCs w:val="21"/>
                <w:highlight w:val="none"/>
                <w:lang w:val="en-US" w:eastAsia="zh-CN"/>
              </w:rPr>
              <w:t>极易燃，其蒸汽与空气可形成爆炸性混合物。遇明火、高热极易燃烧爆炸。与氧化剂能发生强烈反应，甚至引起燃烧。液体比水轻，微溶于水，可随水漂流扩散到远处遇明火即引起燃烧。在火场中，受热的容器有爆炸危险。其蒸汽比空气重，能在较低处扩散到相当远的地方，遇见明火会引着回燃。</w:t>
            </w:r>
          </w:p>
          <w:p>
            <w:pPr>
              <w:pStyle w:val="11"/>
              <w:spacing w:line="360" w:lineRule="auto"/>
              <w:ind w:left="0" w:leftChars="0" w:right="0" w:rightChars="0" w:firstLine="482"/>
              <w:rPr>
                <w:rFonts w:hint="eastAsia" w:eastAsia="宋体" w:cs="Times New Roman"/>
                <w:b w:val="0"/>
                <w:bCs w:val="0"/>
                <w:color w:val="auto"/>
                <w:sz w:val="21"/>
                <w:szCs w:val="21"/>
                <w:highlight w:val="none"/>
                <w:lang w:val="en-US" w:eastAsia="zh-CN"/>
              </w:rPr>
            </w:pPr>
            <w:r>
              <w:rPr>
                <w:rFonts w:hint="eastAsia" w:eastAsia="宋体" w:cs="Times New Roman"/>
                <w:b w:val="0"/>
                <w:bCs w:val="0"/>
                <w:color w:val="auto"/>
                <w:sz w:val="21"/>
                <w:szCs w:val="21"/>
                <w:highlight w:val="none"/>
                <w:lang w:val="en-US" w:eastAsia="zh-CN"/>
              </w:rPr>
              <w:t>（3）生产风险分析</w:t>
            </w:r>
          </w:p>
          <w:p>
            <w:pPr>
              <w:pStyle w:val="11"/>
              <w:spacing w:line="360" w:lineRule="auto"/>
              <w:ind w:left="0" w:leftChars="0" w:right="0" w:rightChars="0" w:firstLine="482"/>
              <w:rPr>
                <w:rFonts w:hint="eastAsia" w:eastAsia="宋体" w:cs="Times New Roman"/>
                <w:b w:val="0"/>
                <w:bCs w:val="0"/>
                <w:color w:val="auto"/>
                <w:sz w:val="21"/>
                <w:szCs w:val="21"/>
                <w:highlight w:val="none"/>
                <w:lang w:val="en-US" w:eastAsia="zh-CN"/>
              </w:rPr>
            </w:pPr>
            <w:r>
              <w:rPr>
                <w:rFonts w:hint="eastAsia" w:eastAsia="宋体" w:cs="Times New Roman"/>
                <w:b w:val="0"/>
                <w:bCs w:val="0"/>
                <w:color w:val="auto"/>
                <w:sz w:val="21"/>
                <w:szCs w:val="21"/>
                <w:highlight w:val="none"/>
                <w:lang w:val="en-US" w:eastAsia="zh-CN"/>
              </w:rPr>
              <w:t>本项目可发性聚苯乙烯颗粒为无色、透明状小颗粒，由92%~95%的聚苯乙烯和5%~8%的发泡剂（环戊烷）组成，本项目发泡剂含量按照8%计，无色无味。生产过程中的挥发会有突发性事故产生，根据本报告表中大气部分分析，该项目生产车间中环戊烷最大滞留量为（车间一班换气2次）:80kg/a÷300d÷4次=0.07kg，远小于《危险化学品重大危险源辨识》（GB18218-2018）中规定的环戊烷为1000t的临界值。</w:t>
            </w:r>
          </w:p>
          <w:p>
            <w:pPr>
              <w:pStyle w:val="11"/>
              <w:spacing w:line="360" w:lineRule="auto"/>
              <w:ind w:left="0" w:leftChars="0" w:right="0" w:rightChars="0" w:firstLine="482"/>
              <w:rPr>
                <w:rFonts w:hint="eastAsia" w:eastAsia="宋体" w:cs="Times New Roman"/>
                <w:b w:val="0"/>
                <w:bCs w:val="0"/>
                <w:color w:val="auto"/>
                <w:sz w:val="21"/>
                <w:szCs w:val="21"/>
                <w:highlight w:val="none"/>
                <w:lang w:val="en-US" w:eastAsia="zh-CN"/>
              </w:rPr>
            </w:pPr>
            <w:r>
              <w:rPr>
                <w:rFonts w:hint="eastAsia" w:eastAsia="宋体" w:cs="Times New Roman"/>
                <w:b w:val="0"/>
                <w:bCs w:val="0"/>
                <w:color w:val="auto"/>
                <w:sz w:val="21"/>
                <w:szCs w:val="21"/>
                <w:highlight w:val="none"/>
                <w:lang w:val="en-US" w:eastAsia="zh-CN"/>
              </w:rPr>
              <w:t>另根据环戊烷MSDS报告可知，环戊烷的爆炸极限为1.4%~-8.0%，当环戊烷与空气比例（体积比）达到1.4%下限，一遇火点（热源），就会爆炸着火；因其密度大于空气（环戊烷相对密度为2.42，空气密度为1），所以在室内地面附近很容易滞留环戊烷和空气混合气体。本项目生产挤出车间体积为300m，以排风扇加强通风为主，评价以生产车间一班换气2次计算，且假设环戊烷全部滞留在地上1m范围，则车间空气中环戊烷的含量（体积比）为0.07/(2.42×300)=0.0096%，远小于其爆炸下限1.4%，因此评价认为生产车间内环戊烷发生爆炸的可能性较小，但评价要求生产车间加强通风换气，并设置落地排风扇，以最大限度的减少事故发生。</w:t>
            </w:r>
          </w:p>
          <w:p>
            <w:pPr>
              <w:pStyle w:val="11"/>
              <w:spacing w:line="360" w:lineRule="auto"/>
              <w:ind w:left="0" w:leftChars="0" w:right="0" w:rightChars="0" w:firstLine="482"/>
              <w:rPr>
                <w:rFonts w:hint="default" w:ascii="Times New Roman" w:hAnsi="Times New Roman" w:eastAsia="宋体" w:cs="Times New Roman"/>
                <w:b/>
                <w:bCs/>
                <w:color w:val="auto"/>
                <w:sz w:val="21"/>
                <w:szCs w:val="21"/>
              </w:rPr>
            </w:pPr>
            <w:r>
              <w:rPr>
                <w:rFonts w:hint="eastAsia" w:eastAsia="宋体" w:cs="Times New Roman"/>
                <w:b/>
                <w:bCs/>
                <w:color w:val="auto"/>
                <w:sz w:val="21"/>
                <w:szCs w:val="21"/>
                <w:lang w:val="en-US" w:eastAsia="zh-CN"/>
              </w:rPr>
              <w:t>3、</w:t>
            </w:r>
            <w:r>
              <w:rPr>
                <w:rFonts w:hint="default" w:ascii="Times New Roman" w:hAnsi="Times New Roman" w:eastAsia="宋体" w:cs="Times New Roman"/>
                <w:b/>
                <w:bCs/>
                <w:color w:val="auto"/>
                <w:sz w:val="21"/>
                <w:szCs w:val="21"/>
              </w:rPr>
              <w:t>环境风险防范措施及应急要求</w:t>
            </w:r>
          </w:p>
          <w:p>
            <w:pPr>
              <w:pStyle w:val="2"/>
              <w:keepNext w:val="0"/>
              <w:keepLines w:val="0"/>
              <w:pageBreakBefore w:val="0"/>
              <w:widowControl/>
              <w:kinsoku/>
              <w:wordWrap/>
              <w:overflowPunct/>
              <w:topLinePunct w:val="0"/>
              <w:autoSpaceDE/>
              <w:autoSpaceDN/>
              <w:bidi w:val="0"/>
              <w:adjustRightInd w:val="0"/>
              <w:snapToGrid w:val="0"/>
              <w:spacing w:line="360" w:lineRule="auto"/>
              <w:ind w:firstLine="422" w:firstLineChars="20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b/>
                <w:bCs/>
                <w:color w:val="auto"/>
                <w:sz w:val="21"/>
                <w:szCs w:val="21"/>
                <w:lang w:eastAsia="zh-CN"/>
              </w:rPr>
              <w:t>（</w:t>
            </w:r>
            <w:r>
              <w:rPr>
                <w:rFonts w:hint="eastAsia" w:ascii="Times New Roman" w:hAnsi="Times New Roman" w:eastAsia="宋体" w:cs="Times New Roman"/>
                <w:b/>
                <w:bCs/>
                <w:color w:val="auto"/>
                <w:sz w:val="21"/>
                <w:szCs w:val="21"/>
                <w:lang w:val="en-US" w:eastAsia="zh-CN"/>
              </w:rPr>
              <w:t>1</w:t>
            </w:r>
            <w:r>
              <w:rPr>
                <w:rFonts w:hint="eastAsia"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环境风险防范措施</w:t>
            </w:r>
          </w:p>
          <w:p>
            <w:pPr>
              <w:keepNext w:val="0"/>
              <w:keepLines w:val="0"/>
              <w:pageBreakBefore w:val="0"/>
              <w:widowControl/>
              <w:kinsoku/>
              <w:wordWrap/>
              <w:overflowPunct/>
              <w:topLinePunct w:val="0"/>
              <w:autoSpaceDE/>
              <w:autoSpaceDN/>
              <w:bidi w:val="0"/>
              <w:adjustRightInd w:val="0"/>
              <w:snapToGrid w:val="0"/>
              <w:spacing w:line="360" w:lineRule="auto"/>
              <w:ind w:firstLine="422" w:firstLineChars="200"/>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fldChar w:fldCharType="begin"/>
            </w:r>
            <w:r>
              <w:rPr>
                <w:rFonts w:hint="default" w:ascii="Times New Roman" w:hAnsi="Times New Roman" w:eastAsia="宋体" w:cs="Times New Roman"/>
                <w:b/>
                <w:bCs/>
                <w:color w:val="auto"/>
                <w:sz w:val="21"/>
                <w:szCs w:val="21"/>
                <w:highlight w:val="none"/>
              </w:rPr>
              <w:instrText xml:space="preserve"> = 1 \* GB3 \* MERGEFORMAT </w:instrText>
            </w:r>
            <w:r>
              <w:rPr>
                <w:rFonts w:hint="default" w:ascii="Times New Roman" w:hAnsi="Times New Roman" w:eastAsia="宋体" w:cs="Times New Roman"/>
                <w:b/>
                <w:bCs/>
                <w:color w:val="auto"/>
                <w:sz w:val="21"/>
                <w:szCs w:val="21"/>
                <w:highlight w:val="none"/>
              </w:rPr>
              <w:fldChar w:fldCharType="separate"/>
            </w:r>
            <w:r>
              <w:rPr>
                <w:b/>
                <w:bCs/>
                <w:color w:val="auto"/>
              </w:rPr>
              <w:t>①</w:t>
            </w:r>
            <w:r>
              <w:rPr>
                <w:rFonts w:hint="default" w:ascii="Times New Roman" w:hAnsi="Times New Roman" w:eastAsia="宋体" w:cs="Times New Roman"/>
                <w:b/>
                <w:bCs/>
                <w:color w:val="auto"/>
                <w:sz w:val="21"/>
                <w:szCs w:val="21"/>
                <w:highlight w:val="none"/>
              </w:rPr>
              <w:fldChar w:fldCharType="end"/>
            </w:r>
            <w:r>
              <w:rPr>
                <w:rFonts w:hint="default" w:ascii="Times New Roman" w:hAnsi="Times New Roman" w:eastAsia="宋体" w:cs="Times New Roman"/>
                <w:b/>
                <w:bCs/>
                <w:color w:val="auto"/>
                <w:sz w:val="21"/>
                <w:szCs w:val="21"/>
                <w:highlight w:val="none"/>
              </w:rPr>
              <w:t>火灾爆炸事故风险防范措施</w:t>
            </w:r>
          </w:p>
          <w:p>
            <w:pPr>
              <w:pStyle w:val="2"/>
              <w:keepNext w:val="0"/>
              <w:keepLines w:val="0"/>
              <w:pageBreakBefore w:val="0"/>
              <w:widowControl w:val="0"/>
              <w:numPr>
                <w:ilvl w:val="0"/>
                <w:numId w:val="10"/>
              </w:numPr>
              <w:kinsoku/>
              <w:wordWrap/>
              <w:overflowPunct/>
              <w:topLinePunct w:val="0"/>
              <w:autoSpaceDE/>
              <w:autoSpaceDN/>
              <w:bidi w:val="0"/>
              <w:adjustRightInd w:val="0"/>
              <w:snapToGrid w:val="0"/>
              <w:spacing w:after="0"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为防止发生火灾，必须改善生产车间的通气状态，加强车间通风。</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B、为防止发泡剂</w:t>
            </w:r>
            <w:r>
              <w:rPr>
                <w:rFonts w:hint="eastAsia" w:ascii="Times New Roman" w:hAnsi="Times New Roman" w:eastAsia="宋体" w:cs="Times New Roman"/>
                <w:color w:val="auto"/>
                <w:sz w:val="21"/>
                <w:szCs w:val="21"/>
                <w:highlight w:val="none"/>
                <w:lang w:eastAsia="zh-CN"/>
              </w:rPr>
              <w:t>（</w:t>
            </w:r>
            <w:r>
              <w:rPr>
                <w:rFonts w:hint="eastAsia" w:ascii="Times New Roman" w:hAnsi="Times New Roman" w:eastAsia="宋体" w:cs="Times New Roman"/>
                <w:color w:val="auto"/>
                <w:sz w:val="21"/>
                <w:szCs w:val="21"/>
                <w:highlight w:val="none"/>
                <w:lang w:val="en-US" w:eastAsia="zh-CN"/>
              </w:rPr>
              <w:t>环</w:t>
            </w:r>
            <w:r>
              <w:rPr>
                <w:rFonts w:hint="default" w:ascii="Times New Roman" w:hAnsi="Times New Roman" w:eastAsia="宋体" w:cs="Times New Roman"/>
                <w:color w:val="auto"/>
                <w:sz w:val="21"/>
                <w:szCs w:val="21"/>
                <w:highlight w:val="none"/>
              </w:rPr>
              <w:t>戊烷</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逸散</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储存室温以25C以下为佳并时常保持通风。</w:t>
            </w:r>
          </w:p>
          <w:p>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C、原料尽量随用随进、保持新鲜，以获得稳定的操作条件和良好的产品</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如有储存，原料</w:t>
            </w:r>
            <w:r>
              <w:rPr>
                <w:rFonts w:hint="eastAsia" w:ascii="Times New Roman" w:hAnsi="Times New Roman" w:eastAsia="宋体" w:cs="Times New Roman"/>
                <w:color w:val="auto"/>
                <w:sz w:val="21"/>
                <w:szCs w:val="21"/>
                <w:highlight w:val="none"/>
                <w:lang w:val="en-US" w:eastAsia="zh-CN"/>
              </w:rPr>
              <w:t>区</w:t>
            </w:r>
            <w:r>
              <w:rPr>
                <w:rFonts w:hint="default" w:ascii="Times New Roman" w:hAnsi="Times New Roman" w:eastAsia="宋体" w:cs="Times New Roman"/>
                <w:color w:val="auto"/>
                <w:sz w:val="21"/>
                <w:szCs w:val="21"/>
                <w:highlight w:val="none"/>
              </w:rPr>
              <w:t>应通风、防止阳光直射，储存不宜过多。</w:t>
            </w:r>
          </w:p>
          <w:p>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D、维持设备处于良好的工作状态，以避免产生电气、摩擦或静电火花，因火花可能形成火源，故原料堆放场所严禁烟火、静电或闪光发生，以免</w:t>
            </w:r>
            <w:r>
              <w:rPr>
                <w:rFonts w:hint="eastAsia" w:ascii="Times New Roman" w:hAnsi="Times New Roman" w:eastAsia="宋体" w:cs="Times New Roman"/>
                <w:color w:val="auto"/>
                <w:sz w:val="21"/>
                <w:szCs w:val="21"/>
                <w:highlight w:val="none"/>
                <w:lang w:val="en-US" w:eastAsia="zh-CN"/>
              </w:rPr>
              <w:t>危险。</w:t>
            </w:r>
            <w:r>
              <w:rPr>
                <w:rFonts w:hint="default" w:ascii="Times New Roman" w:hAnsi="Times New Roman" w:eastAsia="宋体" w:cs="Times New Roman"/>
                <w:color w:val="auto"/>
                <w:sz w:val="21"/>
                <w:szCs w:val="21"/>
                <w:highlight w:val="none"/>
              </w:rPr>
              <w:t>机动车在厂内行驶，须安装阻火器，必要设备安装防火、防爆装置</w:t>
            </w:r>
            <w:r>
              <w:rPr>
                <w:rFonts w:hint="eastAsia" w:ascii="Times New Roman" w:hAnsi="Times New Roman" w:eastAsia="宋体" w:cs="Times New Roman"/>
                <w:color w:val="auto"/>
                <w:sz w:val="21"/>
                <w:szCs w:val="21"/>
                <w:highlight w:val="none"/>
                <w:lang w:eastAsia="zh-CN"/>
              </w:rPr>
              <w:t>。</w:t>
            </w:r>
          </w:p>
          <w:p>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E、</w:t>
            </w:r>
            <w:r>
              <w:rPr>
                <w:rFonts w:hint="default" w:ascii="Times New Roman" w:hAnsi="Times New Roman" w:eastAsia="宋体" w:cs="Times New Roman"/>
                <w:color w:val="auto"/>
                <w:sz w:val="21"/>
                <w:szCs w:val="21"/>
                <w:highlight w:val="none"/>
              </w:rPr>
              <w:t>定期对设备进行安全检测，检测内容、时间、人员应有记录保存。安全检测应根据设备的安全性、危险性设定检测频次。</w:t>
            </w:r>
          </w:p>
          <w:p>
            <w:pPr>
              <w:pStyle w:val="2"/>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highlight w:val="none"/>
              </w:rPr>
              <w:fldChar w:fldCharType="begin"/>
            </w:r>
            <w:r>
              <w:rPr>
                <w:rFonts w:hint="default" w:ascii="Times New Roman" w:hAnsi="Times New Roman" w:eastAsia="宋体" w:cs="Times New Roman"/>
                <w:b/>
                <w:bCs/>
                <w:color w:val="auto"/>
                <w:sz w:val="21"/>
                <w:szCs w:val="21"/>
                <w:highlight w:val="none"/>
              </w:rPr>
              <w:instrText xml:space="preserve"> = 2 \* GB3 \* MERGEFORMAT </w:instrText>
            </w:r>
            <w:r>
              <w:rPr>
                <w:rFonts w:hint="default" w:ascii="Times New Roman" w:hAnsi="Times New Roman" w:eastAsia="宋体" w:cs="Times New Roman"/>
                <w:b/>
                <w:bCs/>
                <w:color w:val="auto"/>
                <w:sz w:val="21"/>
                <w:szCs w:val="21"/>
                <w:highlight w:val="none"/>
              </w:rPr>
              <w:fldChar w:fldCharType="separate"/>
            </w:r>
            <w:r>
              <w:rPr>
                <w:rFonts w:hint="default" w:ascii="Times New Roman" w:hAnsi="Times New Roman" w:eastAsia="宋体" w:cs="Times New Roman"/>
                <w:b/>
                <w:bCs/>
                <w:color w:val="auto"/>
              </w:rPr>
              <w:t>②</w:t>
            </w:r>
            <w:r>
              <w:rPr>
                <w:rFonts w:hint="default" w:ascii="Times New Roman" w:hAnsi="Times New Roman" w:eastAsia="宋体" w:cs="Times New Roman"/>
                <w:b/>
                <w:bCs/>
                <w:color w:val="auto"/>
                <w:sz w:val="21"/>
                <w:szCs w:val="21"/>
                <w:highlight w:val="none"/>
              </w:rPr>
              <w:fldChar w:fldCharType="end"/>
            </w:r>
            <w:r>
              <w:rPr>
                <w:rFonts w:hint="default" w:ascii="Times New Roman" w:hAnsi="Times New Roman" w:eastAsia="宋体" w:cs="Times New Roman"/>
                <w:b/>
                <w:bCs/>
                <w:color w:val="auto"/>
                <w:kern w:val="2"/>
                <w:sz w:val="21"/>
                <w:szCs w:val="21"/>
                <w:highlight w:val="none"/>
                <w:lang w:val="en-US" w:eastAsia="zh-CN" w:bidi="ar-SA"/>
              </w:rPr>
              <w:t>危废仓库风险防范措施</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危废暂存场地必须按《</w:t>
            </w:r>
            <w:r>
              <w:rPr>
                <w:rFonts w:hint="default" w:ascii="Times New Roman" w:hAnsi="Times New Roman" w:eastAsia="宋体" w:cs="Times New Roman"/>
                <w:color w:val="auto"/>
                <w:sz w:val="21"/>
                <w:szCs w:val="21"/>
                <w:highlight w:val="none"/>
                <w:lang w:val="en-US" w:eastAsia="zh-CN"/>
              </w:rPr>
              <w:t>危险废物贮存污染控制标准</w:t>
            </w:r>
            <w:r>
              <w:rPr>
                <w:rFonts w:hint="default" w:ascii="Times New Roman" w:hAnsi="Times New Roman" w:eastAsia="宋体" w:cs="Times New Roman"/>
                <w:color w:val="auto"/>
                <w:sz w:val="21"/>
                <w:szCs w:val="21"/>
                <w:highlight w:val="none"/>
              </w:rPr>
              <w:t>》（GB18597-20</w:t>
            </w:r>
            <w:r>
              <w:rPr>
                <w:rFonts w:hint="default" w:ascii="Times New Roman" w:hAnsi="Times New Roman" w:eastAsia="宋体" w:cs="Times New Roman"/>
                <w:color w:val="auto"/>
                <w:sz w:val="21"/>
                <w:szCs w:val="21"/>
                <w:highlight w:val="none"/>
                <w:lang w:val="en-US" w:eastAsia="zh-CN"/>
              </w:rPr>
              <w:t>23</w:t>
            </w:r>
            <w:r>
              <w:rPr>
                <w:rFonts w:hint="default" w:ascii="Times New Roman" w:hAnsi="Times New Roman" w:eastAsia="宋体" w:cs="Times New Roman"/>
                <w:color w:val="auto"/>
                <w:sz w:val="21"/>
                <w:szCs w:val="21"/>
                <w:highlight w:val="none"/>
              </w:rPr>
              <w:t>）和《省生态环境厅关于进一步加强危险废物污染防治工作的实施意见苏环办（〔2019〕327号）》的要求进行设置</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kern w:val="2"/>
                <w:sz w:val="21"/>
                <w:szCs w:val="21"/>
                <w:highlight w:val="none"/>
                <w:lang w:val="en-US" w:eastAsia="zh-CN" w:bidi="ar-SA"/>
              </w:rPr>
              <w:t>危险废物分类存放到危废仓库，做好进出库管理，及时登记，账物相符，并做好贮存场所和危废包装的标识工作。危废堆场要做到“四防”，即：防风、防雨、防晒、防渗漏；地面与裙脚要用坚固、防渗的材料建造，建筑材料必须与危险废物相容。通道、出入口和通向消防设施的道路保持畅通，同时配置合格的消防器材，并确保其处于完好状态。</w:t>
            </w:r>
          </w:p>
          <w:p>
            <w:pPr>
              <w:adjustRightInd w:val="0"/>
              <w:snapToGrid w:val="0"/>
              <w:spacing w:line="360" w:lineRule="auto"/>
              <w:ind w:firstLine="422"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b/>
                <w:bCs/>
                <w:color w:val="auto"/>
                <w:sz w:val="21"/>
                <w:szCs w:val="21"/>
                <w:highlight w:val="none"/>
              </w:rPr>
              <w:fldChar w:fldCharType="begin"/>
            </w:r>
            <w:r>
              <w:rPr>
                <w:rFonts w:hint="default" w:ascii="Times New Roman" w:hAnsi="Times New Roman" w:eastAsia="宋体" w:cs="Times New Roman"/>
                <w:b/>
                <w:bCs/>
                <w:color w:val="auto"/>
                <w:sz w:val="21"/>
                <w:szCs w:val="21"/>
                <w:highlight w:val="none"/>
              </w:rPr>
              <w:instrText xml:space="preserve"> = 3 \* GB3 \* MERGEFORMAT </w:instrText>
            </w:r>
            <w:r>
              <w:rPr>
                <w:rFonts w:hint="default" w:ascii="Times New Roman" w:hAnsi="Times New Roman" w:eastAsia="宋体" w:cs="Times New Roman"/>
                <w:b/>
                <w:bCs/>
                <w:color w:val="auto"/>
                <w:sz w:val="21"/>
                <w:szCs w:val="21"/>
                <w:highlight w:val="none"/>
              </w:rPr>
              <w:fldChar w:fldCharType="separate"/>
            </w:r>
            <w:r>
              <w:rPr>
                <w:rFonts w:hint="default" w:ascii="Times New Roman" w:hAnsi="Times New Roman" w:eastAsia="宋体" w:cs="Times New Roman"/>
                <w:b/>
                <w:bCs/>
                <w:color w:val="auto"/>
                <w:sz w:val="21"/>
                <w:szCs w:val="21"/>
              </w:rPr>
              <w:t>③</w:t>
            </w:r>
            <w:r>
              <w:rPr>
                <w:rFonts w:hint="default" w:ascii="Times New Roman" w:hAnsi="Times New Roman" w:eastAsia="宋体" w:cs="Times New Roman"/>
                <w:b/>
                <w:bCs/>
                <w:color w:val="auto"/>
                <w:sz w:val="21"/>
                <w:szCs w:val="21"/>
                <w:highlight w:val="none"/>
              </w:rPr>
              <w:fldChar w:fldCharType="end"/>
            </w:r>
            <w:r>
              <w:rPr>
                <w:rFonts w:ascii="Times New Roman" w:hAnsi="Times New Roman" w:eastAsia="宋体"/>
                <w:b/>
                <w:bCs/>
                <w:color w:val="auto"/>
                <w:sz w:val="21"/>
                <w:szCs w:val="21"/>
                <w:highlight w:val="none"/>
              </w:rPr>
              <w:t>废气处理装置设备事故风险防范措施</w:t>
            </w:r>
          </w:p>
          <w:p>
            <w:pPr>
              <w:pStyle w:val="6"/>
              <w:adjustRightInd w:val="0"/>
              <w:snapToGrid w:val="0"/>
              <w:spacing w:line="360" w:lineRule="auto"/>
              <w:ind w:firstLine="480"/>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为减少事故的发生和影响建设单位应采取以下措施。</w:t>
            </w:r>
          </w:p>
          <w:p>
            <w:pPr>
              <w:pStyle w:val="6"/>
              <w:adjustRightInd w:val="0"/>
              <w:snapToGrid w:val="0"/>
              <w:spacing w:line="360" w:lineRule="auto"/>
              <w:ind w:firstLine="480"/>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A、</w:t>
            </w:r>
            <w:r>
              <w:rPr>
                <w:rFonts w:hint="default" w:ascii="Times New Roman" w:hAnsi="Times New Roman" w:eastAsia="宋体" w:cs="Times New Roman"/>
                <w:bCs/>
                <w:color w:val="auto"/>
                <w:sz w:val="21"/>
                <w:szCs w:val="21"/>
              </w:rPr>
              <w:t>建立严格的操作规程，实行目标责任制，保证环境保护设施的正常运行。</w:t>
            </w:r>
          </w:p>
          <w:p>
            <w:pPr>
              <w:pStyle w:val="6"/>
              <w:adjustRightInd w:val="0"/>
              <w:snapToGrid w:val="0"/>
              <w:spacing w:line="360" w:lineRule="auto"/>
              <w:ind w:firstLine="480"/>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B、</w:t>
            </w:r>
            <w:r>
              <w:rPr>
                <w:rFonts w:hint="default" w:ascii="Times New Roman" w:hAnsi="Times New Roman" w:eastAsia="宋体" w:cs="Times New Roman"/>
                <w:bCs/>
                <w:color w:val="auto"/>
                <w:sz w:val="21"/>
                <w:szCs w:val="21"/>
              </w:rPr>
              <w:t>对废气处理系统进行定期的监测和检修，如发生腐蚀、设备运行不稳定的情况，需对设备进行更换和修理，确保废气处理装置的正常运行。</w:t>
            </w:r>
          </w:p>
          <w:p>
            <w:pPr>
              <w:pStyle w:val="6"/>
              <w:adjustRightInd w:val="0"/>
              <w:snapToGrid w:val="0"/>
              <w:spacing w:line="360" w:lineRule="auto"/>
              <w:ind w:firstLine="480"/>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C、</w:t>
            </w:r>
            <w:r>
              <w:rPr>
                <w:rFonts w:hint="default" w:ascii="Times New Roman" w:hAnsi="Times New Roman" w:eastAsia="宋体" w:cs="Times New Roman"/>
                <w:bCs/>
                <w:color w:val="auto"/>
                <w:sz w:val="21"/>
                <w:szCs w:val="21"/>
              </w:rPr>
              <w:t>二级活性炭吸附装置</w:t>
            </w:r>
            <w:r>
              <w:rPr>
                <w:rFonts w:hint="eastAsia" w:ascii="Times New Roman" w:hAnsi="Times New Roman" w:eastAsia="宋体" w:cs="Times New Roman"/>
                <w:bCs/>
                <w:color w:val="auto"/>
                <w:sz w:val="21"/>
                <w:szCs w:val="21"/>
                <w:lang w:val="en-US" w:eastAsia="zh-CN"/>
              </w:rPr>
              <w:t>和布袋除尘器</w:t>
            </w:r>
            <w:r>
              <w:rPr>
                <w:rFonts w:hint="default" w:ascii="Times New Roman" w:hAnsi="Times New Roman" w:eastAsia="宋体" w:cs="Times New Roman"/>
                <w:bCs/>
                <w:color w:val="auto"/>
                <w:sz w:val="21"/>
                <w:szCs w:val="21"/>
              </w:rPr>
              <w:t>对废气进行处理后，应定期对二级活性炭进行更换，</w:t>
            </w:r>
            <w:r>
              <w:rPr>
                <w:rFonts w:hint="eastAsia" w:ascii="Times New Roman" w:hAnsi="Times New Roman" w:eastAsia="宋体" w:cs="Times New Roman"/>
                <w:bCs/>
                <w:color w:val="auto"/>
                <w:sz w:val="21"/>
                <w:szCs w:val="21"/>
                <w:lang w:val="en-US" w:eastAsia="zh-CN"/>
              </w:rPr>
              <w:t>对布袋进行清灰，</w:t>
            </w:r>
            <w:r>
              <w:rPr>
                <w:rFonts w:hint="default" w:ascii="Times New Roman" w:hAnsi="Times New Roman" w:eastAsia="宋体" w:cs="Times New Roman"/>
                <w:bCs/>
                <w:color w:val="auto"/>
                <w:sz w:val="21"/>
                <w:szCs w:val="21"/>
              </w:rPr>
              <w:t>以便于废气的有效处理。</w:t>
            </w:r>
          </w:p>
          <w:p>
            <w:pPr>
              <w:pStyle w:val="6"/>
              <w:adjustRightInd w:val="0"/>
              <w:snapToGrid w:val="0"/>
              <w:spacing w:line="360" w:lineRule="auto"/>
              <w:ind w:firstLine="480"/>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D、</w:t>
            </w:r>
            <w:r>
              <w:rPr>
                <w:rFonts w:hint="default" w:ascii="Times New Roman" w:hAnsi="Times New Roman" w:eastAsia="宋体" w:cs="Times New Roman"/>
                <w:bCs/>
                <w:color w:val="auto"/>
                <w:sz w:val="21"/>
                <w:szCs w:val="21"/>
              </w:rPr>
              <w:t>废气处理装置一旦出现故障，应立即关闭生产设备，避免废气未经处理进入大气环境。</w:t>
            </w:r>
          </w:p>
          <w:p>
            <w:pPr>
              <w:pStyle w:val="6"/>
              <w:adjustRightInd w:val="0"/>
              <w:snapToGrid w:val="0"/>
              <w:spacing w:line="360" w:lineRule="auto"/>
              <w:ind w:firstLine="480"/>
              <w:rPr>
                <w:rFonts w:hint="default" w:ascii="Times New Roman" w:hAnsi="Times New Roman" w:eastAsia="宋体" w:cs="Times New Roman"/>
                <w:bCs/>
                <w:color w:val="auto"/>
                <w:sz w:val="21"/>
                <w:szCs w:val="21"/>
              </w:rPr>
            </w:pPr>
            <w:r>
              <w:rPr>
                <w:rFonts w:hint="eastAsia" w:ascii="Times New Roman" w:hAnsi="Times New Roman" w:eastAsia="宋体" w:cs="Times New Roman"/>
                <w:bCs/>
                <w:color w:val="auto"/>
                <w:sz w:val="21"/>
                <w:szCs w:val="21"/>
                <w:lang w:val="en-US" w:eastAsia="zh-CN"/>
              </w:rPr>
              <w:t>E、</w:t>
            </w:r>
            <w:r>
              <w:rPr>
                <w:rFonts w:hint="default" w:ascii="Times New Roman" w:hAnsi="Times New Roman" w:eastAsia="宋体" w:cs="Times New Roman"/>
                <w:bCs/>
                <w:color w:val="auto"/>
                <w:sz w:val="21"/>
                <w:szCs w:val="21"/>
              </w:rPr>
              <w:t>二级活性炭吸附装置产生的废活性炭应妥善保存，避免过滤介质、二级活性炭接触明火和高温设备而引发的火灾及其次伴生环境风险事故。</w:t>
            </w:r>
          </w:p>
          <w:p>
            <w:pPr>
              <w:snapToGrid w:val="0"/>
              <w:spacing w:line="360" w:lineRule="auto"/>
              <w:ind w:firstLine="420" w:firstLineChars="200"/>
              <w:rPr>
                <w:rFonts w:hint="default" w:ascii="Times New Roman" w:hAnsi="Times New Roman" w:eastAsia="宋体" w:cs="Times New Roman"/>
                <w:bCs/>
                <w:color w:val="auto"/>
                <w:sz w:val="21"/>
                <w:szCs w:val="21"/>
              </w:rPr>
            </w:pPr>
            <w:r>
              <w:rPr>
                <w:rFonts w:hint="eastAsia" w:ascii="Times New Roman" w:hAnsi="Times New Roman" w:eastAsia="宋体" w:cs="Times New Roman"/>
                <w:color w:val="auto"/>
                <w:sz w:val="21"/>
                <w:szCs w:val="21"/>
                <w:lang w:val="en-US" w:eastAsia="zh-CN"/>
              </w:rPr>
              <w:t>F、</w:t>
            </w:r>
            <w:r>
              <w:rPr>
                <w:rFonts w:hint="default" w:ascii="Times New Roman" w:hAnsi="Times New Roman" w:eastAsia="宋体" w:cs="Times New Roman"/>
                <w:bCs/>
                <w:color w:val="auto"/>
                <w:sz w:val="21"/>
                <w:szCs w:val="21"/>
              </w:rPr>
              <w:t>每年定期组织一次污染治理设施意外事故的应急措施落实情况和应急设备（备用设备）完好情况的检查。</w:t>
            </w:r>
          </w:p>
          <w:p>
            <w:pPr>
              <w:pStyle w:val="2"/>
              <w:widowControl/>
              <w:adjustRightInd w:val="0"/>
              <w:snapToGrid w:val="0"/>
              <w:spacing w:line="360" w:lineRule="auto"/>
              <w:ind w:firstLine="422" w:firstLineChars="200"/>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（2）环境风险应急措施</w:t>
            </w:r>
          </w:p>
          <w:p>
            <w:pPr>
              <w:pStyle w:val="2"/>
              <w:widowControl/>
              <w:adjustRightInd w:val="0"/>
              <w:snapToGrid w:val="0"/>
              <w:spacing w:line="360" w:lineRule="auto"/>
              <w:ind w:firstLine="422" w:firstLineChars="200"/>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①火灾和爆炸事故应急措施</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生产过程潜在的事故主要是</w:t>
            </w:r>
            <w:r>
              <w:rPr>
                <w:rFonts w:hint="eastAsia" w:ascii="Times New Roman" w:hAnsi="Times New Roman" w:eastAsia="宋体" w:cs="Times New Roman"/>
                <w:color w:val="auto"/>
                <w:sz w:val="21"/>
                <w:szCs w:val="21"/>
                <w:highlight w:val="none"/>
                <w:lang w:val="en-US" w:eastAsia="zh-CN"/>
              </w:rPr>
              <w:t>环戊烷逸散遇到明火（高热）引发</w:t>
            </w:r>
            <w:r>
              <w:rPr>
                <w:rFonts w:hint="default" w:ascii="Times New Roman" w:hAnsi="Times New Roman" w:eastAsia="宋体" w:cs="Times New Roman"/>
                <w:color w:val="auto"/>
                <w:sz w:val="21"/>
                <w:szCs w:val="21"/>
                <w:highlight w:val="none"/>
              </w:rPr>
              <w:t>火灾</w:t>
            </w:r>
            <w:r>
              <w:rPr>
                <w:rFonts w:hint="eastAsia" w:ascii="Times New Roman" w:hAnsi="Times New Roman" w:eastAsia="宋体" w:cs="Times New Roman"/>
                <w:color w:val="auto"/>
                <w:sz w:val="21"/>
                <w:szCs w:val="21"/>
                <w:highlight w:val="none"/>
                <w:lang w:val="en-US" w:eastAsia="zh-CN"/>
              </w:rPr>
              <w:t>爆炸事故</w:t>
            </w:r>
            <w:r>
              <w:rPr>
                <w:rFonts w:hint="default" w:ascii="Times New Roman" w:hAnsi="Times New Roman" w:eastAsia="宋体" w:cs="Times New Roman"/>
                <w:color w:val="auto"/>
                <w:sz w:val="21"/>
                <w:szCs w:val="21"/>
                <w:highlight w:val="none"/>
              </w:rPr>
              <w:t>，现制定事故应急预案主要如下</w:t>
            </w:r>
            <w:r>
              <w:rPr>
                <w:rFonts w:hint="eastAsia" w:ascii="Times New Roman" w:hAnsi="Times New Roman" w:eastAsia="宋体" w:cs="Times New Roman"/>
                <w:color w:val="auto"/>
                <w:sz w:val="21"/>
                <w:szCs w:val="21"/>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A、个人防护用品</w:t>
            </w:r>
            <w:r>
              <w:rPr>
                <w:rFonts w:hint="eastAsia" w:ascii="Times New Roman" w:hAnsi="Times New Roman" w:eastAsia="宋体" w:cs="Times New Roman"/>
                <w:color w:val="auto"/>
                <w:sz w:val="21"/>
                <w:szCs w:val="21"/>
                <w:highlight w:val="none"/>
                <w:lang w:eastAsia="zh-CN"/>
              </w:rPr>
              <w:t>（</w:t>
            </w:r>
            <w:r>
              <w:rPr>
                <w:rFonts w:hint="eastAsia" w:ascii="Times New Roman" w:hAnsi="Times New Roman" w:eastAsia="宋体" w:cs="Times New Roman"/>
                <w:color w:val="auto"/>
                <w:sz w:val="21"/>
                <w:szCs w:val="21"/>
                <w:highlight w:val="none"/>
                <w:lang w:val="en-US" w:eastAsia="zh-CN"/>
              </w:rPr>
              <w:t>防护</w:t>
            </w:r>
            <w:r>
              <w:rPr>
                <w:rFonts w:hint="default" w:ascii="Times New Roman" w:hAnsi="Times New Roman" w:eastAsia="宋体" w:cs="Times New Roman"/>
                <w:color w:val="auto"/>
                <w:sz w:val="21"/>
                <w:szCs w:val="21"/>
                <w:highlight w:val="none"/>
              </w:rPr>
              <w:t>服、呼吸器</w:t>
            </w:r>
            <w:r>
              <w:rPr>
                <w:rFonts w:hint="eastAsia" w:ascii="Times New Roman" w:hAnsi="Times New Roman" w:eastAsia="宋体" w:cs="Times New Roman"/>
                <w:color w:val="auto"/>
                <w:sz w:val="21"/>
                <w:szCs w:val="21"/>
                <w:highlight w:val="none"/>
                <w:lang w:val="en-US" w:eastAsia="zh-CN"/>
              </w:rPr>
              <w:t>等</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应保持良好的备用状态。</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highlight w:val="none"/>
              </w:rPr>
              <w:t>B、发生突发性火灾时，灭火剂采用泡沫、干粉、二氧化碳或沙土。</w:t>
            </w:r>
          </w:p>
          <w:p>
            <w:pPr>
              <w:pStyle w:val="2"/>
              <w:widowControl/>
              <w:adjustRightInd w:val="0"/>
              <w:snapToGrid w:val="0"/>
              <w:spacing w:line="360" w:lineRule="auto"/>
              <w:ind w:firstLine="420" w:firstLineChars="200"/>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C、现场人员一旦发现火灾爆炸事故，应立即逐级报告，汇报时应明确发生的时间、地点、简要经过、人员伤亡情况等，并运用各种应急设施和器具急救，防止事故扩大。配电室或电器设备着火，应立即切断电源，采用二氧化碳或干粉灭火器进行灭火，不得使用水灭火。如火势较大影响自身安全时，应迅速组织人员疏散，发现火情人迅速向应急救援总指挥报告，请求支援。发生粉尘爆炸时，首先组织人员撤离到安全地带，消防人员必须佩戴防毒面具、穿全身消防服，在确保消防人员安全的前提下用雾状水喷射，降低粉尘浓度。全警戒通讯组在引导人员紧急疏散时，要用湿毛巾或用其他棉织物捂住嘴、鼻逃离，要求人员低首俯身，贴近地面，以避开处于空气上方的毒烟，疏散到空旷的安全地带。</w:t>
            </w:r>
          </w:p>
          <w:p>
            <w:pPr>
              <w:pStyle w:val="2"/>
              <w:widowControl/>
              <w:adjustRightInd w:val="0"/>
              <w:snapToGrid w:val="0"/>
              <w:spacing w:line="360" w:lineRule="auto"/>
              <w:ind w:firstLine="422" w:firstLineChars="200"/>
              <w:rPr>
                <w:rFonts w:hint="eastAsia"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②废气处理装置事故应急措施</w:t>
            </w:r>
          </w:p>
          <w:p>
            <w:pPr>
              <w:pStyle w:val="2"/>
              <w:widowControl/>
              <w:adjustRightInd w:val="0"/>
              <w:snapToGrid w:val="0"/>
              <w:spacing w:line="360" w:lineRule="auto"/>
              <w:ind w:firstLine="420" w:firstLineChars="200"/>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现场操作人员发现废气处理装置发生故障后，应立即停止生产，相关人员对废气处理装置进行故障排除，待故障解决、装置运行正常后再进行生产。</w:t>
            </w:r>
          </w:p>
          <w:p>
            <w:pPr>
              <w:pStyle w:val="2"/>
              <w:widowControl/>
              <w:adjustRightInd w:val="0"/>
              <w:snapToGrid w:val="0"/>
              <w:spacing w:line="360" w:lineRule="auto"/>
              <w:ind w:firstLine="422" w:firstLineChars="200"/>
              <w:rPr>
                <w:rFonts w:hint="default" w:ascii="Times New Roman" w:hAnsi="Times New Roman" w:eastAsia="宋体" w:cs="Times New Roman"/>
                <w:b/>
                <w:bCs/>
                <w:color w:val="auto"/>
                <w:sz w:val="21"/>
                <w:szCs w:val="21"/>
              </w:rPr>
            </w:pPr>
            <w:r>
              <w:rPr>
                <w:rFonts w:hint="eastAsia" w:ascii="Times New Roman" w:hAnsi="Times New Roman" w:eastAsia="宋体" w:cs="Times New Roman"/>
                <w:b/>
                <w:color w:val="auto"/>
                <w:sz w:val="21"/>
                <w:szCs w:val="21"/>
                <w:lang w:val="en-US" w:eastAsia="zh-CN"/>
              </w:rPr>
              <w:t>4、</w:t>
            </w:r>
            <w:r>
              <w:rPr>
                <w:rFonts w:hint="default" w:ascii="Times New Roman" w:hAnsi="Times New Roman" w:eastAsia="宋体" w:cs="Times New Roman"/>
                <w:b/>
                <w:bCs/>
                <w:color w:val="auto"/>
                <w:sz w:val="21"/>
                <w:szCs w:val="21"/>
              </w:rPr>
              <w:t>突发事故对策和应急预案</w:t>
            </w:r>
          </w:p>
          <w:p>
            <w:pPr>
              <w:adjustRightInd w:val="0"/>
              <w:snapToGrid w:val="0"/>
              <w:spacing w:line="360" w:lineRule="auto"/>
              <w:ind w:firstLine="420" w:firstLineChars="200"/>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企业</w:t>
            </w:r>
            <w:r>
              <w:rPr>
                <w:rFonts w:hint="eastAsia" w:ascii="Times New Roman" w:hAnsi="Times New Roman" w:cs="Times New Roman"/>
                <w:color w:val="auto"/>
                <w:szCs w:val="21"/>
                <w:lang w:val="en-US" w:eastAsia="zh-CN"/>
              </w:rPr>
              <w:t>应</w:t>
            </w:r>
            <w:r>
              <w:rPr>
                <w:rFonts w:hint="default" w:ascii="Times New Roman" w:hAnsi="Times New Roman" w:cs="Times New Roman"/>
                <w:color w:val="auto"/>
                <w:szCs w:val="21"/>
              </w:rPr>
              <w:t>按照《企事业单位和工业园区突发环境事件应急预案编制导则》的通知（DB32/T3795-2020）要求编制突发环境事件应急预案并</w:t>
            </w:r>
            <w:r>
              <w:rPr>
                <w:rFonts w:hint="eastAsia" w:ascii="Times New Roman" w:hAnsi="Times New Roman" w:cs="Times New Roman"/>
                <w:color w:val="auto"/>
                <w:szCs w:val="21"/>
                <w:lang w:val="en-US" w:eastAsia="zh-CN"/>
              </w:rPr>
              <w:t>取得备案</w:t>
            </w:r>
            <w:r>
              <w:rPr>
                <w:rFonts w:hint="default" w:ascii="Times New Roman" w:hAnsi="Times New Roman" w:cs="Times New Roman"/>
                <w:color w:val="auto"/>
                <w:szCs w:val="21"/>
              </w:rPr>
              <w:t>。</w:t>
            </w:r>
            <w:r>
              <w:rPr>
                <w:rFonts w:hint="eastAsia" w:ascii="Times New Roman" w:hAnsi="Times New Roman" w:cs="Times New Roman"/>
                <w:color w:val="auto"/>
                <w:szCs w:val="21"/>
                <w:lang w:val="en-US" w:eastAsia="zh-CN"/>
              </w:rPr>
              <w:t>企业应按照应急预案要求</w:t>
            </w:r>
            <w:r>
              <w:rPr>
                <w:rFonts w:hint="default" w:ascii="Times New Roman" w:hAnsi="Times New Roman" w:cs="Times New Roman"/>
                <w:color w:val="auto"/>
                <w:szCs w:val="21"/>
              </w:rPr>
              <w:t>定期组织学习事故应急预案和演练，根据演习情况结合实际对预案进行适当修改；应急队伍要进行专业培训，并要有培训记录和档案；同时，加强各应急救援专业队伍的建设，配备相应器材并确保设备性能完好，保证与各级应急预案相衔接与联动有效，接受上级应急机构的指导。针对应急救援，企业应配备相应的应急救援物资。</w:t>
            </w:r>
            <w:r>
              <w:rPr>
                <w:rFonts w:hint="eastAsia" w:ascii="Times New Roman" w:hAnsi="Times New Roman" w:cs="Times New Roman"/>
                <w:color w:val="auto"/>
                <w:szCs w:val="21"/>
                <w:lang w:val="en-US" w:eastAsia="zh-CN"/>
              </w:rPr>
              <w:t>一旦出现突发事故须按应急预案方案进行紧急处理。</w:t>
            </w:r>
            <w:r>
              <w:rPr>
                <w:rFonts w:hint="default" w:ascii="Times New Roman" w:hAnsi="Times New Roman" w:eastAsia="宋体" w:cs="Times New Roman"/>
                <w:color w:val="auto"/>
                <w:kern w:val="2"/>
                <w:sz w:val="21"/>
                <w:szCs w:val="21"/>
                <w:lang w:val="en-US" w:eastAsia="zh-CN" w:bidi="ar-SA"/>
              </w:rPr>
              <w:t>建设单位必须严格管理，配备相应的应急设施，采取一系列严密的应急防范措施，制定切实可行的消防及安全应急预案，并加强职工的安全防范意识。</w:t>
            </w:r>
          </w:p>
          <w:p>
            <w:pPr>
              <w:pStyle w:val="2"/>
              <w:adjustRightInd w:val="0"/>
              <w:snapToGrid w:val="0"/>
              <w:spacing w:line="360" w:lineRule="auto"/>
              <w:ind w:firstLine="422" w:firstLineChars="200"/>
              <w:rPr>
                <w:rFonts w:hint="default" w:ascii="Times New Roman" w:hAnsi="Times New Roman" w:eastAsia="宋体" w:cs="Times New Roman"/>
                <w:b/>
                <w:color w:val="auto"/>
                <w:sz w:val="21"/>
                <w:szCs w:val="21"/>
              </w:rPr>
            </w:pPr>
            <w:r>
              <w:rPr>
                <w:rFonts w:hint="eastAsia" w:ascii="Times New Roman" w:hAnsi="Times New Roman" w:eastAsia="宋体" w:cs="Times New Roman"/>
                <w:b/>
                <w:color w:val="auto"/>
                <w:sz w:val="21"/>
                <w:szCs w:val="21"/>
                <w:lang w:val="en-US" w:eastAsia="zh-CN"/>
              </w:rPr>
              <w:t>3、</w:t>
            </w:r>
            <w:r>
              <w:rPr>
                <w:rFonts w:hint="default" w:ascii="Times New Roman" w:hAnsi="Times New Roman" w:eastAsia="宋体" w:cs="Times New Roman"/>
                <w:b/>
                <w:color w:val="auto"/>
                <w:sz w:val="21"/>
                <w:szCs w:val="21"/>
              </w:rPr>
              <w:t>环境风险分析结论</w:t>
            </w:r>
          </w:p>
          <w:p>
            <w:pPr>
              <w:adjustRightInd w:val="0"/>
              <w:snapToGrid w:val="0"/>
              <w:spacing w:line="360" w:lineRule="auto"/>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rPr>
              <w:t>综上所述，本项目应设立风险防范措施，最大限度防止风险事故的发生并进行有效处置，结合企业在下一步设计、运营过程中不断制定和完善的风险防范和应急措施，将发生环境风险的可能性</w:t>
            </w:r>
            <w:r>
              <w:rPr>
                <w:rFonts w:hint="default" w:ascii="Times New Roman" w:hAnsi="Times New Roman" w:eastAsia="宋体" w:cs="Times New Roman"/>
                <w:color w:val="auto"/>
                <w:sz w:val="21"/>
                <w:szCs w:val="21"/>
                <w:highlight w:val="none"/>
              </w:rPr>
              <w:t>降至最低。在各环境风险防范措施落实到位的情况下，可降低本项目的环境风险，最大程度减少对环境可能造成的危害。</w:t>
            </w:r>
          </w:p>
          <w:p>
            <w:pPr>
              <w:pStyle w:val="6"/>
              <w:adjustRightInd w:val="0"/>
              <w:snapToGrid w:val="0"/>
              <w:spacing w:line="360" w:lineRule="auto"/>
              <w:ind w:firstLine="480"/>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color w:val="auto"/>
                <w:sz w:val="21"/>
                <w:szCs w:val="21"/>
                <w:highlight w:val="none"/>
              </w:rPr>
              <w:t>本项目环境风险简单分析见表4-</w:t>
            </w:r>
            <w:r>
              <w:rPr>
                <w:rFonts w:hint="eastAsia" w:eastAsia="宋体" w:cs="Times New Roman"/>
                <w:color w:val="auto"/>
                <w:sz w:val="21"/>
                <w:szCs w:val="21"/>
                <w:highlight w:val="none"/>
                <w:lang w:val="en-US" w:eastAsia="zh-CN"/>
              </w:rPr>
              <w:t>31</w:t>
            </w:r>
            <w:r>
              <w:rPr>
                <w:rFonts w:hint="default" w:ascii="Times New Roman" w:hAnsi="Times New Roman" w:eastAsia="宋体" w:cs="Times New Roman"/>
                <w:color w:val="auto"/>
                <w:sz w:val="21"/>
                <w:szCs w:val="21"/>
                <w:highlight w:val="none"/>
              </w:rPr>
              <w:t>。</w:t>
            </w:r>
          </w:p>
          <w:p>
            <w:pPr>
              <w:pStyle w:val="6"/>
              <w:adjustRightInd w:val="0"/>
              <w:snapToGrid w:val="0"/>
              <w:ind w:firstLine="0" w:firstLineChars="0"/>
              <w:jc w:val="center"/>
              <w:rPr>
                <w:rFonts w:hint="default" w:ascii="Times New Roman" w:hAnsi="Times New Roman" w:eastAsia="宋体" w:cs="Times New Roman"/>
                <w:b/>
                <w:bCs/>
                <w:color w:val="auto"/>
                <w:sz w:val="21"/>
                <w:szCs w:val="21"/>
                <w:highlight w:val="none"/>
              </w:rPr>
            </w:pPr>
          </w:p>
          <w:p>
            <w:pPr>
              <w:pStyle w:val="6"/>
              <w:adjustRightInd w:val="0"/>
              <w:snapToGrid w:val="0"/>
              <w:ind w:firstLine="0" w:firstLineChars="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表4-</w:t>
            </w:r>
            <w:r>
              <w:rPr>
                <w:rFonts w:hint="eastAsia" w:eastAsia="宋体" w:cs="Times New Roman"/>
                <w:b/>
                <w:bCs/>
                <w:color w:val="auto"/>
                <w:sz w:val="21"/>
                <w:szCs w:val="21"/>
                <w:highlight w:val="none"/>
                <w:lang w:val="en-US" w:eastAsia="zh-CN"/>
              </w:rPr>
              <w:t>31</w:t>
            </w:r>
            <w:r>
              <w:rPr>
                <w:rFonts w:hint="default" w:ascii="Times New Roman" w:hAnsi="Times New Roman" w:eastAsia="宋体" w:cs="Times New Roman"/>
                <w:b/>
                <w:bCs/>
                <w:color w:val="auto"/>
                <w:sz w:val="21"/>
                <w:szCs w:val="21"/>
                <w:highlight w:val="none"/>
              </w:rPr>
              <w:t xml:space="preserve"> 建设项</w:t>
            </w:r>
            <w:r>
              <w:rPr>
                <w:rFonts w:hint="default" w:ascii="Times New Roman" w:hAnsi="Times New Roman" w:eastAsia="宋体" w:cs="Times New Roman"/>
                <w:b/>
                <w:bCs/>
                <w:color w:val="auto"/>
                <w:sz w:val="21"/>
                <w:szCs w:val="21"/>
              </w:rPr>
              <w:t>目环境风险简单分析内容表</w:t>
            </w:r>
          </w:p>
          <w:tbl>
            <w:tblPr>
              <w:tblStyle w:val="2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513"/>
              <w:gridCol w:w="1628"/>
              <w:gridCol w:w="1337"/>
              <w:gridCol w:w="1445"/>
              <w:gridCol w:w="1174"/>
              <w:gridCol w:w="138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31" w:type="dxa"/>
                  <w:tcBorders>
                    <w:top w:val="single" w:color="auto" w:sz="12" w:space="0"/>
                    <w:left w:val="nil"/>
                    <w:bottom w:val="single" w:color="auto" w:sz="4" w:space="0"/>
                    <w:right w:val="single" w:color="auto" w:sz="4" w:space="0"/>
                  </w:tcBorders>
                  <w:noWrap w:val="0"/>
                  <w:vAlign w:val="center"/>
                </w:tcPr>
                <w:p>
                  <w:pPr>
                    <w:pStyle w:val="2"/>
                    <w:jc w:val="center"/>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建设项目名称</w:t>
                  </w:r>
                </w:p>
              </w:tc>
              <w:tc>
                <w:tcPr>
                  <w:tcW w:w="6588" w:type="dxa"/>
                  <w:gridSpan w:val="5"/>
                  <w:tcBorders>
                    <w:top w:val="single" w:color="auto" w:sz="12" w:space="0"/>
                    <w:left w:val="single" w:color="auto" w:sz="4" w:space="0"/>
                    <w:bottom w:val="single" w:color="auto" w:sz="4" w:space="0"/>
                    <w:right w:val="nil"/>
                  </w:tcBorders>
                  <w:noWrap w:val="0"/>
                  <w:vAlign w:val="center"/>
                </w:tcPr>
                <w:p>
                  <w:pPr>
                    <w:pStyle w:val="2"/>
                    <w:jc w:val="center"/>
                    <w:rPr>
                      <w:rFonts w:hint="default" w:ascii="Times New Roman" w:hAnsi="Times New Roman" w:eastAsia="宋体" w:cs="Times New Roman"/>
                      <w:b/>
                      <w:color w:val="auto"/>
                      <w:sz w:val="21"/>
                      <w:szCs w:val="21"/>
                      <w:lang w:eastAsia="zh-CN"/>
                    </w:rPr>
                  </w:pPr>
                  <w:r>
                    <w:rPr>
                      <w:rFonts w:hint="eastAsia" w:ascii="Times New Roman" w:hAnsi="Times New Roman" w:eastAsia="宋体" w:cs="Times New Roman"/>
                      <w:b/>
                      <w:color w:val="auto"/>
                      <w:sz w:val="21"/>
                      <w:szCs w:val="21"/>
                      <w:lang w:eastAsia="zh-CN"/>
                    </w:rPr>
                    <w:t>江苏汇富新型材料有限公司新建包装材料生产项目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31" w:type="dxa"/>
                  <w:tcBorders>
                    <w:top w:val="single" w:color="auto" w:sz="4" w:space="0"/>
                    <w:left w:val="nil"/>
                    <w:bottom w:val="single" w:color="auto" w:sz="4" w:space="0"/>
                    <w:right w:val="single" w:color="auto" w:sz="4" w:space="0"/>
                  </w:tcBorders>
                  <w:noWrap w:val="0"/>
                  <w:vAlign w:val="center"/>
                </w:tcPr>
                <w:p>
                  <w:pPr>
                    <w:pStyle w:val="2"/>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建设地点</w:t>
                  </w:r>
                </w:p>
              </w:tc>
              <w:tc>
                <w:tcPr>
                  <w:tcW w:w="1539" w:type="dxa"/>
                  <w:tcBorders>
                    <w:top w:val="single" w:color="auto" w:sz="4" w:space="0"/>
                    <w:left w:val="single" w:color="auto" w:sz="4" w:space="0"/>
                    <w:bottom w:val="single" w:color="auto" w:sz="4" w:space="0"/>
                    <w:right w:val="single" w:color="auto" w:sz="4" w:space="0"/>
                  </w:tcBorders>
                  <w:noWrap w:val="0"/>
                  <w:vAlign w:val="center"/>
                </w:tcPr>
                <w:p>
                  <w:pPr>
                    <w:pStyle w:val="2"/>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（江苏）省</w:t>
                  </w:r>
                </w:p>
              </w:tc>
              <w:tc>
                <w:tcPr>
                  <w:tcW w:w="1264" w:type="dxa"/>
                  <w:tcBorders>
                    <w:top w:val="single" w:color="auto" w:sz="4" w:space="0"/>
                    <w:left w:val="single" w:color="auto" w:sz="4" w:space="0"/>
                    <w:bottom w:val="single" w:color="auto" w:sz="4" w:space="0"/>
                    <w:right w:val="single" w:color="auto" w:sz="4" w:space="0"/>
                  </w:tcBorders>
                  <w:noWrap w:val="0"/>
                  <w:vAlign w:val="center"/>
                </w:tcPr>
                <w:p>
                  <w:pPr>
                    <w:pStyle w:val="2"/>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（常州）市</w:t>
                  </w:r>
                </w:p>
              </w:tc>
              <w:tc>
                <w:tcPr>
                  <w:tcW w:w="1366" w:type="dxa"/>
                  <w:tcBorders>
                    <w:top w:val="single" w:color="auto" w:sz="4" w:space="0"/>
                    <w:left w:val="single" w:color="auto" w:sz="4" w:space="0"/>
                    <w:bottom w:val="single" w:color="auto" w:sz="4" w:space="0"/>
                    <w:right w:val="single" w:color="auto" w:sz="4" w:space="0"/>
                  </w:tcBorders>
                  <w:noWrap w:val="0"/>
                  <w:vAlign w:val="center"/>
                </w:tcPr>
                <w:p>
                  <w:pPr>
                    <w:pStyle w:val="2"/>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（金坛）区</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pStyle w:val="2"/>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（/）县</w:t>
                  </w:r>
                </w:p>
              </w:tc>
              <w:tc>
                <w:tcPr>
                  <w:tcW w:w="1309" w:type="dxa"/>
                  <w:tcBorders>
                    <w:top w:val="single" w:color="auto" w:sz="4" w:space="0"/>
                    <w:left w:val="single" w:color="auto" w:sz="4" w:space="0"/>
                    <w:bottom w:val="single" w:color="auto" w:sz="4" w:space="0"/>
                    <w:right w:val="nil"/>
                  </w:tcBorders>
                  <w:noWrap w:val="0"/>
                  <w:vAlign w:val="center"/>
                </w:tcPr>
                <w:p>
                  <w:pPr>
                    <w:pStyle w:val="2"/>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（金坛经济开发区）园区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31" w:type="dxa"/>
                  <w:tcBorders>
                    <w:top w:val="single" w:color="auto" w:sz="4" w:space="0"/>
                    <w:left w:val="nil"/>
                    <w:bottom w:val="single" w:color="auto" w:sz="4" w:space="0"/>
                    <w:right w:val="single" w:color="auto" w:sz="4" w:space="0"/>
                  </w:tcBorders>
                  <w:noWrap w:val="0"/>
                  <w:vAlign w:val="center"/>
                </w:tcPr>
                <w:p>
                  <w:pPr>
                    <w:pStyle w:val="2"/>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地理坐标</w:t>
                  </w:r>
                </w:p>
              </w:tc>
              <w:tc>
                <w:tcPr>
                  <w:tcW w:w="6588" w:type="dxa"/>
                  <w:gridSpan w:val="5"/>
                  <w:tcBorders>
                    <w:top w:val="single" w:color="auto" w:sz="4" w:space="0"/>
                    <w:left w:val="single" w:color="auto" w:sz="4" w:space="0"/>
                    <w:bottom w:val="single" w:color="auto" w:sz="4" w:space="0"/>
                    <w:right w:val="nil"/>
                  </w:tcBorders>
                  <w:noWrap w:val="0"/>
                  <w:vAlign w:val="center"/>
                </w:tcPr>
                <w:p>
                  <w:pPr>
                    <w:jc w:val="center"/>
                    <w:rPr>
                      <w:rFonts w:hint="default" w:ascii="Times New Roman" w:hAnsi="Times New Roman" w:eastAsia="宋体" w:cs="Times New Roman"/>
                      <w:color w:val="auto"/>
                      <w:sz w:val="21"/>
                      <w:szCs w:val="21"/>
                      <w:lang w:val="en-US" w:eastAsia="zh-CN"/>
                    </w:rPr>
                  </w:pPr>
                  <w:r>
                    <w:rPr>
                      <w:rFonts w:hint="eastAsia"/>
                      <w:color w:val="auto"/>
                      <w:sz w:val="21"/>
                      <w:szCs w:val="21"/>
                      <w:highlight w:val="none"/>
                      <w:lang w:val="en-US" w:eastAsia="zh-CN"/>
                    </w:rPr>
                    <w:t>经度：</w:t>
                  </w:r>
                  <w:r>
                    <w:rPr>
                      <w:color w:val="auto"/>
                      <w:sz w:val="21"/>
                      <w:szCs w:val="21"/>
                      <w:highlight w:val="none"/>
                      <w:u w:val="single"/>
                    </w:rPr>
                    <w:t>119</w:t>
                  </w:r>
                  <w:r>
                    <w:rPr>
                      <w:color w:val="auto"/>
                      <w:sz w:val="21"/>
                      <w:szCs w:val="21"/>
                      <w:highlight w:val="none"/>
                    </w:rPr>
                    <w:t>度</w:t>
                  </w:r>
                  <w:r>
                    <w:rPr>
                      <w:color w:val="auto"/>
                      <w:sz w:val="21"/>
                      <w:szCs w:val="21"/>
                      <w:highlight w:val="none"/>
                      <w:u w:val="single"/>
                    </w:rPr>
                    <w:t>3</w:t>
                  </w:r>
                  <w:r>
                    <w:rPr>
                      <w:rFonts w:hint="eastAsia"/>
                      <w:color w:val="auto"/>
                      <w:sz w:val="21"/>
                      <w:szCs w:val="21"/>
                      <w:highlight w:val="none"/>
                      <w:u w:val="single"/>
                    </w:rPr>
                    <w:t>8</w:t>
                  </w:r>
                  <w:r>
                    <w:rPr>
                      <w:color w:val="auto"/>
                      <w:sz w:val="21"/>
                      <w:szCs w:val="21"/>
                      <w:highlight w:val="none"/>
                    </w:rPr>
                    <w:t>分</w:t>
                  </w:r>
                  <w:r>
                    <w:rPr>
                      <w:rFonts w:hint="eastAsia"/>
                      <w:color w:val="auto"/>
                      <w:sz w:val="21"/>
                      <w:szCs w:val="21"/>
                      <w:highlight w:val="none"/>
                      <w:u w:val="single"/>
                    </w:rPr>
                    <w:t>41.504</w:t>
                  </w:r>
                  <w:r>
                    <w:rPr>
                      <w:color w:val="auto"/>
                      <w:sz w:val="21"/>
                      <w:szCs w:val="21"/>
                      <w:highlight w:val="none"/>
                    </w:rPr>
                    <w:t>秒，</w:t>
                  </w:r>
                  <w:r>
                    <w:rPr>
                      <w:rFonts w:hint="eastAsia"/>
                      <w:color w:val="auto"/>
                      <w:sz w:val="21"/>
                      <w:szCs w:val="21"/>
                      <w:highlight w:val="none"/>
                      <w:lang w:val="en-US" w:eastAsia="zh-CN"/>
                    </w:rPr>
                    <w:t>维度：</w:t>
                  </w:r>
                  <w:r>
                    <w:rPr>
                      <w:color w:val="auto"/>
                      <w:sz w:val="21"/>
                      <w:szCs w:val="21"/>
                      <w:highlight w:val="none"/>
                      <w:u w:val="single"/>
                    </w:rPr>
                    <w:t>31</w:t>
                  </w:r>
                  <w:r>
                    <w:rPr>
                      <w:color w:val="auto"/>
                      <w:sz w:val="21"/>
                      <w:szCs w:val="21"/>
                      <w:highlight w:val="none"/>
                    </w:rPr>
                    <w:t>度</w:t>
                  </w:r>
                  <w:r>
                    <w:rPr>
                      <w:color w:val="auto"/>
                      <w:sz w:val="21"/>
                      <w:szCs w:val="21"/>
                      <w:highlight w:val="none"/>
                      <w:u w:val="single"/>
                    </w:rPr>
                    <w:t>4</w:t>
                  </w:r>
                  <w:r>
                    <w:rPr>
                      <w:rFonts w:hint="eastAsia"/>
                      <w:color w:val="auto"/>
                      <w:sz w:val="21"/>
                      <w:szCs w:val="21"/>
                      <w:highlight w:val="none"/>
                      <w:u w:val="single"/>
                    </w:rPr>
                    <w:t>5</w:t>
                  </w:r>
                  <w:r>
                    <w:rPr>
                      <w:color w:val="auto"/>
                      <w:sz w:val="21"/>
                      <w:szCs w:val="21"/>
                      <w:highlight w:val="none"/>
                    </w:rPr>
                    <w:t>分</w:t>
                  </w:r>
                  <w:r>
                    <w:rPr>
                      <w:rFonts w:hint="eastAsia"/>
                      <w:color w:val="auto"/>
                      <w:sz w:val="21"/>
                      <w:szCs w:val="21"/>
                      <w:highlight w:val="none"/>
                      <w:u w:val="single"/>
                    </w:rPr>
                    <w:t>58.906</w:t>
                  </w:r>
                  <w:r>
                    <w:rPr>
                      <w:color w:val="auto"/>
                      <w:sz w:val="21"/>
                      <w:szCs w:val="21"/>
                      <w:highlight w:val="none"/>
                    </w:rPr>
                    <w:t>秒</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31" w:type="dxa"/>
                  <w:tcBorders>
                    <w:top w:val="single" w:color="auto" w:sz="4" w:space="0"/>
                    <w:left w:val="nil"/>
                    <w:bottom w:val="single" w:color="auto" w:sz="4" w:space="0"/>
                    <w:right w:val="single" w:color="auto" w:sz="4" w:space="0"/>
                  </w:tcBorders>
                  <w:noWrap w:val="0"/>
                  <w:vAlign w:val="center"/>
                </w:tcPr>
                <w:p>
                  <w:pPr>
                    <w:pStyle w:val="2"/>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主要危险物质及分布</w:t>
                  </w:r>
                </w:p>
              </w:tc>
              <w:tc>
                <w:tcPr>
                  <w:tcW w:w="6588" w:type="dxa"/>
                  <w:gridSpan w:val="5"/>
                  <w:tcBorders>
                    <w:top w:val="single" w:color="auto" w:sz="4" w:space="0"/>
                    <w:left w:val="single" w:color="auto" w:sz="4" w:space="0"/>
                    <w:bottom w:val="single" w:color="auto" w:sz="4" w:space="0"/>
                    <w:right w:val="nil"/>
                  </w:tcBorders>
                  <w:noWrap w:val="0"/>
                  <w:vAlign w:val="center"/>
                </w:tcPr>
                <w:p>
                  <w:pPr>
                    <w:pStyle w:val="2"/>
                    <w:jc w:val="center"/>
                    <w:rPr>
                      <w:rFonts w:hint="default" w:ascii="Times New Roman" w:hAnsi="Times New Roman" w:eastAsia="宋体" w:cs="Times New Roman"/>
                      <w:color w:val="auto"/>
                      <w:sz w:val="21"/>
                      <w:szCs w:val="21"/>
                      <w:lang w:val="en-US" w:eastAsia="zh-CN"/>
                    </w:rPr>
                  </w:pPr>
                  <w:r>
                    <w:rPr>
                      <w:rStyle w:val="30"/>
                      <w:rFonts w:hint="eastAsia" w:ascii="Times New Roman" w:hAnsi="Times New Roman" w:eastAsia="宋体" w:cs="Times New Roman"/>
                      <w:color w:val="auto"/>
                      <w:sz w:val="21"/>
                      <w:szCs w:val="21"/>
                      <w:lang w:val="en-US" w:eastAsia="zh-CN"/>
                    </w:rPr>
                    <w:t>废活性炭暂存于危废仓库中，EPS粒子</w:t>
                  </w:r>
                  <w:r>
                    <w:rPr>
                      <w:rStyle w:val="30"/>
                      <w:rFonts w:hint="eastAsia" w:ascii="Times New Roman" w:hAnsi="Times New Roman" w:eastAsia="宋体" w:cs="Times New Roman"/>
                      <w:color w:val="auto"/>
                      <w:sz w:val="21"/>
                      <w:szCs w:val="21"/>
                      <w:lang w:val="en-US" w:eastAsia="zh-CN"/>
                    </w:rPr>
                    <w:t>、半成品包装材料、成品</w:t>
                  </w:r>
                  <w:r>
                    <w:rPr>
                      <w:rStyle w:val="30"/>
                      <w:rFonts w:hint="eastAsia" w:ascii="Times New Roman" w:hAnsi="Times New Roman" w:eastAsia="宋体" w:cs="Times New Roman"/>
                      <w:color w:val="auto"/>
                      <w:sz w:val="21"/>
                      <w:szCs w:val="21"/>
                      <w:lang w:val="en-US" w:eastAsia="zh-CN"/>
                    </w:rPr>
                    <w:t>（含8%环戊烷）暂存原料库中</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31" w:type="dxa"/>
                  <w:tcBorders>
                    <w:top w:val="single" w:color="auto" w:sz="4" w:space="0"/>
                    <w:left w:val="nil"/>
                    <w:bottom w:val="single" w:color="auto" w:sz="4" w:space="0"/>
                    <w:right w:val="single" w:color="auto" w:sz="4" w:space="0"/>
                  </w:tcBorders>
                  <w:noWrap w:val="0"/>
                  <w:vAlign w:val="center"/>
                </w:tcPr>
                <w:p>
                  <w:pPr>
                    <w:pStyle w:val="2"/>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环境影响途径及危害后果</w:t>
                  </w:r>
                </w:p>
              </w:tc>
              <w:tc>
                <w:tcPr>
                  <w:tcW w:w="6588" w:type="dxa"/>
                  <w:gridSpan w:val="5"/>
                  <w:tcBorders>
                    <w:top w:val="single" w:color="auto" w:sz="4" w:space="0"/>
                    <w:left w:val="single" w:color="auto" w:sz="4" w:space="0"/>
                    <w:bottom w:val="single" w:color="auto" w:sz="4" w:space="0"/>
                    <w:right w:val="nil"/>
                  </w:tcBorders>
                  <w:noWrap w:val="0"/>
                  <w:vAlign w:val="center"/>
                </w:tcPr>
                <w:p>
                  <w:pPr>
                    <w:snapToGrid w:val="0"/>
                    <w:jc w:val="center"/>
                    <w:outlineLvl w:val="3"/>
                    <w:rPr>
                      <w:rFonts w:hint="default" w:ascii="Times New Roman" w:hAnsi="Times New Roman" w:eastAsia="宋体" w:cs="Times New Roman"/>
                      <w:color w:val="auto"/>
                      <w:sz w:val="21"/>
                      <w:szCs w:val="21"/>
                      <w:lang w:val="en-US" w:eastAsia="zh-CN"/>
                    </w:rPr>
                  </w:pPr>
                  <w:r>
                    <w:rPr>
                      <w:color w:val="auto"/>
                      <w:szCs w:val="21"/>
                    </w:rPr>
                    <w:t>在发生火灾的情况下燃烧会产生</w:t>
                  </w:r>
                  <w:r>
                    <w:rPr>
                      <w:rFonts w:hint="eastAsia"/>
                      <w:color w:val="auto"/>
                      <w:szCs w:val="21"/>
                    </w:rPr>
                    <w:t>有毒有害气体</w:t>
                  </w:r>
                  <w:r>
                    <w:rPr>
                      <w:color w:val="auto"/>
                      <w:szCs w:val="21"/>
                    </w:rPr>
                    <w:t>危害大气环境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31" w:type="dxa"/>
                  <w:tcBorders>
                    <w:top w:val="single" w:color="auto" w:sz="4" w:space="0"/>
                    <w:left w:val="nil"/>
                    <w:bottom w:val="single" w:color="auto" w:sz="4" w:space="0"/>
                    <w:right w:val="single" w:color="auto" w:sz="4" w:space="0"/>
                  </w:tcBorders>
                  <w:noWrap w:val="0"/>
                  <w:vAlign w:val="center"/>
                </w:tcPr>
                <w:p>
                  <w:pPr>
                    <w:pStyle w:val="2"/>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风险防范措施要求</w:t>
                  </w:r>
                </w:p>
              </w:tc>
              <w:tc>
                <w:tcPr>
                  <w:tcW w:w="6588" w:type="dxa"/>
                  <w:gridSpan w:val="5"/>
                  <w:tcBorders>
                    <w:top w:val="single" w:color="auto" w:sz="4" w:space="0"/>
                    <w:left w:val="single" w:color="auto" w:sz="4" w:space="0"/>
                    <w:bottom w:val="single" w:color="auto" w:sz="4" w:space="0"/>
                    <w:right w:val="nil"/>
                  </w:tcBorders>
                  <w:noWrap w:val="0"/>
                  <w:vAlign w:val="center"/>
                </w:tcPr>
                <w:p>
                  <w:pPr>
                    <w:pStyle w:val="2"/>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定期检查、电缆、电线等情况，坚决禁止生产过程中吸烟、点明火等行为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19" w:type="dxa"/>
                  <w:gridSpan w:val="6"/>
                  <w:tcBorders>
                    <w:top w:val="single" w:color="auto" w:sz="4" w:space="0"/>
                    <w:left w:val="nil"/>
                    <w:bottom w:val="single" w:color="auto" w:sz="12" w:space="0"/>
                    <w:right w:val="nil"/>
                  </w:tcBorders>
                  <w:noWrap w:val="0"/>
                  <w:vAlign w:val="center"/>
                </w:tcPr>
                <w:p>
                  <w:pPr>
                    <w:pStyle w:val="2"/>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填表说明：无</w:t>
                  </w:r>
                </w:p>
              </w:tc>
            </w:tr>
          </w:tbl>
          <w:p>
            <w:pPr>
              <w:pStyle w:val="37"/>
              <w:keepNext w:val="0"/>
              <w:keepLines w:val="0"/>
              <w:pageBreakBefore w:val="0"/>
              <w:widowControl w:val="0"/>
              <w:kinsoku/>
              <w:wordWrap/>
              <w:overflowPunct/>
              <w:topLinePunct w:val="0"/>
              <w:autoSpaceDE/>
              <w:autoSpaceDN/>
              <w:bidi w:val="0"/>
              <w:adjustRightInd/>
              <w:snapToGrid/>
              <w:spacing w:before="157" w:beforeLines="50" w:line="360" w:lineRule="auto"/>
              <w:ind w:firstLine="482"/>
              <w:textAlignment w:val="auto"/>
              <w:rPr>
                <w:rFonts w:eastAsia="宋体"/>
                <w:b/>
                <w:bCs/>
                <w:color w:val="auto"/>
                <w:sz w:val="21"/>
                <w:szCs w:val="21"/>
                <w:highlight w:val="none"/>
              </w:rPr>
            </w:pPr>
            <w:r>
              <w:rPr>
                <w:rFonts w:eastAsia="宋体"/>
                <w:b/>
                <w:bCs/>
                <w:color w:val="auto"/>
                <w:sz w:val="21"/>
                <w:szCs w:val="21"/>
                <w:highlight w:val="none"/>
              </w:rPr>
              <w:t>七、炭排放评价</w:t>
            </w:r>
          </w:p>
          <w:p>
            <w:pPr>
              <w:pStyle w:val="37"/>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eastAsia="宋体"/>
                <w:b/>
                <w:bCs/>
                <w:color w:val="auto"/>
                <w:sz w:val="21"/>
                <w:szCs w:val="21"/>
                <w:highlight w:val="none"/>
              </w:rPr>
            </w:pPr>
            <w:r>
              <w:rPr>
                <w:rFonts w:eastAsia="宋体"/>
                <w:b/>
                <w:bCs/>
                <w:color w:val="auto"/>
                <w:sz w:val="21"/>
                <w:szCs w:val="21"/>
                <w:highlight w:val="none"/>
              </w:rPr>
              <w:t>1、建设项目碳排放分析</w:t>
            </w:r>
          </w:p>
          <w:p>
            <w:pPr>
              <w:pStyle w:val="3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eastAsia="宋体"/>
                <w:color w:val="auto"/>
                <w:sz w:val="21"/>
                <w:szCs w:val="21"/>
                <w:highlight w:val="none"/>
              </w:rPr>
            </w:pPr>
            <w:r>
              <w:rPr>
                <w:rFonts w:eastAsia="宋体"/>
                <w:color w:val="auto"/>
                <w:sz w:val="21"/>
                <w:szCs w:val="21"/>
                <w:highlight w:val="none"/>
              </w:rPr>
              <w:t>本项目碳排放源识别见下表：</w:t>
            </w:r>
          </w:p>
          <w:p>
            <w:pPr>
              <w:pStyle w:val="3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eastAsia="宋体"/>
                <w:b/>
                <w:bCs/>
                <w:color w:val="auto"/>
                <w:sz w:val="21"/>
                <w:szCs w:val="21"/>
                <w:highlight w:val="none"/>
              </w:rPr>
            </w:pPr>
            <w:r>
              <w:rPr>
                <w:rFonts w:eastAsia="宋体"/>
                <w:b/>
                <w:bCs/>
                <w:color w:val="auto"/>
                <w:sz w:val="21"/>
                <w:szCs w:val="21"/>
                <w:highlight w:val="none"/>
              </w:rPr>
              <w:t>表4-</w:t>
            </w:r>
            <w:r>
              <w:rPr>
                <w:rFonts w:hint="eastAsia" w:eastAsia="宋体"/>
                <w:b/>
                <w:bCs/>
                <w:color w:val="auto"/>
                <w:sz w:val="21"/>
                <w:szCs w:val="21"/>
                <w:highlight w:val="none"/>
                <w:lang w:val="en-US" w:eastAsia="zh-CN"/>
              </w:rPr>
              <w:t xml:space="preserve">32 </w:t>
            </w:r>
            <w:r>
              <w:rPr>
                <w:rFonts w:eastAsia="宋体"/>
                <w:b/>
                <w:bCs/>
                <w:color w:val="auto"/>
                <w:sz w:val="21"/>
                <w:szCs w:val="21"/>
                <w:highlight w:val="none"/>
              </w:rPr>
              <w:t>碳排放源识别表</w:t>
            </w:r>
          </w:p>
          <w:tbl>
            <w:tblPr>
              <w:tblStyle w:val="25"/>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1259"/>
              <w:gridCol w:w="1466"/>
              <w:gridCol w:w="948"/>
              <w:gridCol w:w="848"/>
              <w:gridCol w:w="682"/>
              <w:gridCol w:w="760"/>
              <w:gridCol w:w="733"/>
              <w:gridCol w:w="72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7" w:type="pct"/>
                  <w:gridSpan w:val="2"/>
                  <w:vMerge w:val="restart"/>
                  <w:vAlign w:val="center"/>
                </w:tcPr>
                <w:p>
                  <w:pPr>
                    <w:pStyle w:val="11"/>
                    <w:spacing w:line="240" w:lineRule="auto"/>
                    <w:ind w:left="0" w:leftChars="0" w:right="0" w:rightChars="0" w:firstLine="0" w:firstLineChars="0"/>
                    <w:jc w:val="center"/>
                    <w:rPr>
                      <w:b/>
                      <w:bCs/>
                      <w:color w:val="auto"/>
                      <w:sz w:val="21"/>
                      <w:szCs w:val="21"/>
                      <w:highlight w:val="none"/>
                    </w:rPr>
                  </w:pPr>
                  <w:r>
                    <w:rPr>
                      <w:b/>
                      <w:bCs/>
                      <w:color w:val="auto"/>
                      <w:sz w:val="21"/>
                      <w:szCs w:val="21"/>
                      <w:highlight w:val="none"/>
                    </w:rPr>
                    <w:t>排放类型</w:t>
                  </w:r>
                </w:p>
              </w:tc>
              <w:tc>
                <w:tcPr>
                  <w:tcW w:w="864" w:type="pct"/>
                  <w:vMerge w:val="restart"/>
                  <w:vAlign w:val="center"/>
                </w:tcPr>
                <w:p>
                  <w:pPr>
                    <w:pStyle w:val="11"/>
                    <w:spacing w:line="240" w:lineRule="auto"/>
                    <w:ind w:left="0" w:leftChars="0" w:right="0" w:rightChars="0" w:firstLine="0" w:firstLineChars="0"/>
                    <w:jc w:val="center"/>
                    <w:rPr>
                      <w:b/>
                      <w:bCs/>
                      <w:color w:val="auto"/>
                      <w:sz w:val="21"/>
                      <w:szCs w:val="21"/>
                      <w:highlight w:val="none"/>
                    </w:rPr>
                  </w:pPr>
                  <w:r>
                    <w:rPr>
                      <w:b/>
                      <w:bCs/>
                      <w:color w:val="auto"/>
                      <w:sz w:val="21"/>
                      <w:szCs w:val="21"/>
                      <w:highlight w:val="none"/>
                    </w:rPr>
                    <w:t>设施/材料</w:t>
                  </w:r>
                </w:p>
              </w:tc>
              <w:tc>
                <w:tcPr>
                  <w:tcW w:w="2767" w:type="pct"/>
                  <w:gridSpan w:val="6"/>
                  <w:vAlign w:val="center"/>
                </w:tcPr>
                <w:p>
                  <w:pPr>
                    <w:pStyle w:val="11"/>
                    <w:spacing w:line="240" w:lineRule="auto"/>
                    <w:ind w:left="0" w:leftChars="0" w:right="0" w:rightChars="0" w:firstLine="0" w:firstLineChars="0"/>
                    <w:jc w:val="center"/>
                    <w:rPr>
                      <w:b/>
                      <w:bCs/>
                      <w:color w:val="auto"/>
                      <w:sz w:val="21"/>
                      <w:szCs w:val="21"/>
                      <w:highlight w:val="none"/>
                    </w:rPr>
                  </w:pPr>
                  <w:r>
                    <w:rPr>
                      <w:b/>
                      <w:bCs/>
                      <w:color w:val="auto"/>
                      <w:sz w:val="21"/>
                      <w:szCs w:val="21"/>
                      <w:highlight w:val="none"/>
                    </w:rPr>
                    <w:t>温室气体种类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7" w:type="pct"/>
                  <w:gridSpan w:val="2"/>
                  <w:vMerge w:val="continue"/>
                  <w:vAlign w:val="center"/>
                </w:tcPr>
                <w:p>
                  <w:pPr>
                    <w:pStyle w:val="11"/>
                    <w:spacing w:line="240" w:lineRule="auto"/>
                    <w:ind w:left="0" w:leftChars="0" w:right="0" w:rightChars="0" w:firstLine="0" w:firstLineChars="0"/>
                    <w:jc w:val="center"/>
                    <w:rPr>
                      <w:b/>
                      <w:bCs/>
                      <w:color w:val="auto"/>
                      <w:sz w:val="21"/>
                      <w:szCs w:val="21"/>
                      <w:highlight w:val="none"/>
                    </w:rPr>
                  </w:pPr>
                </w:p>
              </w:tc>
              <w:tc>
                <w:tcPr>
                  <w:tcW w:w="864" w:type="pct"/>
                  <w:vMerge w:val="continue"/>
                  <w:vAlign w:val="center"/>
                </w:tcPr>
                <w:p>
                  <w:pPr>
                    <w:pStyle w:val="11"/>
                    <w:spacing w:line="240" w:lineRule="auto"/>
                    <w:ind w:left="0" w:leftChars="0" w:right="0" w:rightChars="0" w:firstLine="0" w:firstLineChars="0"/>
                    <w:jc w:val="center"/>
                    <w:rPr>
                      <w:b/>
                      <w:bCs/>
                      <w:color w:val="auto"/>
                      <w:sz w:val="21"/>
                      <w:szCs w:val="21"/>
                      <w:highlight w:val="none"/>
                    </w:rPr>
                  </w:pPr>
                </w:p>
              </w:tc>
              <w:tc>
                <w:tcPr>
                  <w:tcW w:w="559" w:type="pct"/>
                  <w:vAlign w:val="center"/>
                </w:tcPr>
                <w:p>
                  <w:pPr>
                    <w:pStyle w:val="11"/>
                    <w:spacing w:line="240" w:lineRule="auto"/>
                    <w:ind w:left="0" w:leftChars="0" w:right="0" w:rightChars="0" w:firstLine="0" w:firstLineChars="0"/>
                    <w:jc w:val="center"/>
                    <w:rPr>
                      <w:b/>
                      <w:bCs/>
                      <w:color w:val="auto"/>
                      <w:sz w:val="21"/>
                      <w:szCs w:val="21"/>
                      <w:highlight w:val="none"/>
                    </w:rPr>
                  </w:pPr>
                  <w:r>
                    <w:rPr>
                      <w:b/>
                      <w:bCs/>
                      <w:color w:val="auto"/>
                      <w:sz w:val="21"/>
                      <w:szCs w:val="21"/>
                      <w:highlight w:val="none"/>
                    </w:rPr>
                    <w:t>CO</w:t>
                  </w:r>
                  <w:r>
                    <w:rPr>
                      <w:b/>
                      <w:bCs/>
                      <w:color w:val="auto"/>
                      <w:sz w:val="21"/>
                      <w:szCs w:val="21"/>
                      <w:highlight w:val="none"/>
                      <w:vertAlign w:val="subscript"/>
                    </w:rPr>
                    <w:t>2</w:t>
                  </w:r>
                </w:p>
              </w:tc>
              <w:tc>
                <w:tcPr>
                  <w:tcW w:w="500" w:type="pct"/>
                  <w:vAlign w:val="center"/>
                </w:tcPr>
                <w:p>
                  <w:pPr>
                    <w:pStyle w:val="11"/>
                    <w:spacing w:line="240" w:lineRule="auto"/>
                    <w:ind w:left="0" w:leftChars="0" w:right="0" w:rightChars="0" w:firstLine="0" w:firstLineChars="0"/>
                    <w:jc w:val="center"/>
                    <w:rPr>
                      <w:b/>
                      <w:bCs/>
                      <w:color w:val="auto"/>
                      <w:sz w:val="21"/>
                      <w:szCs w:val="21"/>
                      <w:highlight w:val="none"/>
                    </w:rPr>
                  </w:pPr>
                  <w:r>
                    <w:rPr>
                      <w:b/>
                      <w:bCs/>
                      <w:color w:val="auto"/>
                      <w:sz w:val="21"/>
                      <w:szCs w:val="21"/>
                      <w:highlight w:val="none"/>
                    </w:rPr>
                    <w:t>CH</w:t>
                  </w:r>
                  <w:r>
                    <w:rPr>
                      <w:b/>
                      <w:bCs/>
                      <w:color w:val="auto"/>
                      <w:sz w:val="21"/>
                      <w:szCs w:val="21"/>
                      <w:highlight w:val="none"/>
                      <w:vertAlign w:val="subscript"/>
                    </w:rPr>
                    <w:t>4</w:t>
                  </w:r>
                </w:p>
              </w:tc>
              <w:tc>
                <w:tcPr>
                  <w:tcW w:w="402" w:type="pct"/>
                  <w:vAlign w:val="center"/>
                </w:tcPr>
                <w:p>
                  <w:pPr>
                    <w:pStyle w:val="11"/>
                    <w:spacing w:line="240" w:lineRule="auto"/>
                    <w:ind w:left="0" w:leftChars="0" w:right="0" w:rightChars="0" w:firstLine="0" w:firstLineChars="0"/>
                    <w:jc w:val="center"/>
                    <w:rPr>
                      <w:b/>
                      <w:bCs/>
                      <w:color w:val="auto"/>
                      <w:sz w:val="21"/>
                      <w:szCs w:val="21"/>
                      <w:highlight w:val="none"/>
                    </w:rPr>
                  </w:pPr>
                  <w:r>
                    <w:rPr>
                      <w:b/>
                      <w:bCs/>
                      <w:color w:val="auto"/>
                      <w:sz w:val="21"/>
                      <w:szCs w:val="21"/>
                      <w:highlight w:val="none"/>
                    </w:rPr>
                    <w:t>N</w:t>
                  </w:r>
                  <w:r>
                    <w:rPr>
                      <w:b/>
                      <w:bCs/>
                      <w:color w:val="auto"/>
                      <w:sz w:val="21"/>
                      <w:szCs w:val="21"/>
                      <w:highlight w:val="none"/>
                      <w:vertAlign w:val="subscript"/>
                    </w:rPr>
                    <w:t>2</w:t>
                  </w:r>
                  <w:r>
                    <w:rPr>
                      <w:b/>
                      <w:bCs/>
                      <w:color w:val="auto"/>
                      <w:sz w:val="21"/>
                      <w:szCs w:val="21"/>
                      <w:highlight w:val="none"/>
                    </w:rPr>
                    <w:t>O</w:t>
                  </w:r>
                </w:p>
              </w:tc>
              <w:tc>
                <w:tcPr>
                  <w:tcW w:w="448" w:type="pct"/>
                  <w:vAlign w:val="center"/>
                </w:tcPr>
                <w:p>
                  <w:pPr>
                    <w:pStyle w:val="11"/>
                    <w:spacing w:line="240" w:lineRule="auto"/>
                    <w:ind w:left="0" w:leftChars="0" w:right="0" w:rightChars="0" w:firstLine="0" w:firstLineChars="0"/>
                    <w:jc w:val="center"/>
                    <w:rPr>
                      <w:b/>
                      <w:bCs/>
                      <w:color w:val="auto"/>
                      <w:sz w:val="21"/>
                      <w:szCs w:val="21"/>
                      <w:highlight w:val="none"/>
                    </w:rPr>
                  </w:pPr>
                  <w:r>
                    <w:rPr>
                      <w:b/>
                      <w:bCs/>
                      <w:color w:val="auto"/>
                      <w:sz w:val="21"/>
                      <w:szCs w:val="21"/>
                      <w:highlight w:val="none"/>
                    </w:rPr>
                    <w:t>HFCs</w:t>
                  </w:r>
                </w:p>
              </w:tc>
              <w:tc>
                <w:tcPr>
                  <w:tcW w:w="432" w:type="pct"/>
                  <w:vAlign w:val="center"/>
                </w:tcPr>
                <w:p>
                  <w:pPr>
                    <w:pStyle w:val="11"/>
                    <w:spacing w:line="240" w:lineRule="auto"/>
                    <w:ind w:left="0" w:leftChars="0" w:right="0" w:rightChars="0" w:firstLine="0" w:firstLineChars="0"/>
                    <w:jc w:val="center"/>
                    <w:rPr>
                      <w:b/>
                      <w:bCs/>
                      <w:color w:val="auto"/>
                      <w:sz w:val="21"/>
                      <w:szCs w:val="21"/>
                      <w:highlight w:val="none"/>
                    </w:rPr>
                  </w:pPr>
                  <w:r>
                    <w:rPr>
                      <w:b/>
                      <w:bCs/>
                      <w:color w:val="auto"/>
                      <w:sz w:val="21"/>
                      <w:szCs w:val="21"/>
                      <w:highlight w:val="none"/>
                    </w:rPr>
                    <w:t>PFCs</w:t>
                  </w:r>
                </w:p>
              </w:tc>
              <w:tc>
                <w:tcPr>
                  <w:tcW w:w="425" w:type="pct"/>
                  <w:vAlign w:val="center"/>
                </w:tcPr>
                <w:p>
                  <w:pPr>
                    <w:pStyle w:val="11"/>
                    <w:spacing w:line="240" w:lineRule="auto"/>
                    <w:ind w:left="0" w:leftChars="0" w:right="0" w:rightChars="0" w:firstLine="0" w:firstLineChars="0"/>
                    <w:jc w:val="center"/>
                    <w:rPr>
                      <w:b/>
                      <w:bCs/>
                      <w:color w:val="auto"/>
                      <w:sz w:val="21"/>
                      <w:szCs w:val="21"/>
                      <w:highlight w:val="none"/>
                    </w:rPr>
                  </w:pPr>
                  <w:r>
                    <w:rPr>
                      <w:b/>
                      <w:bCs/>
                      <w:color w:val="auto"/>
                      <w:sz w:val="21"/>
                      <w:szCs w:val="21"/>
                      <w:highlight w:val="none"/>
                    </w:rPr>
                    <w:t>SF</w:t>
                  </w:r>
                  <w:r>
                    <w:rPr>
                      <w:b/>
                      <w:bCs/>
                      <w:color w:val="auto"/>
                      <w:sz w:val="21"/>
                      <w:szCs w:val="21"/>
                      <w:highlight w:val="none"/>
                      <w:vertAlign w:val="subscript"/>
                    </w:rPr>
                    <w:t>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25" w:type="pct"/>
                  <w:vAlign w:val="center"/>
                </w:tcPr>
                <w:p>
                  <w:pPr>
                    <w:pStyle w:val="11"/>
                    <w:spacing w:line="240" w:lineRule="auto"/>
                    <w:ind w:left="0" w:leftChars="0" w:right="0" w:rightChars="0" w:firstLine="0" w:firstLineChars="0"/>
                    <w:jc w:val="center"/>
                    <w:rPr>
                      <w:color w:val="auto"/>
                      <w:sz w:val="21"/>
                      <w:szCs w:val="21"/>
                      <w:highlight w:val="none"/>
                    </w:rPr>
                  </w:pPr>
                  <w:r>
                    <w:rPr>
                      <w:color w:val="auto"/>
                      <w:sz w:val="21"/>
                      <w:szCs w:val="21"/>
                      <w:highlight w:val="none"/>
                    </w:rPr>
                    <w:t>间接排放</w:t>
                  </w:r>
                </w:p>
              </w:tc>
              <w:tc>
                <w:tcPr>
                  <w:tcW w:w="742" w:type="pct"/>
                  <w:vAlign w:val="center"/>
                </w:tcPr>
                <w:p>
                  <w:pPr>
                    <w:pStyle w:val="11"/>
                    <w:spacing w:line="240" w:lineRule="auto"/>
                    <w:ind w:left="0" w:leftChars="0" w:right="0" w:rightChars="0" w:firstLine="0" w:firstLineChars="0"/>
                    <w:jc w:val="center"/>
                    <w:rPr>
                      <w:color w:val="auto"/>
                      <w:sz w:val="21"/>
                      <w:szCs w:val="21"/>
                      <w:highlight w:val="none"/>
                    </w:rPr>
                  </w:pPr>
                  <w:r>
                    <w:rPr>
                      <w:color w:val="auto"/>
                      <w:sz w:val="21"/>
                      <w:szCs w:val="21"/>
                      <w:highlight w:val="none"/>
                    </w:rPr>
                    <w:t>净调入电生产设备</w:t>
                  </w:r>
                </w:p>
              </w:tc>
              <w:tc>
                <w:tcPr>
                  <w:tcW w:w="864" w:type="pct"/>
                  <w:vAlign w:val="center"/>
                </w:tcPr>
                <w:p>
                  <w:pPr>
                    <w:pStyle w:val="11"/>
                    <w:spacing w:line="240" w:lineRule="auto"/>
                    <w:ind w:left="0" w:leftChars="0" w:right="0" w:rightChars="0" w:firstLine="0" w:firstLineChars="0"/>
                    <w:jc w:val="center"/>
                    <w:rPr>
                      <w:color w:val="auto"/>
                      <w:sz w:val="21"/>
                      <w:szCs w:val="21"/>
                      <w:highlight w:val="none"/>
                    </w:rPr>
                  </w:pPr>
                  <w:r>
                    <w:rPr>
                      <w:color w:val="auto"/>
                      <w:sz w:val="21"/>
                      <w:szCs w:val="21"/>
                      <w:highlight w:val="none"/>
                    </w:rPr>
                    <w:t>各种用电设备</w:t>
                  </w:r>
                </w:p>
              </w:tc>
              <w:tc>
                <w:tcPr>
                  <w:tcW w:w="559" w:type="pct"/>
                  <w:vAlign w:val="center"/>
                </w:tcPr>
                <w:p>
                  <w:pPr>
                    <w:adjustRightInd w:val="0"/>
                    <w:snapToGrid w:val="0"/>
                    <w:jc w:val="center"/>
                    <w:rPr>
                      <w:color w:val="auto"/>
                      <w:sz w:val="21"/>
                      <w:szCs w:val="21"/>
                      <w:highlight w:val="none"/>
                    </w:rPr>
                  </w:pPr>
                  <w:r>
                    <w:rPr>
                      <w:color w:val="auto"/>
                      <w:sz w:val="21"/>
                      <w:szCs w:val="21"/>
                      <w:highlight w:val="none"/>
                    </w:rPr>
                    <w:t>√</w:t>
                  </w:r>
                </w:p>
              </w:tc>
              <w:tc>
                <w:tcPr>
                  <w:tcW w:w="500" w:type="pct"/>
                  <w:vAlign w:val="center"/>
                </w:tcPr>
                <w:p>
                  <w:pPr>
                    <w:pStyle w:val="11"/>
                    <w:spacing w:line="240" w:lineRule="auto"/>
                    <w:ind w:left="0" w:leftChars="0" w:right="0" w:rightChars="0" w:firstLine="0" w:firstLineChars="0"/>
                    <w:jc w:val="center"/>
                    <w:rPr>
                      <w:color w:val="auto"/>
                      <w:sz w:val="21"/>
                      <w:szCs w:val="21"/>
                      <w:highlight w:val="none"/>
                    </w:rPr>
                  </w:pPr>
                </w:p>
              </w:tc>
              <w:tc>
                <w:tcPr>
                  <w:tcW w:w="402" w:type="pct"/>
                  <w:vAlign w:val="center"/>
                </w:tcPr>
                <w:p>
                  <w:pPr>
                    <w:pStyle w:val="11"/>
                    <w:spacing w:line="240" w:lineRule="auto"/>
                    <w:ind w:left="0" w:leftChars="0" w:right="0" w:rightChars="0" w:firstLine="0" w:firstLineChars="0"/>
                    <w:jc w:val="center"/>
                    <w:rPr>
                      <w:color w:val="auto"/>
                      <w:sz w:val="21"/>
                      <w:szCs w:val="21"/>
                      <w:highlight w:val="none"/>
                    </w:rPr>
                  </w:pPr>
                </w:p>
              </w:tc>
              <w:tc>
                <w:tcPr>
                  <w:tcW w:w="448" w:type="pct"/>
                  <w:vAlign w:val="center"/>
                </w:tcPr>
                <w:p>
                  <w:pPr>
                    <w:pStyle w:val="11"/>
                    <w:spacing w:line="240" w:lineRule="auto"/>
                    <w:ind w:left="0" w:leftChars="0" w:right="0" w:rightChars="0" w:firstLine="0" w:firstLineChars="0"/>
                    <w:jc w:val="center"/>
                    <w:rPr>
                      <w:color w:val="auto"/>
                      <w:sz w:val="21"/>
                      <w:szCs w:val="21"/>
                      <w:highlight w:val="none"/>
                    </w:rPr>
                  </w:pPr>
                </w:p>
              </w:tc>
              <w:tc>
                <w:tcPr>
                  <w:tcW w:w="432" w:type="pct"/>
                  <w:vAlign w:val="center"/>
                </w:tcPr>
                <w:p>
                  <w:pPr>
                    <w:pStyle w:val="11"/>
                    <w:spacing w:line="240" w:lineRule="auto"/>
                    <w:ind w:left="0" w:leftChars="0" w:right="0" w:rightChars="0" w:firstLine="0" w:firstLineChars="0"/>
                    <w:jc w:val="center"/>
                    <w:rPr>
                      <w:color w:val="auto"/>
                      <w:sz w:val="21"/>
                      <w:szCs w:val="21"/>
                      <w:highlight w:val="none"/>
                    </w:rPr>
                  </w:pPr>
                </w:p>
              </w:tc>
              <w:tc>
                <w:tcPr>
                  <w:tcW w:w="425" w:type="pct"/>
                  <w:vAlign w:val="center"/>
                </w:tcPr>
                <w:p>
                  <w:pPr>
                    <w:pStyle w:val="11"/>
                    <w:spacing w:line="240" w:lineRule="auto"/>
                    <w:ind w:left="0" w:leftChars="0" w:right="0" w:rightChars="0" w:firstLine="0" w:firstLineChars="0"/>
                    <w:jc w:val="center"/>
                    <w:rPr>
                      <w:color w:val="auto"/>
                      <w:sz w:val="21"/>
                      <w:szCs w:val="21"/>
                      <w:highlight w:val="none"/>
                    </w:rPr>
                  </w:pPr>
                </w:p>
              </w:tc>
            </w:tr>
          </w:tbl>
          <w:p>
            <w:pPr>
              <w:pStyle w:val="11"/>
              <w:numPr>
                <w:ilvl w:val="0"/>
                <w:numId w:val="11"/>
              </w:numPr>
              <w:spacing w:line="360" w:lineRule="auto"/>
              <w:ind w:left="10" w:right="0" w:rightChars="0" w:firstLine="482"/>
              <w:jc w:val="left"/>
              <w:rPr>
                <w:b/>
                <w:bCs/>
                <w:color w:val="auto"/>
                <w:sz w:val="21"/>
                <w:szCs w:val="21"/>
                <w:highlight w:val="none"/>
              </w:rPr>
            </w:pPr>
            <w:r>
              <w:rPr>
                <w:b/>
                <w:bCs/>
                <w:color w:val="auto"/>
                <w:sz w:val="21"/>
                <w:szCs w:val="21"/>
                <w:highlight w:val="none"/>
              </w:rPr>
              <w:t>碳排放现状调查与评价</w:t>
            </w:r>
          </w:p>
          <w:p>
            <w:pPr>
              <w:pStyle w:val="37"/>
              <w:adjustRightInd w:val="0"/>
              <w:snapToGrid w:val="0"/>
              <w:spacing w:line="360" w:lineRule="auto"/>
              <w:ind w:firstLine="480"/>
              <w:rPr>
                <w:rFonts w:eastAsia="宋体"/>
                <w:color w:val="auto"/>
                <w:sz w:val="21"/>
                <w:szCs w:val="21"/>
                <w:highlight w:val="none"/>
              </w:rPr>
            </w:pPr>
            <w:r>
              <w:rPr>
                <w:rFonts w:eastAsia="宋体"/>
                <w:color w:val="auto"/>
                <w:sz w:val="21"/>
                <w:szCs w:val="21"/>
                <w:highlight w:val="none"/>
              </w:rPr>
              <w:t>①行业碳排放情况调查</w:t>
            </w:r>
          </w:p>
          <w:p>
            <w:pPr>
              <w:pStyle w:val="37"/>
              <w:adjustRightInd w:val="0"/>
              <w:snapToGrid w:val="0"/>
              <w:spacing w:line="360" w:lineRule="auto"/>
              <w:ind w:firstLine="480"/>
              <w:rPr>
                <w:rFonts w:eastAsia="宋体"/>
                <w:color w:val="auto"/>
                <w:sz w:val="21"/>
                <w:szCs w:val="21"/>
                <w:highlight w:val="none"/>
              </w:rPr>
            </w:pPr>
            <w:r>
              <w:rPr>
                <w:rFonts w:eastAsia="宋体"/>
                <w:color w:val="auto"/>
                <w:sz w:val="21"/>
                <w:szCs w:val="21"/>
                <w:highlight w:val="none"/>
              </w:rPr>
              <w:t>本项目属于</w:t>
            </w:r>
            <w:r>
              <w:rPr>
                <w:rFonts w:hint="eastAsia" w:eastAsia="宋体"/>
                <w:color w:val="auto"/>
                <w:sz w:val="21"/>
                <w:szCs w:val="21"/>
                <w:highlight w:val="none"/>
              </w:rPr>
              <w:t>C2929塑料零件及其他塑料制品制造</w:t>
            </w:r>
            <w:r>
              <w:rPr>
                <w:rFonts w:eastAsia="宋体"/>
                <w:color w:val="auto"/>
                <w:sz w:val="21"/>
                <w:szCs w:val="21"/>
                <w:highlight w:val="none"/>
              </w:rPr>
              <w:t>，目前本行业内尚未有行业碳排放数据。</w:t>
            </w:r>
          </w:p>
          <w:p>
            <w:pPr>
              <w:pStyle w:val="37"/>
              <w:adjustRightInd w:val="0"/>
              <w:snapToGrid w:val="0"/>
              <w:spacing w:line="360" w:lineRule="auto"/>
              <w:ind w:firstLine="480"/>
              <w:rPr>
                <w:rFonts w:eastAsia="宋体"/>
                <w:color w:val="auto"/>
                <w:sz w:val="21"/>
                <w:szCs w:val="21"/>
                <w:highlight w:val="none"/>
              </w:rPr>
            </w:pPr>
            <w:r>
              <w:rPr>
                <w:rFonts w:eastAsia="宋体"/>
                <w:color w:val="auto"/>
                <w:sz w:val="21"/>
                <w:szCs w:val="21"/>
                <w:highlight w:val="none"/>
              </w:rPr>
              <w:t>②现有项目碳排放现状调查</w:t>
            </w:r>
          </w:p>
          <w:p>
            <w:pPr>
              <w:pStyle w:val="37"/>
              <w:adjustRightInd w:val="0"/>
              <w:snapToGrid w:val="0"/>
              <w:spacing w:line="360" w:lineRule="auto"/>
              <w:ind w:firstLine="480"/>
              <w:rPr>
                <w:rFonts w:eastAsia="宋体"/>
                <w:color w:val="auto"/>
                <w:sz w:val="21"/>
                <w:szCs w:val="21"/>
                <w:highlight w:val="none"/>
              </w:rPr>
            </w:pPr>
            <w:r>
              <w:rPr>
                <w:rFonts w:eastAsia="宋体"/>
                <w:color w:val="auto"/>
                <w:sz w:val="21"/>
                <w:szCs w:val="21"/>
                <w:highlight w:val="none"/>
              </w:rPr>
              <w:t>本项目为新建项目，无现有项目碳排放现状。</w:t>
            </w:r>
          </w:p>
          <w:p>
            <w:pPr>
              <w:pStyle w:val="37"/>
              <w:adjustRightInd w:val="0"/>
              <w:snapToGrid w:val="0"/>
              <w:spacing w:line="360" w:lineRule="auto"/>
              <w:ind w:firstLine="482"/>
              <w:rPr>
                <w:rFonts w:eastAsia="宋体"/>
                <w:b/>
                <w:bCs/>
                <w:color w:val="auto"/>
                <w:sz w:val="21"/>
                <w:szCs w:val="21"/>
                <w:highlight w:val="none"/>
              </w:rPr>
            </w:pPr>
            <w:r>
              <w:rPr>
                <w:rFonts w:eastAsia="宋体"/>
                <w:b/>
                <w:bCs/>
                <w:color w:val="auto"/>
                <w:sz w:val="21"/>
                <w:szCs w:val="21"/>
                <w:highlight w:val="none"/>
              </w:rPr>
              <w:t>3、碳排放预测与评价</w:t>
            </w:r>
          </w:p>
          <w:p>
            <w:pPr>
              <w:pStyle w:val="37"/>
              <w:adjustRightInd w:val="0"/>
              <w:snapToGrid w:val="0"/>
              <w:spacing w:line="360" w:lineRule="auto"/>
              <w:ind w:firstLine="480"/>
              <w:rPr>
                <w:rFonts w:eastAsia="宋体"/>
                <w:color w:val="auto"/>
                <w:sz w:val="21"/>
                <w:szCs w:val="21"/>
                <w:highlight w:val="none"/>
              </w:rPr>
            </w:pPr>
            <w:r>
              <w:rPr>
                <w:rFonts w:eastAsia="宋体"/>
                <w:color w:val="auto"/>
                <w:sz w:val="21"/>
                <w:szCs w:val="21"/>
                <w:highlight w:val="none"/>
              </w:rPr>
              <w:t>营运期碳排放：</w:t>
            </w:r>
          </w:p>
          <w:p>
            <w:pPr>
              <w:pStyle w:val="2"/>
              <w:spacing w:line="360" w:lineRule="auto"/>
              <w:ind w:firstLine="416" w:firstLineChars="200"/>
              <w:rPr>
                <w:rFonts w:ascii="Times New Roman" w:hAnsi="Times New Roman" w:eastAsia="宋体"/>
                <w:color w:val="auto"/>
                <w:kern w:val="0"/>
                <w:sz w:val="21"/>
                <w:szCs w:val="21"/>
                <w:highlight w:val="none"/>
              </w:rPr>
            </w:pPr>
            <w:r>
              <w:rPr>
                <w:rFonts w:ascii="Times New Roman" w:hAnsi="Times New Roman" w:eastAsia="宋体"/>
                <w:color w:val="auto"/>
                <w:spacing w:val="-1"/>
                <w:sz w:val="21"/>
                <w:szCs w:val="21"/>
                <w:highlight w:val="none"/>
              </w:rPr>
              <w:t>建设项目碳排放总量计算见公式</w:t>
            </w:r>
            <w:r>
              <w:rPr>
                <w:rFonts w:ascii="Times New Roman" w:hAnsi="Times New Roman" w:eastAsia="宋体"/>
                <w:color w:val="auto"/>
                <w:sz w:val="21"/>
                <w:szCs w:val="21"/>
                <w:highlight w:val="none"/>
              </w:rPr>
              <w:t>（1）；</w:t>
            </w:r>
          </w:p>
          <w:p>
            <w:pPr>
              <w:spacing w:line="360" w:lineRule="auto"/>
              <w:ind w:firstLine="420" w:firstLineChars="200"/>
              <w:jc w:val="center"/>
              <w:rPr>
                <w:color w:val="auto"/>
                <w:sz w:val="21"/>
                <w:szCs w:val="21"/>
                <w:highlight w:val="none"/>
              </w:rPr>
            </w:pPr>
            <w:r>
              <w:rPr>
                <w:color w:val="auto"/>
                <w:position w:val="2"/>
                <w:sz w:val="21"/>
                <w:szCs w:val="21"/>
                <w:highlight w:val="none"/>
              </w:rPr>
              <w:t>AE</w:t>
            </w:r>
            <w:r>
              <w:rPr>
                <w:color w:val="auto"/>
                <w:sz w:val="21"/>
                <w:szCs w:val="21"/>
                <w:highlight w:val="none"/>
                <w:vertAlign w:val="subscript"/>
              </w:rPr>
              <w:t>总</w:t>
            </w:r>
            <w:r>
              <w:rPr>
                <w:color w:val="auto"/>
                <w:position w:val="2"/>
                <w:sz w:val="21"/>
                <w:szCs w:val="21"/>
                <w:highlight w:val="none"/>
              </w:rPr>
              <w:t>=AE</w:t>
            </w:r>
            <w:r>
              <w:rPr>
                <w:color w:val="auto"/>
                <w:sz w:val="21"/>
                <w:szCs w:val="21"/>
                <w:highlight w:val="none"/>
                <w:vertAlign w:val="subscript"/>
              </w:rPr>
              <w:t>燃料燃烧</w:t>
            </w:r>
            <w:r>
              <w:rPr>
                <w:color w:val="auto"/>
                <w:position w:val="2"/>
                <w:sz w:val="21"/>
                <w:szCs w:val="21"/>
                <w:highlight w:val="none"/>
              </w:rPr>
              <w:t>+AE</w:t>
            </w:r>
            <w:r>
              <w:rPr>
                <w:color w:val="auto"/>
                <w:sz w:val="21"/>
                <w:szCs w:val="21"/>
                <w:highlight w:val="none"/>
                <w:vertAlign w:val="subscript"/>
              </w:rPr>
              <w:t>工业生产过程</w:t>
            </w:r>
            <w:r>
              <w:rPr>
                <w:color w:val="auto"/>
                <w:position w:val="2"/>
                <w:sz w:val="21"/>
                <w:szCs w:val="21"/>
                <w:highlight w:val="none"/>
              </w:rPr>
              <w:t>+AE</w:t>
            </w:r>
            <w:r>
              <w:rPr>
                <w:color w:val="auto"/>
                <w:sz w:val="21"/>
                <w:szCs w:val="21"/>
                <w:highlight w:val="none"/>
                <w:vertAlign w:val="subscript"/>
              </w:rPr>
              <w:t>净调入电力和热力</w:t>
            </w:r>
            <w:r>
              <w:rPr>
                <w:color w:val="auto"/>
                <w:sz w:val="21"/>
                <w:szCs w:val="21"/>
                <w:highlight w:val="none"/>
              </w:rPr>
              <w:tab/>
            </w:r>
            <w:r>
              <w:rPr>
                <w:color w:val="auto"/>
                <w:position w:val="2"/>
                <w:sz w:val="21"/>
                <w:szCs w:val="21"/>
                <w:highlight w:val="none"/>
              </w:rPr>
              <w:t>（1）</w:t>
            </w:r>
          </w:p>
          <w:p>
            <w:pPr>
              <w:pStyle w:val="2"/>
              <w:spacing w:line="360" w:lineRule="auto"/>
              <w:ind w:firstLine="420" w:firstLineChars="200"/>
              <w:rPr>
                <w:rFonts w:ascii="Times New Roman" w:hAnsi="Times New Roman" w:eastAsia="宋体"/>
                <w:color w:val="auto"/>
                <w:kern w:val="0"/>
                <w:sz w:val="21"/>
                <w:szCs w:val="21"/>
                <w:highlight w:val="none"/>
              </w:rPr>
            </w:pPr>
            <w:r>
              <w:rPr>
                <w:rFonts w:ascii="Times New Roman" w:hAnsi="Times New Roman" w:eastAsia="宋体"/>
                <w:color w:val="auto"/>
                <w:sz w:val="21"/>
                <w:szCs w:val="21"/>
                <w:highlight w:val="none"/>
              </w:rPr>
              <w:t>式中：</w:t>
            </w:r>
          </w:p>
          <w:p>
            <w:pPr>
              <w:pStyle w:val="2"/>
              <w:spacing w:line="360" w:lineRule="auto"/>
              <w:ind w:firstLine="416" w:firstLineChars="200"/>
              <w:rPr>
                <w:rFonts w:ascii="Times New Roman" w:hAnsi="Times New Roman" w:eastAsia="宋体"/>
                <w:color w:val="auto"/>
                <w:sz w:val="21"/>
                <w:szCs w:val="21"/>
                <w:highlight w:val="none"/>
              </w:rPr>
            </w:pPr>
            <w:r>
              <w:rPr>
                <w:rFonts w:ascii="Times New Roman" w:hAnsi="Times New Roman" w:eastAsia="宋体"/>
                <w:color w:val="auto"/>
                <w:spacing w:val="-1"/>
                <w:position w:val="2"/>
                <w:sz w:val="21"/>
                <w:szCs w:val="21"/>
                <w:highlight w:val="none"/>
              </w:rPr>
              <w:t>A</w:t>
            </w:r>
            <w:r>
              <w:rPr>
                <w:rFonts w:ascii="Times New Roman" w:hAnsi="Times New Roman" w:eastAsia="宋体"/>
                <w:color w:val="auto"/>
                <w:position w:val="2"/>
                <w:sz w:val="21"/>
                <w:szCs w:val="21"/>
                <w:highlight w:val="none"/>
              </w:rPr>
              <w:t>E</w:t>
            </w:r>
            <w:r>
              <w:rPr>
                <w:rFonts w:ascii="Times New Roman" w:hAnsi="Times New Roman" w:eastAsia="宋体"/>
                <w:color w:val="auto"/>
                <w:spacing w:val="-1"/>
                <w:sz w:val="21"/>
                <w:szCs w:val="21"/>
                <w:highlight w:val="none"/>
                <w:vertAlign w:val="subscript"/>
              </w:rPr>
              <w:t>总</w:t>
            </w:r>
            <w:r>
              <w:rPr>
                <w:rFonts w:ascii="Times New Roman" w:hAnsi="Times New Roman" w:eastAsia="宋体"/>
                <w:color w:val="auto"/>
                <w:position w:val="2"/>
                <w:sz w:val="21"/>
                <w:szCs w:val="21"/>
                <w:highlight w:val="none"/>
              </w:rPr>
              <w:t>——碳排放总量（</w:t>
            </w:r>
            <w:r>
              <w:rPr>
                <w:rFonts w:ascii="Times New Roman" w:hAnsi="Times New Roman" w:eastAsia="宋体"/>
                <w:color w:val="auto"/>
                <w:spacing w:val="1"/>
                <w:position w:val="2"/>
                <w:sz w:val="21"/>
                <w:szCs w:val="21"/>
                <w:highlight w:val="none"/>
              </w:rPr>
              <w:t>t</w:t>
            </w:r>
            <w:r>
              <w:rPr>
                <w:rFonts w:ascii="Times New Roman" w:hAnsi="Times New Roman" w:eastAsia="宋体"/>
                <w:color w:val="auto"/>
                <w:position w:val="2"/>
                <w:sz w:val="21"/>
                <w:szCs w:val="21"/>
                <w:highlight w:val="none"/>
              </w:rPr>
              <w: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pacing w:val="-2"/>
                <w:sz w:val="21"/>
                <w:szCs w:val="21"/>
                <w:highlight w:val="none"/>
                <w:vertAlign w:val="subscript"/>
              </w:rPr>
              <w:t>e</w:t>
            </w:r>
            <w:r>
              <w:rPr>
                <w:rFonts w:ascii="Times New Roman" w:hAnsi="Times New Roman" w:eastAsia="宋体"/>
                <w:color w:val="auto"/>
                <w:spacing w:val="-120"/>
                <w:position w:val="2"/>
                <w:sz w:val="21"/>
                <w:szCs w:val="21"/>
                <w:highlight w:val="none"/>
              </w:rPr>
              <w:t>）</w:t>
            </w:r>
          </w:p>
          <w:p>
            <w:pPr>
              <w:spacing w:line="360" w:lineRule="auto"/>
              <w:ind w:firstLine="416" w:firstLineChars="200"/>
              <w:rPr>
                <w:color w:val="auto"/>
                <w:sz w:val="21"/>
                <w:szCs w:val="21"/>
                <w:highlight w:val="none"/>
              </w:rPr>
            </w:pPr>
            <w:r>
              <w:rPr>
                <w:color w:val="auto"/>
                <w:spacing w:val="-1"/>
                <w:position w:val="2"/>
                <w:sz w:val="21"/>
                <w:szCs w:val="21"/>
                <w:highlight w:val="none"/>
              </w:rPr>
              <w:t>A</w:t>
            </w:r>
            <w:r>
              <w:rPr>
                <w:color w:val="auto"/>
                <w:position w:val="2"/>
                <w:sz w:val="21"/>
                <w:szCs w:val="21"/>
                <w:highlight w:val="none"/>
              </w:rPr>
              <w:t>E</w:t>
            </w:r>
            <w:r>
              <w:rPr>
                <w:color w:val="auto"/>
                <w:spacing w:val="-1"/>
                <w:sz w:val="21"/>
                <w:szCs w:val="21"/>
                <w:highlight w:val="none"/>
                <w:vertAlign w:val="subscript"/>
              </w:rPr>
              <w:t>燃料燃烧</w:t>
            </w:r>
            <w:r>
              <w:rPr>
                <w:color w:val="auto"/>
                <w:position w:val="2"/>
                <w:sz w:val="21"/>
                <w:szCs w:val="21"/>
                <w:highlight w:val="none"/>
              </w:rPr>
              <w:t>——燃料燃烧碳排放量（tC</w:t>
            </w:r>
            <w:r>
              <w:rPr>
                <w:color w:val="auto"/>
                <w:spacing w:val="-1"/>
                <w:position w:val="2"/>
                <w:sz w:val="21"/>
                <w:szCs w:val="21"/>
                <w:highlight w:val="none"/>
              </w:rPr>
              <w:t>O</w:t>
            </w:r>
            <w:r>
              <w:rPr>
                <w:color w:val="auto"/>
                <w:spacing w:val="1"/>
                <w:sz w:val="21"/>
                <w:szCs w:val="21"/>
                <w:highlight w:val="none"/>
                <w:vertAlign w:val="subscript"/>
              </w:rPr>
              <w:t>2</w:t>
            </w:r>
            <w:r>
              <w:rPr>
                <w:color w:val="auto"/>
                <w:spacing w:val="-2"/>
                <w:sz w:val="21"/>
                <w:szCs w:val="21"/>
                <w:highlight w:val="none"/>
                <w:vertAlign w:val="subscript"/>
              </w:rPr>
              <w:t>e</w:t>
            </w:r>
            <w:r>
              <w:rPr>
                <w:color w:val="auto"/>
                <w:spacing w:val="-120"/>
                <w:position w:val="2"/>
                <w:sz w:val="21"/>
                <w:szCs w:val="21"/>
                <w:highlight w:val="none"/>
              </w:rPr>
              <w:t>）</w:t>
            </w:r>
          </w:p>
          <w:p>
            <w:pPr>
              <w:spacing w:line="360" w:lineRule="auto"/>
              <w:ind w:firstLine="416" w:firstLineChars="200"/>
              <w:rPr>
                <w:color w:val="auto"/>
                <w:sz w:val="21"/>
                <w:szCs w:val="21"/>
                <w:highlight w:val="none"/>
              </w:rPr>
            </w:pPr>
            <w:r>
              <w:rPr>
                <w:color w:val="auto"/>
                <w:spacing w:val="-1"/>
                <w:position w:val="2"/>
                <w:sz w:val="21"/>
                <w:szCs w:val="21"/>
                <w:highlight w:val="none"/>
              </w:rPr>
              <w:t>A</w:t>
            </w:r>
            <w:r>
              <w:rPr>
                <w:color w:val="auto"/>
                <w:position w:val="2"/>
                <w:sz w:val="21"/>
                <w:szCs w:val="21"/>
                <w:highlight w:val="none"/>
              </w:rPr>
              <w:t>E</w:t>
            </w:r>
            <w:r>
              <w:rPr>
                <w:color w:val="auto"/>
                <w:spacing w:val="-1"/>
                <w:sz w:val="21"/>
                <w:szCs w:val="21"/>
                <w:highlight w:val="none"/>
                <w:vertAlign w:val="subscript"/>
              </w:rPr>
              <w:t>工业生产过程</w:t>
            </w:r>
            <w:r>
              <w:rPr>
                <w:color w:val="auto"/>
                <w:position w:val="2"/>
                <w:sz w:val="21"/>
                <w:szCs w:val="21"/>
                <w:highlight w:val="none"/>
              </w:rPr>
              <w:t>——工业生产过程碳排放量（tC</w:t>
            </w:r>
            <w:r>
              <w:rPr>
                <w:color w:val="auto"/>
                <w:spacing w:val="-1"/>
                <w:position w:val="2"/>
                <w:sz w:val="21"/>
                <w:szCs w:val="21"/>
                <w:highlight w:val="none"/>
              </w:rPr>
              <w:t>O</w:t>
            </w:r>
            <w:r>
              <w:rPr>
                <w:color w:val="auto"/>
                <w:spacing w:val="-2"/>
                <w:sz w:val="21"/>
                <w:szCs w:val="21"/>
                <w:highlight w:val="none"/>
                <w:vertAlign w:val="subscript"/>
              </w:rPr>
              <w:t>2e</w:t>
            </w:r>
            <w:r>
              <w:rPr>
                <w:color w:val="auto"/>
                <w:spacing w:val="-120"/>
                <w:position w:val="2"/>
                <w:sz w:val="21"/>
                <w:szCs w:val="21"/>
                <w:highlight w:val="none"/>
              </w:rPr>
              <w:t>）</w:t>
            </w:r>
          </w:p>
          <w:p>
            <w:pPr>
              <w:spacing w:line="360" w:lineRule="auto"/>
              <w:ind w:firstLine="416" w:firstLineChars="200"/>
              <w:rPr>
                <w:color w:val="auto"/>
                <w:sz w:val="21"/>
                <w:szCs w:val="21"/>
                <w:highlight w:val="none"/>
              </w:rPr>
            </w:pPr>
            <w:r>
              <w:rPr>
                <w:color w:val="auto"/>
                <w:spacing w:val="-1"/>
                <w:position w:val="2"/>
                <w:sz w:val="21"/>
                <w:szCs w:val="21"/>
                <w:highlight w:val="none"/>
              </w:rPr>
              <w:t>A</w:t>
            </w:r>
            <w:r>
              <w:rPr>
                <w:color w:val="auto"/>
                <w:position w:val="2"/>
                <w:sz w:val="21"/>
                <w:szCs w:val="21"/>
                <w:highlight w:val="none"/>
              </w:rPr>
              <w:t>E</w:t>
            </w:r>
            <w:r>
              <w:rPr>
                <w:color w:val="auto"/>
                <w:spacing w:val="-1"/>
                <w:sz w:val="21"/>
                <w:szCs w:val="21"/>
                <w:highlight w:val="none"/>
                <w:vertAlign w:val="subscript"/>
              </w:rPr>
              <w:t>净调入电力和热力</w:t>
            </w:r>
            <w:r>
              <w:rPr>
                <w:color w:val="auto"/>
                <w:position w:val="2"/>
                <w:sz w:val="21"/>
                <w:szCs w:val="21"/>
                <w:highlight w:val="none"/>
              </w:rPr>
              <w:t>——净调入电力和热力消耗碳排放总量（tC</w:t>
            </w:r>
            <w:r>
              <w:rPr>
                <w:color w:val="auto"/>
                <w:spacing w:val="-1"/>
                <w:position w:val="2"/>
                <w:sz w:val="21"/>
                <w:szCs w:val="21"/>
                <w:highlight w:val="none"/>
              </w:rPr>
              <w:t>O</w:t>
            </w:r>
            <w:r>
              <w:rPr>
                <w:color w:val="auto"/>
                <w:spacing w:val="1"/>
                <w:sz w:val="21"/>
                <w:szCs w:val="21"/>
                <w:highlight w:val="none"/>
                <w:vertAlign w:val="subscript"/>
              </w:rPr>
              <w:t>2</w:t>
            </w:r>
            <w:r>
              <w:rPr>
                <w:color w:val="auto"/>
                <w:spacing w:val="-2"/>
                <w:sz w:val="21"/>
                <w:szCs w:val="21"/>
                <w:highlight w:val="none"/>
                <w:vertAlign w:val="subscript"/>
              </w:rPr>
              <w:t>e</w:t>
            </w:r>
            <w:r>
              <w:rPr>
                <w:color w:val="auto"/>
                <w:spacing w:val="-120"/>
                <w:position w:val="2"/>
                <w:sz w:val="21"/>
                <w:szCs w:val="21"/>
                <w:highlight w:val="none"/>
              </w:rPr>
              <w:t>）</w:t>
            </w:r>
          </w:p>
          <w:p>
            <w:pPr>
              <w:pStyle w:val="2"/>
              <w:spacing w:line="360" w:lineRule="auto"/>
              <w:ind w:firstLine="408" w:firstLineChars="200"/>
              <w:rPr>
                <w:rFonts w:ascii="Times New Roman" w:hAnsi="Times New Roman" w:eastAsia="宋体"/>
                <w:color w:val="auto"/>
                <w:sz w:val="21"/>
                <w:szCs w:val="21"/>
                <w:highlight w:val="none"/>
              </w:rPr>
            </w:pPr>
            <w:r>
              <w:rPr>
                <w:rFonts w:ascii="Times New Roman" w:hAnsi="Times New Roman" w:eastAsia="宋体"/>
                <w:color w:val="auto"/>
                <w:spacing w:val="-3"/>
                <w:position w:val="2"/>
                <w:sz w:val="21"/>
                <w:szCs w:val="21"/>
                <w:highlight w:val="none"/>
              </w:rPr>
              <w:t>根据燃料用于电力生产还是用于其他工业生产情况不同，燃料燃烧排放量</w:t>
            </w:r>
            <w:r>
              <w:rPr>
                <w:rFonts w:ascii="Times New Roman" w:hAnsi="Times New Roman" w:eastAsia="宋体"/>
                <w:color w:val="auto"/>
                <w:position w:val="2"/>
                <w:sz w:val="21"/>
                <w:szCs w:val="21"/>
                <w:highlight w:val="none"/>
              </w:rPr>
              <w:t>（AE</w:t>
            </w:r>
            <w:r>
              <w:rPr>
                <w:rFonts w:ascii="Times New Roman" w:hAnsi="Times New Roman" w:eastAsia="宋体"/>
                <w:color w:val="auto"/>
                <w:sz w:val="21"/>
                <w:szCs w:val="21"/>
                <w:highlight w:val="none"/>
                <w:vertAlign w:val="subscript"/>
              </w:rPr>
              <w:t>燃料燃烧</w:t>
            </w:r>
            <w:r>
              <w:rPr>
                <w:rFonts w:ascii="Times New Roman" w:hAnsi="Times New Roman" w:eastAsia="宋体"/>
                <w:color w:val="auto"/>
                <w:spacing w:val="-34"/>
                <w:position w:val="2"/>
                <w:sz w:val="21"/>
                <w:szCs w:val="21"/>
                <w:highlight w:val="none"/>
              </w:rPr>
              <w:t>）</w:t>
            </w:r>
            <w:r>
              <w:rPr>
                <w:rFonts w:ascii="Times New Roman" w:hAnsi="Times New Roman" w:eastAsia="宋体"/>
                <w:color w:val="auto"/>
                <w:spacing w:val="-6"/>
                <w:position w:val="2"/>
                <w:sz w:val="21"/>
                <w:szCs w:val="21"/>
                <w:highlight w:val="none"/>
              </w:rPr>
              <w:t>计算</w:t>
            </w:r>
            <w:r>
              <w:rPr>
                <w:rFonts w:ascii="Times New Roman" w:hAnsi="Times New Roman" w:eastAsia="宋体"/>
                <w:color w:val="auto"/>
                <w:sz w:val="21"/>
                <w:szCs w:val="21"/>
                <w:highlight w:val="none"/>
              </w:rPr>
              <w:t>方法不同，具体见公式（2</w:t>
            </w:r>
            <w:r>
              <w:rPr>
                <w:rFonts w:ascii="Times New Roman" w:hAnsi="Times New Roman" w:eastAsia="宋体"/>
                <w:color w:val="auto"/>
                <w:spacing w:val="-120"/>
                <w:sz w:val="21"/>
                <w:szCs w:val="21"/>
                <w:highlight w:val="none"/>
              </w:rPr>
              <w:t>）</w:t>
            </w:r>
          </w:p>
          <w:p>
            <w:pPr>
              <w:spacing w:line="360" w:lineRule="auto"/>
              <w:ind w:firstLine="420" w:firstLineChars="200"/>
              <w:jc w:val="center"/>
              <w:rPr>
                <w:color w:val="auto"/>
                <w:sz w:val="21"/>
                <w:szCs w:val="21"/>
                <w:highlight w:val="none"/>
              </w:rPr>
            </w:pPr>
            <w:r>
              <w:rPr>
                <w:color w:val="auto"/>
                <w:position w:val="2"/>
                <w:sz w:val="21"/>
                <w:szCs w:val="21"/>
                <w:highlight w:val="none"/>
              </w:rPr>
              <w:t>AE</w:t>
            </w:r>
            <w:r>
              <w:rPr>
                <w:color w:val="auto"/>
                <w:sz w:val="21"/>
                <w:szCs w:val="21"/>
                <w:highlight w:val="none"/>
                <w:vertAlign w:val="subscript"/>
              </w:rPr>
              <w:t>燃料燃烧</w:t>
            </w:r>
            <w:r>
              <w:rPr>
                <w:color w:val="auto"/>
                <w:position w:val="2"/>
                <w:sz w:val="21"/>
                <w:szCs w:val="21"/>
                <w:highlight w:val="none"/>
              </w:rPr>
              <w:t>=AE</w:t>
            </w:r>
            <w:r>
              <w:rPr>
                <w:color w:val="auto"/>
                <w:sz w:val="21"/>
                <w:szCs w:val="21"/>
                <w:highlight w:val="none"/>
                <w:vertAlign w:val="subscript"/>
              </w:rPr>
              <w:t>电燃</w:t>
            </w:r>
            <w:r>
              <w:rPr>
                <w:color w:val="auto"/>
                <w:position w:val="2"/>
                <w:sz w:val="21"/>
                <w:szCs w:val="21"/>
                <w:highlight w:val="none"/>
              </w:rPr>
              <w:t>+AE</w:t>
            </w:r>
            <w:r>
              <w:rPr>
                <w:color w:val="auto"/>
                <w:sz w:val="21"/>
                <w:szCs w:val="21"/>
                <w:highlight w:val="none"/>
                <w:vertAlign w:val="subscript"/>
              </w:rPr>
              <w:t>工燃</w:t>
            </w:r>
            <w:r>
              <w:rPr>
                <w:color w:val="auto"/>
                <w:sz w:val="21"/>
                <w:szCs w:val="21"/>
                <w:highlight w:val="none"/>
              </w:rPr>
              <w:tab/>
            </w:r>
            <w:r>
              <w:rPr>
                <w:color w:val="auto"/>
                <w:position w:val="2"/>
                <w:sz w:val="21"/>
                <w:szCs w:val="21"/>
                <w:highlight w:val="none"/>
              </w:rPr>
              <w:t>（2）</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式中：</w:t>
            </w:r>
          </w:p>
          <w:p>
            <w:pPr>
              <w:pStyle w:val="2"/>
              <w:spacing w:line="360" w:lineRule="auto"/>
              <w:ind w:firstLine="416" w:firstLineChars="200"/>
              <w:rPr>
                <w:rFonts w:ascii="Times New Roman" w:hAnsi="Times New Roman" w:eastAsia="宋体"/>
                <w:color w:val="auto"/>
                <w:sz w:val="21"/>
                <w:szCs w:val="21"/>
                <w:highlight w:val="none"/>
              </w:rPr>
            </w:pPr>
            <w:r>
              <w:rPr>
                <w:rFonts w:ascii="Times New Roman" w:hAnsi="Times New Roman" w:eastAsia="宋体"/>
                <w:color w:val="auto"/>
                <w:spacing w:val="-1"/>
                <w:position w:val="2"/>
                <w:sz w:val="21"/>
                <w:szCs w:val="21"/>
                <w:highlight w:val="none"/>
              </w:rPr>
              <w:t>A</w:t>
            </w:r>
            <w:r>
              <w:rPr>
                <w:rFonts w:ascii="Times New Roman" w:hAnsi="Times New Roman" w:eastAsia="宋体"/>
                <w:color w:val="auto"/>
                <w:position w:val="2"/>
                <w:sz w:val="21"/>
                <w:szCs w:val="21"/>
                <w:highlight w:val="none"/>
              </w:rPr>
              <w:t>E</w:t>
            </w:r>
            <w:r>
              <w:rPr>
                <w:rFonts w:ascii="Times New Roman" w:hAnsi="Times New Roman" w:eastAsia="宋体"/>
                <w:color w:val="auto"/>
                <w:spacing w:val="-1"/>
                <w:sz w:val="21"/>
                <w:szCs w:val="21"/>
                <w:highlight w:val="none"/>
                <w:vertAlign w:val="subscript"/>
              </w:rPr>
              <w:t>电燃</w:t>
            </w:r>
            <w:r>
              <w:rPr>
                <w:rFonts w:ascii="Times New Roman" w:hAnsi="Times New Roman" w:eastAsia="宋体"/>
                <w:color w:val="auto"/>
                <w:position w:val="2"/>
                <w:sz w:val="21"/>
                <w:szCs w:val="21"/>
                <w:highlight w:val="none"/>
              </w:rPr>
              <w:t>——电力生产燃料燃烧排放量（tC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pacing w:val="-2"/>
                <w:sz w:val="21"/>
                <w:szCs w:val="21"/>
                <w:highlight w:val="none"/>
                <w:vertAlign w:val="subscript"/>
              </w:rPr>
              <w:t>e</w:t>
            </w:r>
            <w:r>
              <w:rPr>
                <w:rFonts w:ascii="Times New Roman" w:hAnsi="Times New Roman" w:eastAsia="宋体"/>
                <w:color w:val="auto"/>
                <w:spacing w:val="-120"/>
                <w:position w:val="2"/>
                <w:sz w:val="21"/>
                <w:szCs w:val="21"/>
                <w:highlight w:val="none"/>
              </w:rPr>
              <w:t>）</w:t>
            </w:r>
          </w:p>
          <w:p>
            <w:pPr>
              <w:pStyle w:val="2"/>
              <w:spacing w:line="360" w:lineRule="auto"/>
              <w:ind w:firstLine="416" w:firstLineChars="200"/>
              <w:rPr>
                <w:rFonts w:ascii="Times New Roman" w:hAnsi="Times New Roman" w:eastAsia="宋体"/>
                <w:color w:val="auto"/>
                <w:kern w:val="0"/>
                <w:sz w:val="21"/>
                <w:szCs w:val="21"/>
                <w:highlight w:val="none"/>
              </w:rPr>
            </w:pPr>
            <w:r>
              <w:rPr>
                <w:rFonts w:ascii="Times New Roman" w:hAnsi="Times New Roman" w:eastAsia="宋体"/>
                <w:color w:val="auto"/>
                <w:spacing w:val="-1"/>
                <w:position w:val="2"/>
                <w:sz w:val="21"/>
                <w:szCs w:val="21"/>
                <w:highlight w:val="none"/>
              </w:rPr>
              <w:t>A</w:t>
            </w:r>
            <w:r>
              <w:rPr>
                <w:rFonts w:ascii="Times New Roman" w:hAnsi="Times New Roman" w:eastAsia="宋体"/>
                <w:color w:val="auto"/>
                <w:position w:val="2"/>
                <w:sz w:val="21"/>
                <w:szCs w:val="21"/>
                <w:highlight w:val="none"/>
              </w:rPr>
              <w:t>E</w:t>
            </w:r>
            <w:r>
              <w:rPr>
                <w:rFonts w:ascii="Times New Roman" w:hAnsi="Times New Roman" w:eastAsia="宋体"/>
                <w:color w:val="auto"/>
                <w:spacing w:val="-1"/>
                <w:sz w:val="21"/>
                <w:szCs w:val="21"/>
                <w:highlight w:val="none"/>
                <w:vertAlign w:val="subscript"/>
              </w:rPr>
              <w:t>工燃</w:t>
            </w:r>
            <w:r>
              <w:rPr>
                <w:rFonts w:ascii="Times New Roman" w:hAnsi="Times New Roman" w:eastAsia="宋体"/>
                <w:color w:val="auto"/>
                <w:position w:val="2"/>
                <w:sz w:val="21"/>
                <w:szCs w:val="21"/>
                <w:highlight w:val="none"/>
              </w:rPr>
              <w:t>——工业生产燃料燃烧排放量（tC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pacing w:val="-2"/>
                <w:sz w:val="21"/>
                <w:szCs w:val="21"/>
                <w:highlight w:val="none"/>
                <w:vertAlign w:val="subscript"/>
              </w:rPr>
              <w:t>e</w:t>
            </w:r>
            <w:r>
              <w:rPr>
                <w:rFonts w:ascii="Times New Roman" w:hAnsi="Times New Roman" w:eastAsia="宋体"/>
                <w:color w:val="auto"/>
                <w:spacing w:val="-120"/>
                <w:position w:val="2"/>
                <w:sz w:val="21"/>
                <w:szCs w:val="21"/>
                <w:highlight w:val="none"/>
              </w:rPr>
              <w:t>）</w:t>
            </w:r>
          </w:p>
          <w:p>
            <w:pPr>
              <w:pStyle w:val="2"/>
              <w:spacing w:line="360" w:lineRule="auto"/>
              <w:ind w:firstLine="416" w:firstLineChars="200"/>
              <w:rPr>
                <w:rFonts w:ascii="Times New Roman" w:hAnsi="Times New Roman" w:eastAsia="宋体"/>
                <w:color w:val="auto"/>
                <w:sz w:val="21"/>
                <w:szCs w:val="21"/>
                <w:highlight w:val="none"/>
              </w:rPr>
            </w:pPr>
            <w:r>
              <w:rPr>
                <w:rFonts w:ascii="Times New Roman" w:hAnsi="Times New Roman" w:eastAsia="宋体"/>
                <w:color w:val="auto"/>
                <w:spacing w:val="-1"/>
                <w:position w:val="2"/>
                <w:sz w:val="21"/>
                <w:szCs w:val="21"/>
                <w:highlight w:val="none"/>
              </w:rPr>
              <w:t>建设项目用于电力生产的燃料燃烧产生的排放量</w:t>
            </w:r>
            <w:r>
              <w:rPr>
                <w:rFonts w:ascii="Times New Roman" w:hAnsi="Times New Roman" w:eastAsia="宋体"/>
                <w:color w:val="auto"/>
                <w:spacing w:val="1"/>
                <w:position w:val="2"/>
                <w:sz w:val="21"/>
                <w:szCs w:val="21"/>
                <w:highlight w:val="none"/>
              </w:rPr>
              <w:t>（</w:t>
            </w:r>
            <w:r>
              <w:rPr>
                <w:rFonts w:ascii="Times New Roman" w:hAnsi="Times New Roman" w:eastAsia="宋体"/>
                <w:color w:val="auto"/>
                <w:spacing w:val="-1"/>
                <w:position w:val="2"/>
                <w:sz w:val="21"/>
                <w:szCs w:val="21"/>
                <w:highlight w:val="none"/>
              </w:rPr>
              <w:t>A</w:t>
            </w:r>
            <w:r>
              <w:rPr>
                <w:rFonts w:ascii="Times New Roman" w:hAnsi="Times New Roman" w:eastAsia="宋体"/>
                <w:color w:val="auto"/>
                <w:position w:val="2"/>
                <w:sz w:val="21"/>
                <w:szCs w:val="21"/>
                <w:highlight w:val="none"/>
              </w:rPr>
              <w:t>E</w:t>
            </w:r>
            <w:r>
              <w:rPr>
                <w:rFonts w:ascii="Times New Roman" w:hAnsi="Times New Roman" w:eastAsia="宋体"/>
                <w:color w:val="auto"/>
                <w:sz w:val="21"/>
                <w:szCs w:val="21"/>
                <w:highlight w:val="none"/>
                <w:vertAlign w:val="subscript"/>
              </w:rPr>
              <w:t>电燃</w:t>
            </w:r>
            <w:r>
              <w:rPr>
                <w:rFonts w:ascii="Times New Roman" w:hAnsi="Times New Roman" w:eastAsia="宋体"/>
                <w:color w:val="auto"/>
                <w:position w:val="2"/>
                <w:sz w:val="21"/>
                <w:szCs w:val="21"/>
                <w:highlight w:val="none"/>
              </w:rPr>
              <w:t>）计算方法见公式（3</w:t>
            </w:r>
            <w:r>
              <w:rPr>
                <w:rFonts w:ascii="Times New Roman" w:hAnsi="Times New Roman" w:eastAsia="宋体"/>
                <w:color w:val="auto"/>
                <w:spacing w:val="-120"/>
                <w:position w:val="2"/>
                <w:sz w:val="21"/>
                <w:szCs w:val="21"/>
                <w:highlight w:val="none"/>
              </w:rPr>
              <w:t>）</w:t>
            </w:r>
          </w:p>
          <w:p>
            <w:pPr>
              <w:spacing w:line="360" w:lineRule="auto"/>
              <w:ind w:firstLine="420" w:firstLineChars="200"/>
              <w:jc w:val="center"/>
              <w:rPr>
                <w:color w:val="auto"/>
                <w:sz w:val="21"/>
                <w:szCs w:val="21"/>
                <w:highlight w:val="none"/>
              </w:rPr>
            </w:pPr>
            <w:r>
              <w:rPr>
                <w:color w:val="auto"/>
                <w:position w:val="2"/>
                <w:sz w:val="21"/>
                <w:szCs w:val="21"/>
                <w:highlight w:val="none"/>
              </w:rPr>
              <w:t>AE</w:t>
            </w:r>
            <w:r>
              <w:rPr>
                <w:color w:val="auto"/>
                <w:sz w:val="21"/>
                <w:szCs w:val="21"/>
                <w:highlight w:val="none"/>
                <w:vertAlign w:val="subscript"/>
              </w:rPr>
              <w:t>电燃</w:t>
            </w:r>
            <w:r>
              <w:rPr>
                <w:color w:val="auto"/>
                <w:position w:val="2"/>
                <w:sz w:val="21"/>
                <w:szCs w:val="21"/>
                <w:highlight w:val="none"/>
              </w:rPr>
              <w:t>=∑（AD</w:t>
            </w:r>
            <w:r>
              <w:rPr>
                <w:color w:val="auto"/>
                <w:sz w:val="21"/>
                <w:szCs w:val="21"/>
                <w:highlight w:val="none"/>
              </w:rPr>
              <w:t>i</w:t>
            </w:r>
            <w:r>
              <w:rPr>
                <w:color w:val="auto"/>
                <w:sz w:val="21"/>
                <w:szCs w:val="21"/>
                <w:highlight w:val="none"/>
                <w:vertAlign w:val="subscript"/>
              </w:rPr>
              <w:t>燃料</w:t>
            </w:r>
            <w:r>
              <w:rPr>
                <w:color w:val="auto"/>
                <w:position w:val="2"/>
                <w:sz w:val="21"/>
                <w:szCs w:val="21"/>
                <w:highlight w:val="none"/>
              </w:rPr>
              <w:t>*EF</w:t>
            </w:r>
            <w:r>
              <w:rPr>
                <w:color w:val="auto"/>
                <w:sz w:val="21"/>
                <w:szCs w:val="21"/>
                <w:highlight w:val="none"/>
              </w:rPr>
              <w:t>i</w:t>
            </w:r>
            <w:r>
              <w:rPr>
                <w:color w:val="auto"/>
                <w:sz w:val="21"/>
                <w:szCs w:val="21"/>
                <w:highlight w:val="none"/>
                <w:vertAlign w:val="subscript"/>
              </w:rPr>
              <w:t>燃料</w:t>
            </w:r>
            <w:r>
              <w:rPr>
                <w:color w:val="auto"/>
                <w:position w:val="2"/>
                <w:sz w:val="21"/>
                <w:szCs w:val="21"/>
                <w:highlight w:val="none"/>
              </w:rPr>
              <w:t>+AD</w:t>
            </w:r>
            <w:r>
              <w:rPr>
                <w:color w:val="auto"/>
                <w:sz w:val="21"/>
                <w:szCs w:val="21"/>
                <w:highlight w:val="none"/>
              </w:rPr>
              <w:t>i</w:t>
            </w:r>
            <w:r>
              <w:rPr>
                <w:color w:val="auto"/>
                <w:sz w:val="21"/>
                <w:szCs w:val="21"/>
                <w:highlight w:val="none"/>
                <w:vertAlign w:val="subscript"/>
              </w:rPr>
              <w:t>燃料</w:t>
            </w:r>
            <w:r>
              <w:rPr>
                <w:color w:val="auto"/>
                <w:position w:val="2"/>
                <w:sz w:val="21"/>
                <w:szCs w:val="21"/>
                <w:highlight w:val="none"/>
              </w:rPr>
              <w:t>*EF</w:t>
            </w:r>
            <w:r>
              <w:rPr>
                <w:color w:val="auto"/>
                <w:spacing w:val="-1"/>
                <w:position w:val="2"/>
                <w:sz w:val="21"/>
                <w:szCs w:val="21"/>
                <w:highlight w:val="none"/>
              </w:rPr>
              <w:t>＇</w:t>
            </w:r>
            <w:r>
              <w:rPr>
                <w:color w:val="auto"/>
                <w:sz w:val="21"/>
                <w:szCs w:val="21"/>
                <w:highlight w:val="none"/>
                <w:vertAlign w:val="subscript"/>
              </w:rPr>
              <w:t>i燃料</w:t>
            </w:r>
            <w:r>
              <w:rPr>
                <w:color w:val="auto"/>
                <w:position w:val="2"/>
                <w:sz w:val="21"/>
                <w:szCs w:val="21"/>
                <w:highlight w:val="none"/>
              </w:rPr>
              <w:t>*GWP</w:t>
            </w:r>
            <w:r>
              <w:rPr>
                <w:color w:val="auto"/>
                <w:sz w:val="21"/>
                <w:szCs w:val="21"/>
                <w:highlight w:val="none"/>
                <w:vertAlign w:val="subscript"/>
              </w:rPr>
              <w:t>N2O</w:t>
            </w:r>
            <w:r>
              <w:rPr>
                <w:color w:val="auto"/>
                <w:position w:val="2"/>
                <w:sz w:val="21"/>
                <w:szCs w:val="21"/>
                <w:highlight w:val="none"/>
              </w:rPr>
              <w:t>）</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式中：</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i——燃料种类；</w:t>
            </w:r>
          </w:p>
          <w:p>
            <w:pPr>
              <w:pStyle w:val="2"/>
              <w:spacing w:line="360" w:lineRule="auto"/>
              <w:ind w:firstLine="416" w:firstLineChars="200"/>
              <w:rPr>
                <w:rFonts w:ascii="Times New Roman" w:hAnsi="Times New Roman" w:eastAsia="宋体"/>
                <w:color w:val="auto"/>
                <w:sz w:val="21"/>
                <w:szCs w:val="21"/>
                <w:highlight w:val="none"/>
              </w:rPr>
            </w:pPr>
            <w:r>
              <w:rPr>
                <w:rFonts w:ascii="Times New Roman" w:hAnsi="Times New Roman" w:eastAsia="宋体"/>
                <w:color w:val="auto"/>
                <w:spacing w:val="-1"/>
                <w:position w:val="2"/>
                <w:sz w:val="21"/>
                <w:szCs w:val="21"/>
                <w:highlight w:val="none"/>
              </w:rPr>
              <w:t>AD</w:t>
            </w:r>
            <w:r>
              <w:rPr>
                <w:rFonts w:ascii="Times New Roman" w:hAnsi="Times New Roman" w:eastAsia="宋体"/>
                <w:color w:val="auto"/>
                <w:sz w:val="21"/>
                <w:szCs w:val="21"/>
                <w:highlight w:val="none"/>
              </w:rPr>
              <w:t>i</w:t>
            </w:r>
            <w:r>
              <w:rPr>
                <w:rFonts w:ascii="Times New Roman" w:hAnsi="Times New Roman" w:eastAsia="宋体"/>
                <w:color w:val="auto"/>
                <w:spacing w:val="-1"/>
                <w:sz w:val="21"/>
                <w:szCs w:val="21"/>
                <w:highlight w:val="none"/>
                <w:vertAlign w:val="subscript"/>
              </w:rPr>
              <w:t>燃料</w:t>
            </w:r>
            <w:r>
              <w:rPr>
                <w:rFonts w:ascii="Times New Roman" w:hAnsi="Times New Roman" w:eastAsia="宋体"/>
                <w:color w:val="auto"/>
                <w:position w:val="2"/>
                <w:sz w:val="21"/>
                <w:szCs w:val="21"/>
                <w:highlight w:val="none"/>
              </w:rPr>
              <w:t>——i</w:t>
            </w:r>
            <w:r>
              <w:rPr>
                <w:rFonts w:ascii="Times New Roman" w:hAnsi="Times New Roman" w:eastAsia="宋体"/>
                <w:color w:val="auto"/>
                <w:spacing w:val="-1"/>
                <w:position w:val="2"/>
                <w:sz w:val="21"/>
                <w:szCs w:val="21"/>
                <w:highlight w:val="none"/>
              </w:rPr>
              <w:t>燃料燃烧消耗量</w:t>
            </w:r>
            <w:r>
              <w:rPr>
                <w:rFonts w:ascii="Times New Roman" w:hAnsi="Times New Roman" w:eastAsia="宋体"/>
                <w:color w:val="auto"/>
                <w:position w:val="2"/>
                <w:sz w:val="21"/>
                <w:szCs w:val="21"/>
                <w:highlight w:val="none"/>
              </w:rPr>
              <w:t xml:space="preserve">（t </w:t>
            </w:r>
            <w:r>
              <w:rPr>
                <w:rFonts w:ascii="Times New Roman" w:hAnsi="Times New Roman" w:eastAsia="宋体"/>
                <w:color w:val="auto"/>
                <w:spacing w:val="-30"/>
                <w:position w:val="2"/>
                <w:sz w:val="21"/>
                <w:szCs w:val="21"/>
                <w:highlight w:val="none"/>
              </w:rPr>
              <w:t xml:space="preserve">或 </w:t>
            </w:r>
            <w:r>
              <w:rPr>
                <w:rFonts w:ascii="Times New Roman" w:hAnsi="Times New Roman" w:eastAsia="宋体"/>
                <w:color w:val="auto"/>
                <w:position w:val="2"/>
                <w:sz w:val="21"/>
                <w:szCs w:val="21"/>
                <w:highlight w:val="none"/>
              </w:rPr>
              <w:t>kNm</w:t>
            </w:r>
            <w:r>
              <w:rPr>
                <w:rFonts w:ascii="Times New Roman" w:hAnsi="Times New Roman" w:eastAsia="宋体"/>
                <w:color w:val="auto"/>
                <w:spacing w:val="1"/>
                <w:position w:val="2"/>
                <w:sz w:val="21"/>
                <w:szCs w:val="21"/>
                <w:highlight w:val="none"/>
                <w:vertAlign w:val="superscript"/>
              </w:rPr>
              <w:t>3</w:t>
            </w:r>
            <w:r>
              <w:rPr>
                <w:rFonts w:ascii="Times New Roman" w:hAnsi="Times New Roman" w:eastAsia="宋体"/>
                <w:color w:val="auto"/>
                <w:spacing w:val="-120"/>
                <w:position w:val="2"/>
                <w:sz w:val="21"/>
                <w:szCs w:val="21"/>
                <w:highlight w:val="none"/>
              </w:rPr>
              <w:t>）</w:t>
            </w:r>
          </w:p>
          <w:p>
            <w:pPr>
              <w:pStyle w:val="2"/>
              <w:spacing w:line="360" w:lineRule="auto"/>
              <w:ind w:firstLine="416" w:firstLineChars="200"/>
              <w:rPr>
                <w:rFonts w:ascii="Times New Roman" w:hAnsi="Times New Roman" w:eastAsia="宋体"/>
                <w:color w:val="auto"/>
                <w:position w:val="2"/>
                <w:sz w:val="21"/>
                <w:szCs w:val="21"/>
                <w:highlight w:val="none"/>
              </w:rPr>
            </w:pPr>
            <w:r>
              <w:rPr>
                <w:rFonts w:ascii="Times New Roman" w:hAnsi="Times New Roman" w:eastAsia="宋体"/>
                <w:color w:val="auto"/>
                <w:spacing w:val="-1"/>
                <w:position w:val="2"/>
                <w:sz w:val="21"/>
                <w:szCs w:val="21"/>
                <w:highlight w:val="none"/>
              </w:rPr>
              <w:t>E</w:t>
            </w:r>
            <w:r>
              <w:rPr>
                <w:rFonts w:ascii="Times New Roman" w:hAnsi="Times New Roman" w:eastAsia="宋体"/>
                <w:color w:val="auto"/>
                <w:spacing w:val="-2"/>
                <w:position w:val="2"/>
                <w:sz w:val="21"/>
                <w:szCs w:val="21"/>
                <w:highlight w:val="none"/>
              </w:rPr>
              <w:t>F</w:t>
            </w:r>
            <w:r>
              <w:rPr>
                <w:rFonts w:ascii="Times New Roman" w:hAnsi="Times New Roman" w:eastAsia="宋体"/>
                <w:color w:val="auto"/>
                <w:sz w:val="21"/>
                <w:szCs w:val="21"/>
                <w:highlight w:val="none"/>
              </w:rPr>
              <w:t>i</w:t>
            </w:r>
            <w:r>
              <w:rPr>
                <w:rFonts w:ascii="Times New Roman" w:hAnsi="Times New Roman" w:eastAsia="宋体"/>
                <w:color w:val="auto"/>
                <w:spacing w:val="-1"/>
                <w:sz w:val="21"/>
                <w:szCs w:val="21"/>
                <w:highlight w:val="none"/>
                <w:vertAlign w:val="subscript"/>
              </w:rPr>
              <w:t>燃料</w:t>
            </w:r>
            <w:r>
              <w:rPr>
                <w:rFonts w:ascii="Times New Roman" w:hAnsi="Times New Roman" w:eastAsia="宋体"/>
                <w:color w:val="auto"/>
                <w:position w:val="2"/>
                <w:sz w:val="21"/>
                <w:szCs w:val="21"/>
                <w:highlight w:val="none"/>
              </w:rPr>
              <w:t>——i燃料燃烧二氧化碳排放因子（tC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2"/>
                <w:sz w:val="21"/>
                <w:szCs w:val="21"/>
                <w:highlight w:val="none"/>
                <w:vertAlign w:val="subscript"/>
              </w:rPr>
              <w:t>2e</w:t>
            </w:r>
            <w:r>
              <w:rPr>
                <w:rFonts w:ascii="Times New Roman" w:hAnsi="Times New Roman" w:eastAsia="宋体"/>
                <w:color w:val="auto"/>
                <w:position w:val="2"/>
                <w:sz w:val="21"/>
                <w:szCs w:val="21"/>
                <w:highlight w:val="none"/>
              </w:rPr>
              <w:t>/kg</w:t>
            </w:r>
            <w:r>
              <w:rPr>
                <w:rFonts w:ascii="Times New Roman" w:hAnsi="Times New Roman" w:eastAsia="宋体"/>
                <w:color w:val="auto"/>
                <w:spacing w:val="-30"/>
                <w:position w:val="2"/>
                <w:sz w:val="21"/>
                <w:szCs w:val="21"/>
                <w:highlight w:val="none"/>
              </w:rPr>
              <w:t>或</w:t>
            </w:r>
            <w:r>
              <w:rPr>
                <w:rFonts w:ascii="Times New Roman" w:hAnsi="Times New Roman" w:eastAsia="宋体"/>
                <w:color w:val="auto"/>
                <w:position w:val="2"/>
                <w:sz w:val="21"/>
                <w:szCs w:val="21"/>
                <w:highlight w:val="none"/>
              </w:rPr>
              <w:t>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pacing w:val="-2"/>
                <w:sz w:val="21"/>
                <w:szCs w:val="21"/>
                <w:highlight w:val="none"/>
                <w:vertAlign w:val="subscript"/>
              </w:rPr>
              <w:t>e</w:t>
            </w:r>
            <w:r>
              <w:rPr>
                <w:rFonts w:ascii="Times New Roman" w:hAnsi="Times New Roman" w:eastAsia="宋体"/>
                <w:color w:val="auto"/>
                <w:position w:val="2"/>
                <w:sz w:val="21"/>
                <w:szCs w:val="21"/>
                <w:highlight w:val="none"/>
              </w:rPr>
              <w:t>/kNm</w:t>
            </w:r>
            <w:r>
              <w:rPr>
                <w:rFonts w:ascii="Times New Roman" w:hAnsi="Times New Roman" w:eastAsia="宋体"/>
                <w:color w:val="auto"/>
                <w:spacing w:val="1"/>
                <w:position w:val="2"/>
                <w:sz w:val="21"/>
                <w:szCs w:val="21"/>
                <w:highlight w:val="none"/>
                <w:vertAlign w:val="superscript"/>
              </w:rPr>
              <w:t>3</w:t>
            </w:r>
            <w:r>
              <w:rPr>
                <w:rFonts w:ascii="Times New Roman" w:hAnsi="Times New Roman" w:eastAsia="宋体"/>
                <w:color w:val="auto"/>
                <w:spacing w:val="-120"/>
                <w:position w:val="2"/>
                <w:sz w:val="21"/>
                <w:szCs w:val="21"/>
                <w:highlight w:val="none"/>
              </w:rPr>
              <w:t>）</w:t>
            </w:r>
          </w:p>
          <w:p>
            <w:pPr>
              <w:pStyle w:val="2"/>
              <w:spacing w:line="360" w:lineRule="auto"/>
              <w:ind w:firstLine="416" w:firstLineChars="200"/>
              <w:rPr>
                <w:rFonts w:ascii="Times New Roman" w:hAnsi="Times New Roman" w:eastAsia="宋体"/>
                <w:color w:val="auto"/>
                <w:position w:val="2"/>
                <w:sz w:val="21"/>
                <w:szCs w:val="21"/>
                <w:highlight w:val="none"/>
              </w:rPr>
            </w:pPr>
            <w:r>
              <w:rPr>
                <w:rFonts w:ascii="Times New Roman" w:hAnsi="Times New Roman" w:eastAsia="宋体"/>
                <w:color w:val="auto"/>
                <w:spacing w:val="-1"/>
                <w:position w:val="2"/>
                <w:sz w:val="21"/>
                <w:szCs w:val="21"/>
                <w:highlight w:val="none"/>
              </w:rPr>
              <w:t>E</w:t>
            </w:r>
            <w:r>
              <w:rPr>
                <w:rFonts w:ascii="Times New Roman" w:hAnsi="Times New Roman" w:eastAsia="宋体"/>
                <w:color w:val="auto"/>
                <w:spacing w:val="-2"/>
                <w:position w:val="2"/>
                <w:sz w:val="21"/>
                <w:szCs w:val="21"/>
                <w:highlight w:val="none"/>
              </w:rPr>
              <w:t>F</w:t>
            </w:r>
            <w:r>
              <w:rPr>
                <w:rFonts w:ascii="Times New Roman" w:hAnsi="Times New Roman" w:eastAsia="宋体"/>
                <w:color w:val="auto"/>
                <w:spacing w:val="-1"/>
                <w:position w:val="2"/>
                <w:sz w:val="21"/>
                <w:szCs w:val="21"/>
                <w:highlight w:val="none"/>
              </w:rPr>
              <w:t>＇</w:t>
            </w:r>
            <w:r>
              <w:rPr>
                <w:rFonts w:ascii="Times New Roman" w:hAnsi="Times New Roman" w:eastAsia="宋体"/>
                <w:color w:val="auto"/>
                <w:sz w:val="21"/>
                <w:szCs w:val="21"/>
                <w:highlight w:val="none"/>
                <w:vertAlign w:val="subscript"/>
              </w:rPr>
              <w:t>i燃料</w:t>
            </w:r>
            <w:r>
              <w:rPr>
                <w:rFonts w:ascii="Times New Roman" w:hAnsi="Times New Roman" w:eastAsia="宋体"/>
                <w:color w:val="auto"/>
                <w:position w:val="2"/>
                <w:sz w:val="21"/>
                <w:szCs w:val="21"/>
                <w:highlight w:val="none"/>
              </w:rPr>
              <w:t>——i燃料燃烧氧化亚氮排放因子（tC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pacing w:val="-2"/>
                <w:sz w:val="21"/>
                <w:szCs w:val="21"/>
                <w:highlight w:val="none"/>
                <w:vertAlign w:val="subscript"/>
              </w:rPr>
              <w:t>e</w:t>
            </w:r>
            <w:r>
              <w:rPr>
                <w:rFonts w:ascii="Times New Roman" w:hAnsi="Times New Roman" w:eastAsia="宋体"/>
                <w:color w:val="auto"/>
                <w:position w:val="2"/>
                <w:sz w:val="21"/>
                <w:szCs w:val="21"/>
                <w:highlight w:val="none"/>
              </w:rPr>
              <w:t>/kg</w:t>
            </w:r>
            <w:r>
              <w:rPr>
                <w:rFonts w:ascii="Times New Roman" w:hAnsi="Times New Roman" w:eastAsia="宋体"/>
                <w:color w:val="auto"/>
                <w:spacing w:val="-30"/>
                <w:position w:val="2"/>
                <w:sz w:val="21"/>
                <w:szCs w:val="21"/>
                <w:highlight w:val="none"/>
              </w:rPr>
              <w:t xml:space="preserve">或 </w:t>
            </w:r>
            <w:r>
              <w:rPr>
                <w:rFonts w:ascii="Times New Roman" w:hAnsi="Times New Roman" w:eastAsia="宋体"/>
                <w:color w:val="auto"/>
                <w:position w:val="2"/>
                <w:sz w:val="21"/>
                <w:szCs w:val="21"/>
                <w:highlight w:val="none"/>
              </w:rPr>
              <w:t>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pacing w:val="-2"/>
                <w:sz w:val="21"/>
                <w:szCs w:val="21"/>
                <w:highlight w:val="none"/>
                <w:vertAlign w:val="subscript"/>
              </w:rPr>
              <w:t>e</w:t>
            </w:r>
            <w:r>
              <w:rPr>
                <w:rFonts w:ascii="Times New Roman" w:hAnsi="Times New Roman" w:eastAsia="宋体"/>
                <w:color w:val="auto"/>
                <w:position w:val="2"/>
                <w:sz w:val="21"/>
                <w:szCs w:val="21"/>
                <w:highlight w:val="none"/>
              </w:rPr>
              <w:t>/kNm</w:t>
            </w:r>
            <w:r>
              <w:rPr>
                <w:rFonts w:ascii="Times New Roman" w:hAnsi="Times New Roman" w:eastAsia="宋体"/>
                <w:color w:val="auto"/>
                <w:spacing w:val="1"/>
                <w:position w:val="2"/>
                <w:sz w:val="21"/>
                <w:szCs w:val="21"/>
                <w:highlight w:val="none"/>
                <w:vertAlign w:val="superscript"/>
              </w:rPr>
              <w:t>3</w:t>
            </w:r>
            <w:r>
              <w:rPr>
                <w:rFonts w:ascii="Times New Roman" w:hAnsi="Times New Roman" w:eastAsia="宋体"/>
                <w:color w:val="auto"/>
                <w:spacing w:val="-120"/>
                <w:position w:val="2"/>
                <w:sz w:val="21"/>
                <w:szCs w:val="21"/>
                <w:highlight w:val="none"/>
              </w:rPr>
              <w:t>）</w:t>
            </w:r>
          </w:p>
          <w:p>
            <w:pPr>
              <w:pStyle w:val="2"/>
              <w:spacing w:line="360" w:lineRule="auto"/>
              <w:ind w:firstLine="416" w:firstLineChars="200"/>
              <w:rPr>
                <w:rFonts w:ascii="Times New Roman" w:hAnsi="Times New Roman" w:eastAsia="宋体"/>
                <w:color w:val="auto"/>
                <w:spacing w:val="-120"/>
                <w:position w:val="2"/>
                <w:sz w:val="21"/>
                <w:szCs w:val="21"/>
                <w:highlight w:val="none"/>
              </w:rPr>
            </w:pPr>
            <w:r>
              <w:rPr>
                <w:rFonts w:ascii="Times New Roman" w:hAnsi="Times New Roman" w:eastAsia="宋体"/>
                <w:color w:val="auto"/>
                <w:spacing w:val="-1"/>
                <w:position w:val="2"/>
                <w:sz w:val="21"/>
                <w:szCs w:val="21"/>
                <w:highlight w:val="none"/>
              </w:rPr>
              <w:t>G</w:t>
            </w:r>
            <w:r>
              <w:rPr>
                <w:rFonts w:ascii="Times New Roman" w:hAnsi="Times New Roman" w:eastAsia="宋体"/>
                <w:color w:val="auto"/>
                <w:spacing w:val="1"/>
                <w:position w:val="2"/>
                <w:sz w:val="21"/>
                <w:szCs w:val="21"/>
                <w:highlight w:val="none"/>
              </w:rPr>
              <w:t>W</w:t>
            </w:r>
            <w:r>
              <w:rPr>
                <w:rFonts w:ascii="Times New Roman" w:hAnsi="Times New Roman" w:eastAsia="宋体"/>
                <w:color w:val="auto"/>
                <w:position w:val="2"/>
                <w:sz w:val="21"/>
                <w:szCs w:val="21"/>
                <w:highlight w:val="none"/>
              </w:rPr>
              <w:t>P</w:t>
            </w:r>
            <w:r>
              <w:rPr>
                <w:rFonts w:ascii="Times New Roman" w:hAnsi="Times New Roman" w:eastAsia="宋体"/>
                <w:color w:val="auto"/>
                <w:spacing w:val="-1"/>
                <w:sz w:val="21"/>
                <w:szCs w:val="21"/>
                <w:highlight w:val="none"/>
                <w:vertAlign w:val="subscript"/>
              </w:rPr>
              <w:t>N</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pacing w:val="-1"/>
                <w:sz w:val="21"/>
                <w:szCs w:val="21"/>
                <w:highlight w:val="none"/>
                <w:vertAlign w:val="subscript"/>
              </w:rPr>
              <w:t>O</w:t>
            </w:r>
            <w:r>
              <w:rPr>
                <w:rFonts w:ascii="Times New Roman" w:hAnsi="Times New Roman" w:eastAsia="宋体"/>
                <w:color w:val="auto"/>
                <w:position w:val="2"/>
                <w:sz w:val="21"/>
                <w:szCs w:val="21"/>
                <w:highlight w:val="none"/>
              </w:rPr>
              <w:t>——i</w:t>
            </w:r>
            <w:r>
              <w:rPr>
                <w:rFonts w:ascii="Times New Roman" w:hAnsi="Times New Roman" w:eastAsia="宋体"/>
                <w:color w:val="auto"/>
                <w:spacing w:val="-1"/>
                <w:position w:val="2"/>
                <w:sz w:val="21"/>
                <w:szCs w:val="21"/>
                <w:highlight w:val="none"/>
              </w:rPr>
              <w:t>燃料燃烧二氧化碳排放因子</w:t>
            </w:r>
            <w:r>
              <w:rPr>
                <w:rFonts w:ascii="Times New Roman" w:hAnsi="Times New Roman" w:eastAsia="宋体"/>
                <w:color w:val="auto"/>
                <w:position w:val="2"/>
                <w:sz w:val="21"/>
                <w:szCs w:val="21"/>
                <w:highlight w:val="none"/>
              </w:rPr>
              <w:t>（tC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pacing w:val="-2"/>
                <w:sz w:val="21"/>
                <w:szCs w:val="21"/>
                <w:highlight w:val="none"/>
                <w:vertAlign w:val="subscript"/>
              </w:rPr>
              <w:t>e</w:t>
            </w:r>
            <w:r>
              <w:rPr>
                <w:rFonts w:ascii="Times New Roman" w:hAnsi="Times New Roman" w:eastAsia="宋体"/>
                <w:color w:val="auto"/>
                <w:position w:val="2"/>
                <w:sz w:val="21"/>
                <w:szCs w:val="21"/>
                <w:highlight w:val="none"/>
              </w:rPr>
              <w:t>/kg</w:t>
            </w:r>
            <w:r>
              <w:rPr>
                <w:rFonts w:ascii="Times New Roman" w:hAnsi="Times New Roman" w:eastAsia="宋体"/>
                <w:color w:val="auto"/>
                <w:spacing w:val="-30"/>
                <w:position w:val="2"/>
                <w:sz w:val="21"/>
                <w:szCs w:val="21"/>
                <w:highlight w:val="none"/>
              </w:rPr>
              <w:t>或</w:t>
            </w:r>
            <w:r>
              <w:rPr>
                <w:rFonts w:ascii="Times New Roman" w:hAnsi="Times New Roman" w:eastAsia="宋体"/>
                <w:color w:val="auto"/>
                <w:position w:val="2"/>
                <w:sz w:val="21"/>
                <w:szCs w:val="21"/>
                <w:highlight w:val="none"/>
              </w:rPr>
              <w:t>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pacing w:val="-2"/>
                <w:sz w:val="21"/>
                <w:szCs w:val="21"/>
                <w:highlight w:val="none"/>
                <w:vertAlign w:val="subscript"/>
              </w:rPr>
              <w:t>e</w:t>
            </w:r>
            <w:r>
              <w:rPr>
                <w:rFonts w:ascii="Times New Roman" w:hAnsi="Times New Roman" w:eastAsia="宋体"/>
                <w:color w:val="auto"/>
                <w:position w:val="2"/>
                <w:sz w:val="21"/>
                <w:szCs w:val="21"/>
                <w:highlight w:val="none"/>
              </w:rPr>
              <w:t>/kNm</w:t>
            </w:r>
            <w:r>
              <w:rPr>
                <w:rFonts w:ascii="Times New Roman" w:hAnsi="Times New Roman" w:eastAsia="宋体"/>
                <w:color w:val="auto"/>
                <w:spacing w:val="1"/>
                <w:position w:val="2"/>
                <w:sz w:val="21"/>
                <w:szCs w:val="21"/>
                <w:highlight w:val="none"/>
                <w:vertAlign w:val="superscript"/>
              </w:rPr>
              <w:t>3</w:t>
            </w:r>
            <w:r>
              <w:rPr>
                <w:rFonts w:ascii="Times New Roman" w:hAnsi="Times New Roman" w:eastAsia="宋体"/>
                <w:color w:val="auto"/>
                <w:spacing w:val="-120"/>
                <w:position w:val="2"/>
                <w:sz w:val="21"/>
                <w:szCs w:val="21"/>
                <w:highlight w:val="none"/>
              </w:rPr>
              <w:t xml:space="preserve">）           </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position w:val="2"/>
                <w:sz w:val="21"/>
                <w:szCs w:val="21"/>
                <w:highlight w:val="none"/>
              </w:rPr>
              <w:t>EF</w:t>
            </w:r>
            <w:r>
              <w:rPr>
                <w:rFonts w:ascii="Times New Roman" w:hAnsi="Times New Roman" w:eastAsia="宋体"/>
                <w:color w:val="auto"/>
                <w:sz w:val="21"/>
                <w:szCs w:val="21"/>
                <w:highlight w:val="none"/>
                <w:vertAlign w:val="subscript"/>
              </w:rPr>
              <w:t>i 燃料</w:t>
            </w:r>
            <w:r>
              <w:rPr>
                <w:rFonts w:ascii="Times New Roman" w:hAnsi="Times New Roman" w:eastAsia="宋体"/>
                <w:color w:val="auto"/>
                <w:position w:val="2"/>
                <w:sz w:val="21"/>
                <w:szCs w:val="21"/>
                <w:highlight w:val="none"/>
              </w:rPr>
              <w:t>——氧化亚氮全球变暖潜势值。</w:t>
            </w:r>
          </w:p>
          <w:p>
            <w:pPr>
              <w:pStyle w:val="2"/>
              <w:spacing w:line="360" w:lineRule="auto"/>
              <w:ind w:firstLine="412" w:firstLineChars="200"/>
              <w:rPr>
                <w:rFonts w:ascii="Times New Roman" w:hAnsi="Times New Roman" w:eastAsia="宋体"/>
                <w:color w:val="auto"/>
                <w:sz w:val="21"/>
                <w:szCs w:val="21"/>
                <w:highlight w:val="none"/>
              </w:rPr>
            </w:pPr>
            <w:r>
              <w:rPr>
                <w:rFonts w:ascii="Times New Roman" w:hAnsi="Times New Roman" w:eastAsia="宋体"/>
                <w:color w:val="auto"/>
                <w:spacing w:val="-2"/>
                <w:position w:val="2"/>
                <w:sz w:val="21"/>
                <w:szCs w:val="21"/>
                <w:highlight w:val="none"/>
              </w:rPr>
              <w:t>建设项目用于电力生产之外的其他工业生产的燃料燃烧产生的排放量</w:t>
            </w:r>
            <w:r>
              <w:rPr>
                <w:rFonts w:ascii="Times New Roman" w:hAnsi="Times New Roman" w:eastAsia="宋体"/>
                <w:color w:val="auto"/>
                <w:position w:val="2"/>
                <w:sz w:val="21"/>
                <w:szCs w:val="21"/>
                <w:highlight w:val="none"/>
              </w:rPr>
              <w:t>（AE</w:t>
            </w:r>
            <w:r>
              <w:rPr>
                <w:rFonts w:ascii="Times New Roman" w:hAnsi="Times New Roman" w:eastAsia="宋体"/>
                <w:color w:val="auto"/>
                <w:sz w:val="21"/>
                <w:szCs w:val="21"/>
                <w:highlight w:val="none"/>
                <w:vertAlign w:val="subscript"/>
              </w:rPr>
              <w:t>工燃</w:t>
            </w:r>
            <w:r>
              <w:rPr>
                <w:rFonts w:ascii="Times New Roman" w:hAnsi="Times New Roman" w:eastAsia="宋体"/>
                <w:color w:val="auto"/>
                <w:spacing w:val="-48"/>
                <w:position w:val="2"/>
                <w:sz w:val="21"/>
                <w:szCs w:val="21"/>
                <w:highlight w:val="none"/>
              </w:rPr>
              <w:t>）</w:t>
            </w:r>
            <w:r>
              <w:rPr>
                <w:rFonts w:ascii="Times New Roman" w:hAnsi="Times New Roman" w:eastAsia="宋体"/>
                <w:color w:val="auto"/>
                <w:spacing w:val="-3"/>
                <w:position w:val="2"/>
                <w:sz w:val="21"/>
                <w:szCs w:val="21"/>
                <w:highlight w:val="none"/>
              </w:rPr>
              <w:t>计算方法见</w:t>
            </w:r>
            <w:r>
              <w:rPr>
                <w:rFonts w:ascii="Times New Roman" w:hAnsi="Times New Roman" w:eastAsia="宋体"/>
                <w:color w:val="auto"/>
                <w:sz w:val="21"/>
                <w:szCs w:val="21"/>
                <w:highlight w:val="none"/>
              </w:rPr>
              <w:t>公式（4</w:t>
            </w:r>
            <w:r>
              <w:rPr>
                <w:rFonts w:ascii="Times New Roman" w:hAnsi="Times New Roman" w:eastAsia="宋体"/>
                <w:color w:val="auto"/>
                <w:spacing w:val="-120"/>
                <w:sz w:val="21"/>
                <w:szCs w:val="21"/>
                <w:highlight w:val="none"/>
              </w:rPr>
              <w:t>）</w:t>
            </w:r>
          </w:p>
          <w:p>
            <w:pPr>
              <w:spacing w:line="360" w:lineRule="auto"/>
              <w:ind w:firstLine="420" w:firstLineChars="200"/>
              <w:jc w:val="center"/>
              <w:rPr>
                <w:color w:val="auto"/>
                <w:sz w:val="21"/>
                <w:szCs w:val="21"/>
                <w:highlight w:val="none"/>
              </w:rPr>
            </w:pPr>
            <w:r>
              <w:rPr>
                <w:color w:val="auto"/>
                <w:position w:val="2"/>
                <w:sz w:val="21"/>
                <w:szCs w:val="21"/>
                <w:highlight w:val="none"/>
              </w:rPr>
              <w:t>AE</w:t>
            </w:r>
            <w:r>
              <w:rPr>
                <w:color w:val="auto"/>
                <w:sz w:val="21"/>
                <w:szCs w:val="21"/>
                <w:highlight w:val="none"/>
                <w:vertAlign w:val="subscript"/>
              </w:rPr>
              <w:t>工燃</w:t>
            </w:r>
            <w:r>
              <w:rPr>
                <w:color w:val="auto"/>
                <w:position w:val="2"/>
                <w:sz w:val="21"/>
                <w:szCs w:val="21"/>
                <w:highlight w:val="none"/>
              </w:rPr>
              <w:t>=∑（AD</w:t>
            </w:r>
            <w:r>
              <w:rPr>
                <w:color w:val="auto"/>
                <w:sz w:val="21"/>
                <w:szCs w:val="21"/>
                <w:highlight w:val="none"/>
                <w:vertAlign w:val="subscript"/>
              </w:rPr>
              <w:t>i燃料</w:t>
            </w:r>
            <w:r>
              <w:rPr>
                <w:color w:val="auto"/>
                <w:position w:val="2"/>
                <w:sz w:val="21"/>
                <w:szCs w:val="21"/>
                <w:highlight w:val="none"/>
              </w:rPr>
              <w:t>*EF</w:t>
            </w:r>
            <w:r>
              <w:rPr>
                <w:color w:val="auto"/>
                <w:sz w:val="21"/>
                <w:szCs w:val="21"/>
                <w:highlight w:val="none"/>
                <w:vertAlign w:val="subscript"/>
              </w:rPr>
              <w:t>i燃料</w:t>
            </w:r>
            <w:r>
              <w:rPr>
                <w:color w:val="auto"/>
                <w:position w:val="2"/>
                <w:sz w:val="21"/>
                <w:szCs w:val="21"/>
                <w:highlight w:val="none"/>
              </w:rPr>
              <w:t>）</w:t>
            </w:r>
            <w:r>
              <w:rPr>
                <w:color w:val="auto"/>
                <w:position w:val="2"/>
                <w:sz w:val="21"/>
                <w:szCs w:val="21"/>
                <w:highlight w:val="none"/>
              </w:rPr>
              <w:tab/>
            </w:r>
            <w:r>
              <w:rPr>
                <w:color w:val="auto"/>
                <w:position w:val="2"/>
                <w:sz w:val="21"/>
                <w:szCs w:val="21"/>
                <w:highlight w:val="none"/>
              </w:rPr>
              <w:t>（4）</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式中：</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i——燃料种类；</w:t>
            </w:r>
          </w:p>
          <w:p>
            <w:pPr>
              <w:pStyle w:val="2"/>
              <w:spacing w:line="360" w:lineRule="auto"/>
              <w:ind w:firstLine="416" w:firstLineChars="200"/>
              <w:rPr>
                <w:rFonts w:ascii="Times New Roman" w:hAnsi="Times New Roman" w:eastAsia="宋体"/>
                <w:color w:val="auto"/>
                <w:sz w:val="21"/>
                <w:szCs w:val="21"/>
                <w:highlight w:val="none"/>
              </w:rPr>
            </w:pPr>
            <w:r>
              <w:rPr>
                <w:rFonts w:ascii="Times New Roman" w:hAnsi="Times New Roman" w:eastAsia="宋体"/>
                <w:color w:val="auto"/>
                <w:spacing w:val="-1"/>
                <w:position w:val="2"/>
                <w:sz w:val="21"/>
                <w:szCs w:val="21"/>
                <w:highlight w:val="none"/>
              </w:rPr>
              <w:t>AD</w:t>
            </w:r>
            <w:r>
              <w:rPr>
                <w:rFonts w:ascii="Times New Roman" w:hAnsi="Times New Roman" w:eastAsia="宋体"/>
                <w:color w:val="auto"/>
                <w:sz w:val="21"/>
                <w:szCs w:val="21"/>
                <w:highlight w:val="none"/>
                <w:vertAlign w:val="subscript"/>
              </w:rPr>
              <w:t>i</w:t>
            </w:r>
            <w:r>
              <w:rPr>
                <w:rFonts w:ascii="Times New Roman" w:hAnsi="Times New Roman" w:eastAsia="宋体"/>
                <w:color w:val="auto"/>
                <w:spacing w:val="-1"/>
                <w:sz w:val="21"/>
                <w:szCs w:val="21"/>
                <w:highlight w:val="none"/>
                <w:vertAlign w:val="subscript"/>
              </w:rPr>
              <w:t>燃料</w:t>
            </w:r>
            <w:r>
              <w:rPr>
                <w:rFonts w:ascii="Times New Roman" w:hAnsi="Times New Roman" w:eastAsia="宋体"/>
                <w:color w:val="auto"/>
                <w:position w:val="2"/>
                <w:sz w:val="21"/>
                <w:szCs w:val="21"/>
                <w:highlight w:val="none"/>
              </w:rPr>
              <w:t>——i</w:t>
            </w:r>
            <w:r>
              <w:rPr>
                <w:rFonts w:ascii="Times New Roman" w:hAnsi="Times New Roman" w:eastAsia="宋体"/>
                <w:color w:val="auto"/>
                <w:spacing w:val="-1"/>
                <w:position w:val="2"/>
                <w:sz w:val="21"/>
                <w:szCs w:val="21"/>
                <w:highlight w:val="none"/>
              </w:rPr>
              <w:t>燃料燃烧消耗量</w:t>
            </w:r>
            <w:r>
              <w:rPr>
                <w:rFonts w:ascii="Times New Roman" w:hAnsi="Times New Roman" w:eastAsia="宋体"/>
                <w:color w:val="auto"/>
                <w:position w:val="2"/>
                <w:sz w:val="21"/>
                <w:szCs w:val="21"/>
                <w:highlight w:val="none"/>
              </w:rPr>
              <w:t>（t</w:t>
            </w:r>
            <w:r>
              <w:rPr>
                <w:rFonts w:ascii="Times New Roman" w:hAnsi="Times New Roman" w:eastAsia="宋体"/>
                <w:color w:val="auto"/>
                <w:spacing w:val="-30"/>
                <w:position w:val="2"/>
                <w:sz w:val="21"/>
                <w:szCs w:val="21"/>
                <w:highlight w:val="none"/>
              </w:rPr>
              <w:t>或</w:t>
            </w:r>
            <w:r>
              <w:rPr>
                <w:rFonts w:ascii="Times New Roman" w:hAnsi="Times New Roman" w:eastAsia="宋体"/>
                <w:color w:val="auto"/>
                <w:position w:val="2"/>
                <w:sz w:val="21"/>
                <w:szCs w:val="21"/>
                <w:highlight w:val="none"/>
              </w:rPr>
              <w:t>kNm</w:t>
            </w:r>
            <w:r>
              <w:rPr>
                <w:rFonts w:ascii="Times New Roman" w:hAnsi="Times New Roman" w:eastAsia="宋体"/>
                <w:color w:val="auto"/>
                <w:spacing w:val="1"/>
                <w:position w:val="2"/>
                <w:sz w:val="21"/>
                <w:szCs w:val="21"/>
                <w:highlight w:val="none"/>
                <w:vertAlign w:val="superscript"/>
              </w:rPr>
              <w:t>3</w:t>
            </w:r>
            <w:r>
              <w:rPr>
                <w:rFonts w:ascii="Times New Roman" w:hAnsi="Times New Roman" w:eastAsia="宋体"/>
                <w:color w:val="auto"/>
                <w:spacing w:val="-120"/>
                <w:position w:val="2"/>
                <w:sz w:val="21"/>
                <w:szCs w:val="21"/>
                <w:highlight w:val="none"/>
              </w:rPr>
              <w:t>）</w:t>
            </w:r>
          </w:p>
          <w:p>
            <w:pPr>
              <w:pStyle w:val="2"/>
              <w:spacing w:line="360" w:lineRule="auto"/>
              <w:ind w:firstLine="416" w:firstLineChars="200"/>
              <w:rPr>
                <w:rFonts w:ascii="Times New Roman" w:hAnsi="Times New Roman" w:eastAsia="宋体"/>
                <w:color w:val="auto"/>
                <w:sz w:val="21"/>
                <w:szCs w:val="21"/>
                <w:highlight w:val="none"/>
              </w:rPr>
            </w:pPr>
            <w:r>
              <w:rPr>
                <w:rFonts w:ascii="Times New Roman" w:hAnsi="Times New Roman" w:eastAsia="宋体"/>
                <w:color w:val="auto"/>
                <w:spacing w:val="-1"/>
                <w:position w:val="2"/>
                <w:sz w:val="21"/>
                <w:szCs w:val="21"/>
                <w:highlight w:val="none"/>
              </w:rPr>
              <w:t>E</w:t>
            </w:r>
            <w:r>
              <w:rPr>
                <w:rFonts w:ascii="Times New Roman" w:hAnsi="Times New Roman" w:eastAsia="宋体"/>
                <w:color w:val="auto"/>
                <w:spacing w:val="-2"/>
                <w:position w:val="2"/>
                <w:sz w:val="21"/>
                <w:szCs w:val="21"/>
                <w:highlight w:val="none"/>
              </w:rPr>
              <w:t>F</w:t>
            </w:r>
            <w:r>
              <w:rPr>
                <w:rFonts w:ascii="Times New Roman" w:hAnsi="Times New Roman" w:eastAsia="宋体"/>
                <w:color w:val="auto"/>
                <w:sz w:val="21"/>
                <w:szCs w:val="21"/>
                <w:highlight w:val="none"/>
                <w:vertAlign w:val="subscript"/>
              </w:rPr>
              <w:t>i</w:t>
            </w:r>
            <w:r>
              <w:rPr>
                <w:rFonts w:ascii="Times New Roman" w:hAnsi="Times New Roman" w:eastAsia="宋体"/>
                <w:color w:val="auto"/>
                <w:spacing w:val="-1"/>
                <w:sz w:val="21"/>
                <w:szCs w:val="21"/>
                <w:highlight w:val="none"/>
                <w:vertAlign w:val="subscript"/>
              </w:rPr>
              <w:t>燃料</w:t>
            </w:r>
            <w:r>
              <w:rPr>
                <w:rFonts w:ascii="Times New Roman" w:hAnsi="Times New Roman" w:eastAsia="宋体"/>
                <w:color w:val="auto"/>
                <w:position w:val="2"/>
                <w:sz w:val="21"/>
                <w:szCs w:val="21"/>
                <w:highlight w:val="none"/>
              </w:rPr>
              <w:t>——i燃料燃烧二氧化碳排放因子（tC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2"/>
                <w:sz w:val="21"/>
                <w:szCs w:val="21"/>
                <w:highlight w:val="none"/>
                <w:vertAlign w:val="subscript"/>
              </w:rPr>
              <w:t>2e</w:t>
            </w:r>
            <w:r>
              <w:rPr>
                <w:rFonts w:ascii="Times New Roman" w:hAnsi="Times New Roman" w:eastAsia="宋体"/>
                <w:color w:val="auto"/>
                <w:position w:val="2"/>
                <w:sz w:val="21"/>
                <w:szCs w:val="21"/>
                <w:highlight w:val="none"/>
              </w:rPr>
              <w:t>/kg</w:t>
            </w:r>
            <w:r>
              <w:rPr>
                <w:rFonts w:ascii="Times New Roman" w:hAnsi="Times New Roman" w:eastAsia="宋体"/>
                <w:color w:val="auto"/>
                <w:spacing w:val="-30"/>
                <w:position w:val="2"/>
                <w:sz w:val="21"/>
                <w:szCs w:val="21"/>
                <w:highlight w:val="none"/>
              </w:rPr>
              <w:t>或</w:t>
            </w:r>
            <w:r>
              <w:rPr>
                <w:rFonts w:ascii="Times New Roman" w:hAnsi="Times New Roman" w:eastAsia="宋体"/>
                <w:color w:val="auto"/>
                <w:position w:val="2"/>
                <w:sz w:val="21"/>
                <w:szCs w:val="21"/>
                <w:highlight w:val="none"/>
              </w:rPr>
              <w:t>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pacing w:val="-2"/>
                <w:sz w:val="21"/>
                <w:szCs w:val="21"/>
                <w:highlight w:val="none"/>
                <w:vertAlign w:val="subscript"/>
              </w:rPr>
              <w:t>e</w:t>
            </w:r>
            <w:r>
              <w:rPr>
                <w:rFonts w:ascii="Times New Roman" w:hAnsi="Times New Roman" w:eastAsia="宋体"/>
                <w:color w:val="auto"/>
                <w:position w:val="2"/>
                <w:sz w:val="21"/>
                <w:szCs w:val="21"/>
                <w:highlight w:val="none"/>
              </w:rPr>
              <w:t>/kNm</w:t>
            </w:r>
            <w:r>
              <w:rPr>
                <w:rFonts w:ascii="Times New Roman" w:hAnsi="Times New Roman" w:eastAsia="宋体"/>
                <w:color w:val="auto"/>
                <w:spacing w:val="1"/>
                <w:position w:val="2"/>
                <w:sz w:val="21"/>
                <w:szCs w:val="21"/>
                <w:highlight w:val="none"/>
                <w:vertAlign w:val="superscript"/>
              </w:rPr>
              <w:t>3</w:t>
            </w:r>
            <w:r>
              <w:rPr>
                <w:rFonts w:ascii="Times New Roman" w:hAnsi="Times New Roman" w:eastAsia="宋体"/>
                <w:color w:val="auto"/>
                <w:spacing w:val="-120"/>
                <w:position w:val="2"/>
                <w:sz w:val="21"/>
                <w:szCs w:val="21"/>
                <w:highlight w:val="none"/>
              </w:rPr>
              <w:t xml:space="preserve">）                   </w:t>
            </w:r>
            <w:r>
              <w:rPr>
                <w:rFonts w:ascii="Times New Roman" w:hAnsi="Times New Roman" w:eastAsia="宋体"/>
                <w:color w:val="auto"/>
                <w:position w:val="2"/>
                <w:sz w:val="21"/>
                <w:szCs w:val="21"/>
                <w:highlight w:val="none"/>
              </w:rPr>
              <w:t>本项目不涉及工业生产过程排放量（AE</w:t>
            </w:r>
            <w:r>
              <w:rPr>
                <w:rFonts w:ascii="Times New Roman" w:hAnsi="Times New Roman" w:eastAsia="宋体"/>
                <w:color w:val="auto"/>
                <w:sz w:val="21"/>
                <w:szCs w:val="21"/>
                <w:highlight w:val="none"/>
                <w:vertAlign w:val="subscript"/>
              </w:rPr>
              <w:t>工业生产过程</w:t>
            </w:r>
            <w:r>
              <w:rPr>
                <w:rFonts w:ascii="Times New Roman" w:hAnsi="Times New Roman" w:eastAsia="宋体"/>
                <w:color w:val="auto"/>
                <w:spacing w:val="-120"/>
                <w:position w:val="2"/>
                <w:sz w:val="21"/>
                <w:szCs w:val="21"/>
                <w:highlight w:val="none"/>
              </w:rPr>
              <w:t>）</w:t>
            </w:r>
          </w:p>
          <w:p>
            <w:pPr>
              <w:spacing w:line="360" w:lineRule="auto"/>
              <w:ind w:firstLine="416" w:firstLineChars="200"/>
              <w:rPr>
                <w:color w:val="auto"/>
                <w:sz w:val="21"/>
                <w:szCs w:val="21"/>
                <w:highlight w:val="none"/>
              </w:rPr>
            </w:pPr>
            <w:r>
              <w:rPr>
                <w:color w:val="auto"/>
                <w:spacing w:val="-1"/>
                <w:position w:val="2"/>
                <w:sz w:val="21"/>
                <w:szCs w:val="21"/>
                <w:highlight w:val="none"/>
              </w:rPr>
              <w:t>净调入电力和热力消耗碳排放总量</w:t>
            </w:r>
            <w:r>
              <w:rPr>
                <w:color w:val="auto"/>
                <w:position w:val="2"/>
                <w:sz w:val="21"/>
                <w:szCs w:val="21"/>
                <w:highlight w:val="none"/>
              </w:rPr>
              <w:t>（</w:t>
            </w:r>
            <w:r>
              <w:rPr>
                <w:color w:val="auto"/>
                <w:spacing w:val="-1"/>
                <w:position w:val="2"/>
                <w:sz w:val="21"/>
                <w:szCs w:val="21"/>
                <w:highlight w:val="none"/>
              </w:rPr>
              <w:t>A</w:t>
            </w:r>
            <w:r>
              <w:rPr>
                <w:color w:val="auto"/>
                <w:position w:val="2"/>
                <w:sz w:val="21"/>
                <w:szCs w:val="21"/>
                <w:highlight w:val="none"/>
              </w:rPr>
              <w:t>E</w:t>
            </w:r>
            <w:r>
              <w:rPr>
                <w:color w:val="auto"/>
                <w:spacing w:val="-1"/>
                <w:position w:val="2"/>
                <w:sz w:val="21"/>
                <w:szCs w:val="21"/>
                <w:highlight w:val="none"/>
              </w:rPr>
              <w:t xml:space="preserve"> </w:t>
            </w:r>
            <w:r>
              <w:rPr>
                <w:color w:val="auto"/>
                <w:sz w:val="21"/>
                <w:szCs w:val="21"/>
                <w:highlight w:val="none"/>
              </w:rPr>
              <w:t>净调入电力和热力</w:t>
            </w:r>
            <w:r>
              <w:rPr>
                <w:color w:val="auto"/>
                <w:position w:val="2"/>
                <w:sz w:val="21"/>
                <w:szCs w:val="21"/>
                <w:highlight w:val="none"/>
              </w:rPr>
              <w:t>）计算方法见公式（5</w:t>
            </w:r>
            <w:r>
              <w:rPr>
                <w:color w:val="auto"/>
                <w:spacing w:val="-120"/>
                <w:position w:val="2"/>
                <w:sz w:val="21"/>
                <w:szCs w:val="21"/>
                <w:highlight w:val="none"/>
              </w:rPr>
              <w:t>）</w:t>
            </w:r>
          </w:p>
          <w:p>
            <w:pPr>
              <w:spacing w:line="360" w:lineRule="auto"/>
              <w:ind w:firstLine="420" w:firstLineChars="200"/>
              <w:jc w:val="center"/>
              <w:rPr>
                <w:color w:val="auto"/>
                <w:sz w:val="21"/>
                <w:szCs w:val="21"/>
                <w:highlight w:val="none"/>
              </w:rPr>
            </w:pPr>
            <w:r>
              <w:rPr>
                <w:color w:val="auto"/>
                <w:position w:val="2"/>
                <w:sz w:val="21"/>
                <w:szCs w:val="21"/>
                <w:highlight w:val="none"/>
              </w:rPr>
              <w:t>AE</w:t>
            </w:r>
            <w:r>
              <w:rPr>
                <w:color w:val="auto"/>
                <w:spacing w:val="-2"/>
                <w:position w:val="2"/>
                <w:sz w:val="21"/>
                <w:szCs w:val="21"/>
                <w:highlight w:val="none"/>
              </w:rPr>
              <w:t xml:space="preserve"> </w:t>
            </w:r>
            <w:r>
              <w:rPr>
                <w:color w:val="auto"/>
                <w:sz w:val="21"/>
                <w:szCs w:val="21"/>
                <w:highlight w:val="none"/>
                <w:vertAlign w:val="subscript"/>
              </w:rPr>
              <w:t>净调入电力和热力</w:t>
            </w:r>
            <w:r>
              <w:rPr>
                <w:color w:val="auto"/>
                <w:position w:val="2"/>
                <w:sz w:val="21"/>
                <w:szCs w:val="21"/>
                <w:highlight w:val="none"/>
              </w:rPr>
              <w:t>=AE</w:t>
            </w:r>
            <w:r>
              <w:rPr>
                <w:color w:val="auto"/>
                <w:spacing w:val="-1"/>
                <w:position w:val="2"/>
                <w:sz w:val="21"/>
                <w:szCs w:val="21"/>
                <w:highlight w:val="none"/>
              </w:rPr>
              <w:t xml:space="preserve"> </w:t>
            </w:r>
            <w:r>
              <w:rPr>
                <w:color w:val="auto"/>
                <w:sz w:val="21"/>
                <w:szCs w:val="21"/>
                <w:highlight w:val="none"/>
                <w:vertAlign w:val="subscript"/>
              </w:rPr>
              <w:t>净调入电力</w:t>
            </w:r>
            <w:r>
              <w:rPr>
                <w:color w:val="auto"/>
                <w:position w:val="2"/>
                <w:sz w:val="21"/>
                <w:szCs w:val="21"/>
                <w:highlight w:val="none"/>
              </w:rPr>
              <w:t>+AE</w:t>
            </w:r>
            <w:r>
              <w:rPr>
                <w:color w:val="auto"/>
                <w:spacing w:val="-1"/>
                <w:position w:val="2"/>
                <w:sz w:val="21"/>
                <w:szCs w:val="21"/>
                <w:highlight w:val="none"/>
              </w:rPr>
              <w:t xml:space="preserve"> </w:t>
            </w:r>
            <w:r>
              <w:rPr>
                <w:color w:val="auto"/>
                <w:sz w:val="21"/>
                <w:szCs w:val="21"/>
                <w:highlight w:val="none"/>
                <w:vertAlign w:val="subscript"/>
              </w:rPr>
              <w:t>净调入热力</w:t>
            </w:r>
            <w:r>
              <w:rPr>
                <w:color w:val="auto"/>
                <w:sz w:val="21"/>
                <w:szCs w:val="21"/>
                <w:highlight w:val="none"/>
              </w:rPr>
              <w:tab/>
            </w:r>
            <w:r>
              <w:rPr>
                <w:color w:val="auto"/>
                <w:position w:val="2"/>
                <w:sz w:val="21"/>
                <w:szCs w:val="21"/>
                <w:highlight w:val="none"/>
              </w:rPr>
              <w:t>（5）</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式中：</w:t>
            </w:r>
          </w:p>
          <w:p>
            <w:pPr>
              <w:spacing w:line="360" w:lineRule="auto"/>
              <w:ind w:firstLine="416" w:firstLineChars="200"/>
              <w:rPr>
                <w:color w:val="auto"/>
                <w:sz w:val="21"/>
                <w:szCs w:val="21"/>
                <w:highlight w:val="none"/>
              </w:rPr>
            </w:pPr>
            <w:r>
              <w:rPr>
                <w:color w:val="auto"/>
                <w:spacing w:val="-1"/>
                <w:position w:val="2"/>
                <w:sz w:val="21"/>
                <w:szCs w:val="21"/>
                <w:highlight w:val="none"/>
              </w:rPr>
              <w:t>A</w:t>
            </w:r>
            <w:r>
              <w:rPr>
                <w:color w:val="auto"/>
                <w:position w:val="2"/>
                <w:sz w:val="21"/>
                <w:szCs w:val="21"/>
                <w:highlight w:val="none"/>
              </w:rPr>
              <w:t>E</w:t>
            </w:r>
            <w:r>
              <w:rPr>
                <w:color w:val="auto"/>
                <w:spacing w:val="-1"/>
                <w:position w:val="2"/>
                <w:sz w:val="21"/>
                <w:szCs w:val="21"/>
                <w:highlight w:val="none"/>
              </w:rPr>
              <w:t xml:space="preserve"> </w:t>
            </w:r>
            <w:r>
              <w:rPr>
                <w:color w:val="auto"/>
                <w:spacing w:val="-1"/>
                <w:sz w:val="21"/>
                <w:szCs w:val="21"/>
                <w:highlight w:val="none"/>
                <w:vertAlign w:val="subscript"/>
              </w:rPr>
              <w:t>净调入电力</w:t>
            </w:r>
            <w:r>
              <w:rPr>
                <w:color w:val="auto"/>
                <w:position w:val="2"/>
                <w:sz w:val="21"/>
                <w:szCs w:val="21"/>
                <w:highlight w:val="none"/>
              </w:rPr>
              <w:t>——净调入电力消耗碳排放量（tC</w:t>
            </w:r>
            <w:r>
              <w:rPr>
                <w:color w:val="auto"/>
                <w:spacing w:val="-1"/>
                <w:position w:val="2"/>
                <w:sz w:val="21"/>
                <w:szCs w:val="21"/>
                <w:highlight w:val="none"/>
              </w:rPr>
              <w:t>O</w:t>
            </w:r>
            <w:r>
              <w:rPr>
                <w:color w:val="auto"/>
                <w:spacing w:val="-2"/>
                <w:sz w:val="21"/>
                <w:szCs w:val="21"/>
                <w:highlight w:val="none"/>
                <w:vertAlign w:val="subscript"/>
              </w:rPr>
              <w:t>2e</w:t>
            </w:r>
            <w:r>
              <w:rPr>
                <w:color w:val="auto"/>
                <w:spacing w:val="-120"/>
                <w:position w:val="2"/>
                <w:sz w:val="21"/>
                <w:szCs w:val="21"/>
                <w:highlight w:val="none"/>
              </w:rPr>
              <w:t>）</w:t>
            </w:r>
          </w:p>
          <w:p>
            <w:pPr>
              <w:spacing w:line="360" w:lineRule="auto"/>
              <w:ind w:firstLine="416" w:firstLineChars="200"/>
              <w:rPr>
                <w:color w:val="auto"/>
                <w:sz w:val="21"/>
                <w:szCs w:val="21"/>
                <w:highlight w:val="none"/>
              </w:rPr>
            </w:pPr>
            <w:r>
              <w:rPr>
                <w:color w:val="auto"/>
                <w:spacing w:val="-1"/>
                <w:position w:val="2"/>
                <w:sz w:val="21"/>
                <w:szCs w:val="21"/>
                <w:highlight w:val="none"/>
              </w:rPr>
              <w:t>A</w:t>
            </w:r>
            <w:r>
              <w:rPr>
                <w:color w:val="auto"/>
                <w:position w:val="2"/>
                <w:sz w:val="21"/>
                <w:szCs w:val="21"/>
                <w:highlight w:val="none"/>
              </w:rPr>
              <w:t>E</w:t>
            </w:r>
            <w:r>
              <w:rPr>
                <w:color w:val="auto"/>
                <w:spacing w:val="-1"/>
                <w:position w:val="2"/>
                <w:sz w:val="21"/>
                <w:szCs w:val="21"/>
                <w:highlight w:val="none"/>
              </w:rPr>
              <w:t xml:space="preserve"> </w:t>
            </w:r>
            <w:r>
              <w:rPr>
                <w:color w:val="auto"/>
                <w:spacing w:val="-1"/>
                <w:sz w:val="21"/>
                <w:szCs w:val="21"/>
                <w:highlight w:val="none"/>
                <w:vertAlign w:val="subscript"/>
              </w:rPr>
              <w:t>净调入热力</w:t>
            </w:r>
            <w:r>
              <w:rPr>
                <w:color w:val="auto"/>
                <w:position w:val="2"/>
                <w:sz w:val="21"/>
                <w:szCs w:val="21"/>
                <w:highlight w:val="none"/>
              </w:rPr>
              <w:t>——净调入热力消耗碳排放量（tC</w:t>
            </w:r>
            <w:r>
              <w:rPr>
                <w:color w:val="auto"/>
                <w:spacing w:val="-1"/>
                <w:position w:val="2"/>
                <w:sz w:val="21"/>
                <w:szCs w:val="21"/>
                <w:highlight w:val="none"/>
              </w:rPr>
              <w:t>O</w:t>
            </w:r>
            <w:r>
              <w:rPr>
                <w:color w:val="auto"/>
                <w:spacing w:val="-2"/>
                <w:sz w:val="21"/>
                <w:szCs w:val="21"/>
                <w:highlight w:val="none"/>
                <w:vertAlign w:val="subscript"/>
              </w:rPr>
              <w:t>2e</w:t>
            </w:r>
            <w:r>
              <w:rPr>
                <w:color w:val="auto"/>
                <w:spacing w:val="-120"/>
                <w:position w:val="2"/>
                <w:sz w:val="21"/>
                <w:szCs w:val="21"/>
                <w:highlight w:val="none"/>
              </w:rPr>
              <w:t>）</w:t>
            </w:r>
          </w:p>
          <w:p>
            <w:pPr>
              <w:pStyle w:val="2"/>
              <w:spacing w:line="360" w:lineRule="auto"/>
              <w:ind w:firstLine="416" w:firstLineChars="200"/>
              <w:rPr>
                <w:rFonts w:ascii="Times New Roman" w:hAnsi="Times New Roman" w:eastAsia="宋体"/>
                <w:color w:val="auto"/>
                <w:sz w:val="21"/>
                <w:szCs w:val="21"/>
                <w:highlight w:val="none"/>
              </w:rPr>
            </w:pPr>
            <w:r>
              <w:rPr>
                <w:rFonts w:ascii="Times New Roman" w:hAnsi="Times New Roman" w:eastAsia="宋体"/>
                <w:color w:val="auto"/>
                <w:spacing w:val="-1"/>
                <w:position w:val="2"/>
                <w:sz w:val="21"/>
                <w:szCs w:val="21"/>
                <w:highlight w:val="none"/>
              </w:rPr>
              <w:t>其中，净调入电力消耗碳排放量</w:t>
            </w:r>
            <w:r>
              <w:rPr>
                <w:rFonts w:ascii="Times New Roman" w:hAnsi="Times New Roman" w:eastAsia="宋体"/>
                <w:color w:val="auto"/>
                <w:position w:val="2"/>
                <w:sz w:val="21"/>
                <w:szCs w:val="21"/>
                <w:highlight w:val="none"/>
              </w:rPr>
              <w:t>（</w:t>
            </w:r>
            <w:r>
              <w:rPr>
                <w:rFonts w:ascii="Times New Roman" w:hAnsi="Times New Roman" w:eastAsia="宋体"/>
                <w:color w:val="auto"/>
                <w:spacing w:val="-1"/>
                <w:position w:val="2"/>
                <w:sz w:val="21"/>
                <w:szCs w:val="21"/>
                <w:highlight w:val="none"/>
              </w:rPr>
              <w:t>A</w:t>
            </w:r>
            <w:r>
              <w:rPr>
                <w:rFonts w:ascii="Times New Roman" w:hAnsi="Times New Roman" w:eastAsia="宋体"/>
                <w:color w:val="auto"/>
                <w:position w:val="2"/>
                <w:sz w:val="21"/>
                <w:szCs w:val="21"/>
                <w:highlight w:val="none"/>
              </w:rPr>
              <w:t>E</w:t>
            </w:r>
            <w:r>
              <w:rPr>
                <w:rFonts w:ascii="Times New Roman" w:hAnsi="Times New Roman" w:eastAsia="宋体"/>
                <w:color w:val="auto"/>
                <w:spacing w:val="-1"/>
                <w:position w:val="2"/>
                <w:sz w:val="21"/>
                <w:szCs w:val="21"/>
                <w:highlight w:val="none"/>
              </w:rPr>
              <w:t xml:space="preserve"> </w:t>
            </w:r>
            <w:r>
              <w:rPr>
                <w:rFonts w:ascii="Times New Roman" w:hAnsi="Times New Roman" w:eastAsia="宋体"/>
                <w:color w:val="auto"/>
                <w:sz w:val="21"/>
                <w:szCs w:val="21"/>
                <w:highlight w:val="none"/>
              </w:rPr>
              <w:t>净调入电力</w:t>
            </w:r>
            <w:r>
              <w:rPr>
                <w:rFonts w:ascii="Times New Roman" w:hAnsi="Times New Roman" w:eastAsia="宋体"/>
                <w:color w:val="auto"/>
                <w:position w:val="2"/>
                <w:sz w:val="21"/>
                <w:szCs w:val="21"/>
                <w:highlight w:val="none"/>
              </w:rPr>
              <w:t>）计算方法见公式（6</w:t>
            </w:r>
            <w:r>
              <w:rPr>
                <w:rFonts w:ascii="Times New Roman" w:hAnsi="Times New Roman" w:eastAsia="宋体"/>
                <w:color w:val="auto"/>
                <w:spacing w:val="-120"/>
                <w:position w:val="2"/>
                <w:sz w:val="21"/>
                <w:szCs w:val="21"/>
                <w:highlight w:val="none"/>
              </w:rPr>
              <w:t>）</w:t>
            </w:r>
          </w:p>
          <w:p>
            <w:pPr>
              <w:spacing w:line="360" w:lineRule="auto"/>
              <w:ind w:firstLine="420" w:firstLineChars="200"/>
              <w:jc w:val="center"/>
              <w:rPr>
                <w:color w:val="auto"/>
                <w:sz w:val="21"/>
                <w:szCs w:val="21"/>
                <w:highlight w:val="none"/>
              </w:rPr>
            </w:pPr>
            <w:r>
              <w:rPr>
                <w:color w:val="auto"/>
                <w:position w:val="2"/>
                <w:sz w:val="21"/>
                <w:szCs w:val="21"/>
                <w:highlight w:val="none"/>
              </w:rPr>
              <w:t>AE</w:t>
            </w:r>
            <w:r>
              <w:rPr>
                <w:color w:val="auto"/>
                <w:sz w:val="21"/>
                <w:szCs w:val="21"/>
                <w:highlight w:val="none"/>
                <w:vertAlign w:val="subscript"/>
              </w:rPr>
              <w:t>净调入电力</w:t>
            </w:r>
            <w:r>
              <w:rPr>
                <w:color w:val="auto"/>
                <w:position w:val="2"/>
                <w:sz w:val="21"/>
                <w:szCs w:val="21"/>
                <w:highlight w:val="none"/>
              </w:rPr>
              <w:t>=AD</w:t>
            </w:r>
            <w:r>
              <w:rPr>
                <w:color w:val="auto"/>
                <w:sz w:val="21"/>
                <w:szCs w:val="21"/>
                <w:highlight w:val="none"/>
                <w:vertAlign w:val="subscript"/>
              </w:rPr>
              <w:t>净调入电量</w:t>
            </w:r>
            <w:r>
              <w:rPr>
                <w:color w:val="auto"/>
                <w:position w:val="2"/>
                <w:sz w:val="21"/>
                <w:szCs w:val="21"/>
                <w:highlight w:val="none"/>
              </w:rPr>
              <w:t>*EF</w:t>
            </w:r>
            <w:r>
              <w:rPr>
                <w:color w:val="auto"/>
                <w:sz w:val="21"/>
                <w:szCs w:val="21"/>
                <w:highlight w:val="none"/>
                <w:vertAlign w:val="subscript"/>
              </w:rPr>
              <w:t>电力</w:t>
            </w:r>
            <w:r>
              <w:rPr>
                <w:color w:val="auto"/>
                <w:sz w:val="21"/>
                <w:szCs w:val="21"/>
                <w:highlight w:val="none"/>
              </w:rPr>
              <w:tab/>
            </w:r>
            <w:r>
              <w:rPr>
                <w:color w:val="auto"/>
                <w:position w:val="2"/>
                <w:sz w:val="21"/>
                <w:szCs w:val="21"/>
                <w:highlight w:val="none"/>
              </w:rPr>
              <w:t>（6）</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式中：</w:t>
            </w:r>
          </w:p>
          <w:p>
            <w:pPr>
              <w:spacing w:line="360" w:lineRule="auto"/>
              <w:ind w:firstLine="416" w:firstLineChars="200"/>
              <w:rPr>
                <w:color w:val="auto"/>
                <w:sz w:val="21"/>
                <w:szCs w:val="21"/>
                <w:highlight w:val="none"/>
              </w:rPr>
            </w:pPr>
            <w:r>
              <w:rPr>
                <w:color w:val="auto"/>
                <w:spacing w:val="-1"/>
                <w:position w:val="2"/>
                <w:sz w:val="21"/>
                <w:szCs w:val="21"/>
                <w:highlight w:val="none"/>
              </w:rPr>
              <w:t>A</w:t>
            </w:r>
            <w:r>
              <w:rPr>
                <w:color w:val="auto"/>
                <w:position w:val="2"/>
                <w:sz w:val="21"/>
                <w:szCs w:val="21"/>
                <w:highlight w:val="none"/>
              </w:rPr>
              <w:t>D</w:t>
            </w:r>
            <w:r>
              <w:rPr>
                <w:color w:val="auto"/>
                <w:spacing w:val="-1"/>
                <w:sz w:val="21"/>
                <w:szCs w:val="21"/>
                <w:highlight w:val="none"/>
                <w:vertAlign w:val="subscript"/>
              </w:rPr>
              <w:t>净调入电量</w:t>
            </w:r>
            <w:r>
              <w:rPr>
                <w:color w:val="auto"/>
                <w:position w:val="2"/>
                <w:sz w:val="21"/>
                <w:szCs w:val="21"/>
                <w:highlight w:val="none"/>
              </w:rPr>
              <w:t>——净调入电力消耗量（M</w:t>
            </w:r>
            <w:r>
              <w:rPr>
                <w:color w:val="auto"/>
                <w:spacing w:val="1"/>
                <w:position w:val="2"/>
                <w:sz w:val="21"/>
                <w:szCs w:val="21"/>
                <w:highlight w:val="none"/>
              </w:rPr>
              <w:t>W</w:t>
            </w:r>
            <w:r>
              <w:rPr>
                <w:color w:val="auto"/>
                <w:position w:val="2"/>
                <w:sz w:val="21"/>
                <w:szCs w:val="21"/>
                <w:highlight w:val="none"/>
              </w:rPr>
              <w:t>h</w:t>
            </w:r>
            <w:r>
              <w:rPr>
                <w:color w:val="auto"/>
                <w:spacing w:val="-120"/>
                <w:position w:val="2"/>
                <w:sz w:val="21"/>
                <w:szCs w:val="21"/>
                <w:highlight w:val="none"/>
              </w:rPr>
              <w:t>）</w:t>
            </w:r>
            <w:r>
              <w:rPr>
                <w:color w:val="auto"/>
                <w:position w:val="2"/>
                <w:sz w:val="21"/>
                <w:szCs w:val="21"/>
                <w:highlight w:val="none"/>
              </w:rPr>
              <w:t>；</w:t>
            </w:r>
          </w:p>
          <w:p>
            <w:pPr>
              <w:pStyle w:val="2"/>
              <w:spacing w:line="360" w:lineRule="auto"/>
              <w:ind w:firstLine="416" w:firstLineChars="200"/>
              <w:rPr>
                <w:rFonts w:ascii="Times New Roman" w:hAnsi="Times New Roman" w:eastAsia="宋体"/>
                <w:color w:val="auto"/>
                <w:kern w:val="0"/>
                <w:sz w:val="21"/>
                <w:szCs w:val="21"/>
                <w:highlight w:val="none"/>
              </w:rPr>
            </w:pPr>
            <w:r>
              <w:rPr>
                <w:rFonts w:ascii="Times New Roman" w:hAnsi="Times New Roman" w:eastAsia="宋体"/>
                <w:color w:val="auto"/>
                <w:spacing w:val="-1"/>
                <w:position w:val="2"/>
                <w:sz w:val="21"/>
                <w:szCs w:val="21"/>
                <w:highlight w:val="none"/>
              </w:rPr>
              <w:t>E</w:t>
            </w:r>
            <w:r>
              <w:rPr>
                <w:rFonts w:ascii="Times New Roman" w:hAnsi="Times New Roman" w:eastAsia="宋体"/>
                <w:color w:val="auto"/>
                <w:position w:val="2"/>
                <w:sz w:val="21"/>
                <w:szCs w:val="21"/>
                <w:highlight w:val="none"/>
              </w:rPr>
              <w:t>F</w:t>
            </w:r>
            <w:r>
              <w:rPr>
                <w:rFonts w:ascii="Times New Roman" w:hAnsi="Times New Roman" w:eastAsia="宋体"/>
                <w:color w:val="auto"/>
                <w:spacing w:val="-1"/>
                <w:sz w:val="21"/>
                <w:szCs w:val="21"/>
                <w:highlight w:val="none"/>
                <w:vertAlign w:val="subscript"/>
              </w:rPr>
              <w:t>电力</w:t>
            </w:r>
            <w:r>
              <w:rPr>
                <w:rFonts w:ascii="Times New Roman" w:hAnsi="Times New Roman" w:eastAsia="宋体"/>
                <w:color w:val="auto"/>
                <w:position w:val="2"/>
                <w:sz w:val="21"/>
                <w:szCs w:val="21"/>
                <w:highlight w:val="none"/>
              </w:rPr>
              <w:t>——电力排放因子（tC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z w:val="21"/>
                <w:szCs w:val="21"/>
                <w:highlight w:val="none"/>
                <w:vertAlign w:val="subscript"/>
              </w:rPr>
              <w:t>e</w:t>
            </w:r>
            <w:r>
              <w:rPr>
                <w:rFonts w:ascii="Times New Roman" w:hAnsi="Times New Roman" w:eastAsia="宋体"/>
                <w:color w:val="auto"/>
                <w:position w:val="2"/>
                <w:sz w:val="21"/>
                <w:szCs w:val="21"/>
                <w:highlight w:val="none"/>
              </w:rPr>
              <w:t>/M</w:t>
            </w:r>
            <w:r>
              <w:rPr>
                <w:rFonts w:ascii="Times New Roman" w:hAnsi="Times New Roman" w:eastAsia="宋体"/>
                <w:color w:val="auto"/>
                <w:spacing w:val="1"/>
                <w:position w:val="2"/>
                <w:sz w:val="21"/>
                <w:szCs w:val="21"/>
                <w:highlight w:val="none"/>
              </w:rPr>
              <w:t>W</w:t>
            </w:r>
            <w:r>
              <w:rPr>
                <w:rFonts w:ascii="Times New Roman" w:hAnsi="Times New Roman" w:eastAsia="宋体"/>
                <w:color w:val="auto"/>
                <w:position w:val="2"/>
                <w:sz w:val="21"/>
                <w:szCs w:val="21"/>
                <w:highlight w:val="none"/>
              </w:rPr>
              <w:t>h</w:t>
            </w:r>
            <w:r>
              <w:rPr>
                <w:rFonts w:ascii="Times New Roman" w:hAnsi="Times New Roman" w:eastAsia="宋体"/>
                <w:color w:val="auto"/>
                <w:spacing w:val="-120"/>
                <w:position w:val="2"/>
                <w:sz w:val="21"/>
                <w:szCs w:val="21"/>
                <w:highlight w:val="none"/>
              </w:rPr>
              <w:t>）</w:t>
            </w:r>
            <w:r>
              <w:rPr>
                <w:rFonts w:ascii="Times New Roman" w:hAnsi="Times New Roman" w:eastAsia="宋体"/>
                <w:color w:val="auto"/>
                <w:spacing w:val="-21"/>
                <w:position w:val="2"/>
                <w:sz w:val="21"/>
                <w:szCs w:val="21"/>
                <w:highlight w:val="none"/>
              </w:rPr>
              <w:t>，为</w:t>
            </w:r>
            <w:r>
              <w:rPr>
                <w:rFonts w:ascii="Times New Roman" w:hAnsi="Times New Roman" w:eastAsia="宋体"/>
                <w:color w:val="auto"/>
                <w:position w:val="2"/>
                <w:sz w:val="21"/>
                <w:szCs w:val="21"/>
                <w:highlight w:val="none"/>
              </w:rPr>
              <w:t>0.9944tC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z w:val="21"/>
                <w:szCs w:val="21"/>
                <w:highlight w:val="none"/>
                <w:vertAlign w:val="subscript"/>
              </w:rPr>
              <w:t>e</w:t>
            </w:r>
            <w:r>
              <w:rPr>
                <w:rFonts w:ascii="Times New Roman" w:hAnsi="Times New Roman" w:eastAsia="宋体"/>
                <w:color w:val="auto"/>
                <w:position w:val="2"/>
                <w:sz w:val="21"/>
                <w:szCs w:val="21"/>
                <w:highlight w:val="none"/>
              </w:rPr>
              <w:t>/M</w:t>
            </w:r>
            <w:r>
              <w:rPr>
                <w:rFonts w:ascii="Times New Roman" w:hAnsi="Times New Roman" w:eastAsia="宋体"/>
                <w:color w:val="auto"/>
                <w:spacing w:val="1"/>
                <w:position w:val="2"/>
                <w:sz w:val="21"/>
                <w:szCs w:val="21"/>
                <w:highlight w:val="none"/>
              </w:rPr>
              <w:t>W</w:t>
            </w:r>
            <w:r>
              <w:rPr>
                <w:rFonts w:ascii="Times New Roman" w:hAnsi="Times New Roman" w:eastAsia="宋体"/>
                <w:color w:val="auto"/>
                <w:position w:val="2"/>
                <w:sz w:val="21"/>
                <w:szCs w:val="21"/>
                <w:highlight w:val="none"/>
              </w:rPr>
              <w:t>h。</w:t>
            </w:r>
            <w:r>
              <w:rPr>
                <w:rFonts w:ascii="Times New Roman" w:hAnsi="Times New Roman" w:eastAsia="宋体"/>
                <w:color w:val="auto"/>
                <w:spacing w:val="-1"/>
                <w:position w:val="2"/>
                <w:sz w:val="21"/>
                <w:szCs w:val="21"/>
                <w:highlight w:val="none"/>
              </w:rPr>
              <w:t>其中，净调入热力消耗碳排放量</w:t>
            </w:r>
            <w:r>
              <w:rPr>
                <w:rFonts w:ascii="Times New Roman" w:hAnsi="Times New Roman" w:eastAsia="宋体"/>
                <w:color w:val="auto"/>
                <w:position w:val="2"/>
                <w:sz w:val="21"/>
                <w:szCs w:val="21"/>
                <w:highlight w:val="none"/>
              </w:rPr>
              <w:t>（</w:t>
            </w:r>
            <w:r>
              <w:rPr>
                <w:rFonts w:ascii="Times New Roman" w:hAnsi="Times New Roman" w:eastAsia="宋体"/>
                <w:color w:val="auto"/>
                <w:spacing w:val="-1"/>
                <w:position w:val="2"/>
                <w:sz w:val="21"/>
                <w:szCs w:val="21"/>
                <w:highlight w:val="none"/>
              </w:rPr>
              <w:t>A</w:t>
            </w:r>
            <w:r>
              <w:rPr>
                <w:rFonts w:ascii="Times New Roman" w:hAnsi="Times New Roman" w:eastAsia="宋体"/>
                <w:color w:val="auto"/>
                <w:position w:val="2"/>
                <w:sz w:val="21"/>
                <w:szCs w:val="21"/>
                <w:highlight w:val="none"/>
              </w:rPr>
              <w:t>E</w:t>
            </w:r>
            <w:r>
              <w:rPr>
                <w:rFonts w:ascii="Times New Roman" w:hAnsi="Times New Roman" w:eastAsia="宋体"/>
                <w:color w:val="auto"/>
                <w:sz w:val="21"/>
                <w:szCs w:val="21"/>
                <w:highlight w:val="none"/>
                <w:vertAlign w:val="subscript"/>
              </w:rPr>
              <w:t>净调入热力</w:t>
            </w:r>
            <w:r>
              <w:rPr>
                <w:rFonts w:ascii="Times New Roman" w:hAnsi="Times New Roman" w:eastAsia="宋体"/>
                <w:color w:val="auto"/>
                <w:position w:val="2"/>
                <w:sz w:val="21"/>
                <w:szCs w:val="21"/>
                <w:highlight w:val="none"/>
              </w:rPr>
              <w:t>）计算方法见公式</w:t>
            </w:r>
            <w:r>
              <w:rPr>
                <w:rFonts w:ascii="Times New Roman" w:hAnsi="Times New Roman" w:eastAsia="宋体"/>
                <w:color w:val="auto"/>
                <w:spacing w:val="-4"/>
                <w:position w:val="2"/>
                <w:sz w:val="21"/>
                <w:szCs w:val="21"/>
                <w:highlight w:val="none"/>
              </w:rPr>
              <w:t>（7</w:t>
            </w:r>
            <w:r>
              <w:rPr>
                <w:rFonts w:ascii="Times New Roman" w:hAnsi="Times New Roman" w:eastAsia="宋体"/>
                <w:color w:val="auto"/>
                <w:spacing w:val="-124"/>
                <w:position w:val="2"/>
                <w:sz w:val="21"/>
                <w:szCs w:val="21"/>
                <w:highlight w:val="none"/>
              </w:rPr>
              <w:t>）：</w:t>
            </w:r>
          </w:p>
          <w:p>
            <w:pPr>
              <w:spacing w:line="360" w:lineRule="auto"/>
              <w:ind w:firstLine="420" w:firstLineChars="200"/>
              <w:rPr>
                <w:color w:val="auto"/>
                <w:sz w:val="21"/>
                <w:szCs w:val="21"/>
                <w:highlight w:val="none"/>
              </w:rPr>
            </w:pPr>
            <w:r>
              <w:rPr>
                <w:color w:val="auto"/>
                <w:position w:val="2"/>
                <w:sz w:val="21"/>
                <w:szCs w:val="21"/>
                <w:highlight w:val="none"/>
              </w:rPr>
              <w:t>AE</w:t>
            </w:r>
            <w:r>
              <w:rPr>
                <w:color w:val="auto"/>
                <w:sz w:val="21"/>
                <w:szCs w:val="21"/>
                <w:highlight w:val="none"/>
                <w:vertAlign w:val="subscript"/>
              </w:rPr>
              <w:t>净调入热力</w:t>
            </w:r>
            <w:r>
              <w:rPr>
                <w:color w:val="auto"/>
                <w:position w:val="2"/>
                <w:sz w:val="21"/>
                <w:szCs w:val="21"/>
                <w:highlight w:val="none"/>
              </w:rPr>
              <w:t>=AD</w:t>
            </w:r>
            <w:r>
              <w:rPr>
                <w:color w:val="auto"/>
                <w:sz w:val="21"/>
                <w:szCs w:val="21"/>
                <w:highlight w:val="none"/>
                <w:vertAlign w:val="subscript"/>
              </w:rPr>
              <w:t>净调入热力消耗量</w:t>
            </w:r>
            <w:r>
              <w:rPr>
                <w:color w:val="auto"/>
                <w:position w:val="2"/>
                <w:sz w:val="21"/>
                <w:szCs w:val="21"/>
                <w:highlight w:val="none"/>
              </w:rPr>
              <w:t>*EF</w:t>
            </w:r>
            <w:r>
              <w:rPr>
                <w:color w:val="auto"/>
                <w:sz w:val="21"/>
                <w:szCs w:val="21"/>
                <w:highlight w:val="none"/>
                <w:vertAlign w:val="subscript"/>
              </w:rPr>
              <w:t>热力</w:t>
            </w:r>
            <w:r>
              <w:rPr>
                <w:color w:val="auto"/>
                <w:sz w:val="21"/>
                <w:szCs w:val="21"/>
                <w:highlight w:val="none"/>
              </w:rPr>
              <w:tab/>
            </w:r>
            <w:r>
              <w:rPr>
                <w:color w:val="auto"/>
                <w:position w:val="2"/>
                <w:sz w:val="21"/>
                <w:szCs w:val="21"/>
                <w:highlight w:val="none"/>
              </w:rPr>
              <w:t>（7）</w:t>
            </w:r>
          </w:p>
          <w:p>
            <w:pPr>
              <w:pStyle w:val="2"/>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式中：</w:t>
            </w:r>
          </w:p>
          <w:p>
            <w:pPr>
              <w:spacing w:line="360" w:lineRule="auto"/>
              <w:ind w:firstLine="416" w:firstLineChars="200"/>
              <w:rPr>
                <w:color w:val="auto"/>
                <w:sz w:val="21"/>
                <w:szCs w:val="21"/>
                <w:highlight w:val="none"/>
              </w:rPr>
            </w:pPr>
            <w:r>
              <w:rPr>
                <w:color w:val="auto"/>
                <w:spacing w:val="-1"/>
                <w:position w:val="2"/>
                <w:sz w:val="21"/>
                <w:szCs w:val="21"/>
                <w:highlight w:val="none"/>
              </w:rPr>
              <w:t>A</w:t>
            </w:r>
            <w:r>
              <w:rPr>
                <w:color w:val="auto"/>
                <w:position w:val="2"/>
                <w:sz w:val="21"/>
                <w:szCs w:val="21"/>
                <w:highlight w:val="none"/>
              </w:rPr>
              <w:t>D</w:t>
            </w:r>
            <w:r>
              <w:rPr>
                <w:color w:val="auto"/>
                <w:spacing w:val="-1"/>
                <w:sz w:val="21"/>
                <w:szCs w:val="21"/>
                <w:highlight w:val="none"/>
                <w:vertAlign w:val="subscript"/>
              </w:rPr>
              <w:t>净调入热力消耗量</w:t>
            </w:r>
            <w:r>
              <w:rPr>
                <w:color w:val="auto"/>
                <w:position w:val="2"/>
                <w:sz w:val="21"/>
                <w:szCs w:val="21"/>
                <w:highlight w:val="none"/>
              </w:rPr>
              <w:t>——净调入热力消耗量（</w:t>
            </w:r>
            <w:r>
              <w:rPr>
                <w:color w:val="auto"/>
                <w:spacing w:val="-1"/>
                <w:position w:val="2"/>
                <w:sz w:val="21"/>
                <w:szCs w:val="21"/>
                <w:highlight w:val="none"/>
              </w:rPr>
              <w:t>G</w:t>
            </w:r>
            <w:r>
              <w:rPr>
                <w:color w:val="auto"/>
                <w:position w:val="2"/>
                <w:sz w:val="21"/>
                <w:szCs w:val="21"/>
                <w:highlight w:val="none"/>
              </w:rPr>
              <w:t>j</w:t>
            </w:r>
            <w:r>
              <w:rPr>
                <w:color w:val="auto"/>
                <w:spacing w:val="-120"/>
                <w:position w:val="2"/>
                <w:sz w:val="21"/>
                <w:szCs w:val="21"/>
                <w:highlight w:val="none"/>
              </w:rPr>
              <w:t>）</w:t>
            </w:r>
          </w:p>
          <w:p>
            <w:pPr>
              <w:pStyle w:val="2"/>
              <w:spacing w:line="360" w:lineRule="auto"/>
              <w:ind w:firstLine="416" w:firstLineChars="200"/>
              <w:rPr>
                <w:rFonts w:ascii="Times New Roman" w:hAnsi="Times New Roman" w:eastAsia="宋体"/>
                <w:color w:val="auto"/>
                <w:sz w:val="21"/>
                <w:szCs w:val="21"/>
                <w:highlight w:val="none"/>
              </w:rPr>
            </w:pPr>
            <w:r>
              <w:rPr>
                <w:rFonts w:ascii="Times New Roman" w:hAnsi="Times New Roman" w:eastAsia="宋体"/>
                <w:color w:val="auto"/>
                <w:spacing w:val="-1"/>
                <w:position w:val="2"/>
                <w:sz w:val="21"/>
                <w:szCs w:val="21"/>
                <w:highlight w:val="none"/>
              </w:rPr>
              <w:t>E</w:t>
            </w:r>
            <w:r>
              <w:rPr>
                <w:rFonts w:ascii="Times New Roman" w:hAnsi="Times New Roman" w:eastAsia="宋体"/>
                <w:color w:val="auto"/>
                <w:position w:val="2"/>
                <w:sz w:val="21"/>
                <w:szCs w:val="21"/>
                <w:highlight w:val="none"/>
              </w:rPr>
              <w:t>F</w:t>
            </w:r>
            <w:r>
              <w:rPr>
                <w:rFonts w:ascii="Times New Roman" w:hAnsi="Times New Roman" w:eastAsia="宋体"/>
                <w:color w:val="auto"/>
                <w:spacing w:val="-1"/>
                <w:sz w:val="21"/>
                <w:szCs w:val="21"/>
                <w:highlight w:val="none"/>
                <w:vertAlign w:val="subscript"/>
              </w:rPr>
              <w:t>热力</w:t>
            </w:r>
            <w:r>
              <w:rPr>
                <w:rFonts w:ascii="Times New Roman" w:hAnsi="Times New Roman" w:eastAsia="宋体"/>
                <w:color w:val="auto"/>
                <w:position w:val="2"/>
                <w:sz w:val="21"/>
                <w:szCs w:val="21"/>
                <w:highlight w:val="none"/>
              </w:rPr>
              <w:t>——热力排放因子（tC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z w:val="21"/>
                <w:szCs w:val="21"/>
                <w:highlight w:val="none"/>
                <w:vertAlign w:val="subscript"/>
              </w:rPr>
              <w:t>e</w:t>
            </w:r>
            <w:r>
              <w:rPr>
                <w:rFonts w:ascii="Times New Roman" w:hAnsi="Times New Roman" w:eastAsia="宋体"/>
                <w:color w:val="auto"/>
                <w:position w:val="2"/>
                <w:sz w:val="21"/>
                <w:szCs w:val="21"/>
                <w:highlight w:val="none"/>
              </w:rPr>
              <w:t>/</w:t>
            </w:r>
            <w:r>
              <w:rPr>
                <w:rFonts w:ascii="Times New Roman" w:hAnsi="Times New Roman" w:eastAsia="宋体"/>
                <w:color w:val="auto"/>
                <w:spacing w:val="-1"/>
                <w:position w:val="2"/>
                <w:sz w:val="21"/>
                <w:szCs w:val="21"/>
                <w:highlight w:val="none"/>
              </w:rPr>
              <w:t>G</w:t>
            </w:r>
            <w:r>
              <w:rPr>
                <w:rFonts w:ascii="Times New Roman" w:hAnsi="Times New Roman" w:eastAsia="宋体"/>
                <w:color w:val="auto"/>
                <w:position w:val="2"/>
                <w:sz w:val="21"/>
                <w:szCs w:val="21"/>
                <w:highlight w:val="none"/>
              </w:rPr>
              <w:t>j</w:t>
            </w:r>
            <w:r>
              <w:rPr>
                <w:rFonts w:ascii="Times New Roman" w:hAnsi="Times New Roman" w:eastAsia="宋体"/>
                <w:color w:val="auto"/>
                <w:spacing w:val="-120"/>
                <w:position w:val="2"/>
                <w:sz w:val="21"/>
                <w:szCs w:val="21"/>
                <w:highlight w:val="none"/>
              </w:rPr>
              <w:t>）</w:t>
            </w:r>
            <w:r>
              <w:rPr>
                <w:rFonts w:ascii="Times New Roman" w:hAnsi="Times New Roman" w:eastAsia="宋体"/>
                <w:color w:val="auto"/>
                <w:spacing w:val="-20"/>
                <w:position w:val="2"/>
                <w:sz w:val="21"/>
                <w:szCs w:val="21"/>
                <w:highlight w:val="none"/>
              </w:rPr>
              <w:t>，为</w:t>
            </w:r>
            <w:r>
              <w:rPr>
                <w:rFonts w:ascii="Times New Roman" w:hAnsi="Times New Roman" w:eastAsia="宋体"/>
                <w:color w:val="auto"/>
                <w:position w:val="2"/>
                <w:sz w:val="21"/>
                <w:szCs w:val="21"/>
                <w:highlight w:val="none"/>
              </w:rPr>
              <w:t>0.</w:t>
            </w:r>
            <w:r>
              <w:rPr>
                <w:rFonts w:ascii="Times New Roman" w:hAnsi="Times New Roman" w:eastAsia="宋体"/>
                <w:color w:val="auto"/>
                <w:spacing w:val="-10"/>
                <w:position w:val="2"/>
                <w:sz w:val="21"/>
                <w:szCs w:val="21"/>
                <w:highlight w:val="none"/>
              </w:rPr>
              <w:t>1</w:t>
            </w:r>
            <w:r>
              <w:rPr>
                <w:rFonts w:ascii="Times New Roman" w:hAnsi="Times New Roman" w:eastAsia="宋体"/>
                <w:color w:val="auto"/>
                <w:position w:val="2"/>
                <w:sz w:val="21"/>
                <w:szCs w:val="21"/>
                <w:highlight w:val="none"/>
              </w:rPr>
              <w:t>1tC</w:t>
            </w:r>
            <w:r>
              <w:rPr>
                <w:rFonts w:ascii="Times New Roman" w:hAnsi="Times New Roman" w:eastAsia="宋体"/>
                <w:color w:val="auto"/>
                <w:spacing w:val="-1"/>
                <w:position w:val="2"/>
                <w:sz w:val="21"/>
                <w:szCs w:val="21"/>
                <w:highlight w:val="none"/>
              </w:rPr>
              <w:t>O</w:t>
            </w:r>
            <w:r>
              <w:rPr>
                <w:rFonts w:ascii="Times New Roman" w:hAnsi="Times New Roman" w:eastAsia="宋体"/>
                <w:color w:val="auto"/>
                <w:spacing w:val="1"/>
                <w:sz w:val="21"/>
                <w:szCs w:val="21"/>
                <w:highlight w:val="none"/>
                <w:vertAlign w:val="subscript"/>
              </w:rPr>
              <w:t>2</w:t>
            </w:r>
            <w:r>
              <w:rPr>
                <w:rFonts w:ascii="Times New Roman" w:hAnsi="Times New Roman" w:eastAsia="宋体"/>
                <w:color w:val="auto"/>
                <w:sz w:val="21"/>
                <w:szCs w:val="21"/>
                <w:highlight w:val="none"/>
                <w:vertAlign w:val="subscript"/>
              </w:rPr>
              <w:t>e</w:t>
            </w:r>
            <w:r>
              <w:rPr>
                <w:rFonts w:ascii="Times New Roman" w:hAnsi="Times New Roman" w:eastAsia="宋体"/>
                <w:color w:val="auto"/>
                <w:position w:val="2"/>
                <w:sz w:val="21"/>
                <w:szCs w:val="21"/>
                <w:highlight w:val="none"/>
              </w:rPr>
              <w:t>/</w:t>
            </w:r>
            <w:r>
              <w:rPr>
                <w:rFonts w:ascii="Times New Roman" w:hAnsi="Times New Roman" w:eastAsia="宋体"/>
                <w:color w:val="auto"/>
                <w:spacing w:val="-1"/>
                <w:position w:val="2"/>
                <w:sz w:val="21"/>
                <w:szCs w:val="21"/>
                <w:highlight w:val="none"/>
              </w:rPr>
              <w:t>G</w:t>
            </w:r>
            <w:r>
              <w:rPr>
                <w:rFonts w:ascii="Times New Roman" w:hAnsi="Times New Roman" w:eastAsia="宋体"/>
                <w:color w:val="auto"/>
                <w:position w:val="2"/>
                <w:sz w:val="21"/>
                <w:szCs w:val="21"/>
                <w:highlight w:val="none"/>
              </w:rPr>
              <w:t>j。</w:t>
            </w:r>
          </w:p>
          <w:p>
            <w:pPr>
              <w:jc w:val="center"/>
              <w:rPr>
                <w:b/>
                <w:bCs/>
                <w:color w:val="auto"/>
                <w:sz w:val="21"/>
                <w:szCs w:val="21"/>
                <w:highlight w:val="none"/>
              </w:rPr>
            </w:pPr>
            <w:bookmarkStart w:id="9" w:name="_Toc68895592"/>
            <w:r>
              <w:rPr>
                <w:b/>
                <w:bCs/>
                <w:color w:val="auto"/>
                <w:sz w:val="21"/>
                <w:szCs w:val="21"/>
                <w:highlight w:val="none"/>
              </w:rPr>
              <w:t>表4-</w:t>
            </w:r>
            <w:r>
              <w:rPr>
                <w:rFonts w:hint="eastAsia"/>
                <w:b/>
                <w:bCs/>
                <w:color w:val="auto"/>
                <w:sz w:val="21"/>
                <w:szCs w:val="21"/>
                <w:highlight w:val="none"/>
                <w:lang w:val="en-US" w:eastAsia="zh-CN"/>
              </w:rPr>
              <w:t>33</w:t>
            </w:r>
            <w:r>
              <w:rPr>
                <w:b/>
                <w:bCs/>
                <w:color w:val="auto"/>
                <w:sz w:val="21"/>
                <w:szCs w:val="21"/>
                <w:highlight w:val="none"/>
              </w:rPr>
              <w:t xml:space="preserve"> 营运期使用的材料表</w:t>
            </w:r>
            <w:bookmarkEnd w:id="9"/>
          </w:p>
          <w:tbl>
            <w:tblPr>
              <w:tblStyle w:val="25"/>
              <w:tblW w:w="4998" w:type="pct"/>
              <w:tblInd w:w="5"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3955"/>
              <w:gridCol w:w="4523"/>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332" w:type="pct"/>
                </w:tcPr>
                <w:p>
                  <w:pPr>
                    <w:pStyle w:val="47"/>
                    <w:spacing w:before="22"/>
                    <w:ind w:left="1131" w:right="1124"/>
                    <w:jc w:val="center"/>
                    <w:rPr>
                      <w:rFonts w:ascii="Times New Roman" w:cs="Times New Roman"/>
                      <w:b/>
                      <w:bCs/>
                      <w:color w:val="auto"/>
                      <w:sz w:val="21"/>
                      <w:szCs w:val="21"/>
                      <w:highlight w:val="none"/>
                    </w:rPr>
                  </w:pPr>
                  <w:r>
                    <w:rPr>
                      <w:rFonts w:ascii="Times New Roman" w:cs="Times New Roman"/>
                      <w:b/>
                      <w:bCs/>
                      <w:color w:val="auto"/>
                      <w:sz w:val="21"/>
                      <w:szCs w:val="21"/>
                      <w:highlight w:val="none"/>
                    </w:rPr>
                    <w:t>类别</w:t>
                  </w:r>
                </w:p>
              </w:tc>
              <w:tc>
                <w:tcPr>
                  <w:tcW w:w="2667" w:type="pct"/>
                </w:tcPr>
                <w:p>
                  <w:pPr>
                    <w:pStyle w:val="47"/>
                    <w:spacing w:before="22"/>
                    <w:ind w:left="1417" w:right="1407"/>
                    <w:jc w:val="center"/>
                    <w:rPr>
                      <w:rFonts w:ascii="Times New Roman" w:cs="Times New Roman"/>
                      <w:b/>
                      <w:bCs/>
                      <w:color w:val="auto"/>
                      <w:sz w:val="21"/>
                      <w:szCs w:val="21"/>
                      <w:highlight w:val="none"/>
                    </w:rPr>
                  </w:pPr>
                  <w:r>
                    <w:rPr>
                      <w:rFonts w:ascii="Times New Roman" w:cs="Times New Roman"/>
                      <w:b/>
                      <w:bCs/>
                      <w:color w:val="auto"/>
                      <w:sz w:val="21"/>
                      <w:szCs w:val="21"/>
                      <w:highlight w:val="none"/>
                    </w:rPr>
                    <w:t>使用量</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2332" w:type="pct"/>
                </w:tcPr>
                <w:p>
                  <w:pPr>
                    <w:pStyle w:val="47"/>
                    <w:spacing w:before="22"/>
                    <w:ind w:left="1131" w:right="1122"/>
                    <w:jc w:val="center"/>
                    <w:rPr>
                      <w:rFonts w:ascii="Times New Roman" w:cs="Times New Roman"/>
                      <w:color w:val="auto"/>
                      <w:sz w:val="21"/>
                      <w:szCs w:val="21"/>
                      <w:highlight w:val="none"/>
                    </w:rPr>
                  </w:pPr>
                  <w:r>
                    <w:rPr>
                      <w:rFonts w:ascii="Times New Roman" w:cs="Times New Roman"/>
                      <w:color w:val="auto"/>
                      <w:sz w:val="21"/>
                      <w:szCs w:val="21"/>
                      <w:highlight w:val="none"/>
                    </w:rPr>
                    <w:t>电力使用量</w:t>
                  </w:r>
                </w:p>
              </w:tc>
              <w:tc>
                <w:tcPr>
                  <w:tcW w:w="2667" w:type="pct"/>
                </w:tcPr>
                <w:p>
                  <w:pPr>
                    <w:pStyle w:val="47"/>
                    <w:spacing w:before="34"/>
                    <w:ind w:left="1417" w:right="1407"/>
                    <w:jc w:val="center"/>
                    <w:rPr>
                      <w:rFonts w:ascii="Times New Roman" w:cs="Times New Roman"/>
                      <w:color w:val="auto"/>
                      <w:sz w:val="21"/>
                      <w:szCs w:val="21"/>
                      <w:highlight w:val="none"/>
                    </w:rPr>
                  </w:pPr>
                  <w:r>
                    <w:rPr>
                      <w:rFonts w:hint="eastAsia" w:ascii="Times New Roman" w:cs="Times New Roman"/>
                      <w:color w:val="auto"/>
                      <w:sz w:val="21"/>
                      <w:szCs w:val="21"/>
                      <w:highlight w:val="none"/>
                    </w:rPr>
                    <w:t>1000</w:t>
                  </w:r>
                  <w:r>
                    <w:rPr>
                      <w:rFonts w:ascii="Times New Roman" w:cs="Times New Roman"/>
                      <w:color w:val="auto"/>
                      <w:sz w:val="21"/>
                      <w:szCs w:val="21"/>
                      <w:highlight w:val="none"/>
                    </w:rPr>
                    <w:t>MWh</w:t>
                  </w:r>
                </w:p>
              </w:tc>
            </w:tr>
          </w:tbl>
          <w:p>
            <w:pPr>
              <w:pStyle w:val="2"/>
              <w:adjustRightInd w:val="0"/>
              <w:snapToGrid w:val="0"/>
              <w:spacing w:line="360" w:lineRule="auto"/>
              <w:ind w:firstLine="420" w:firstLineChars="200"/>
              <w:rPr>
                <w:rFonts w:ascii="Times New Roman" w:hAnsi="Times New Roman" w:eastAsia="宋体"/>
                <w:color w:val="auto"/>
                <w:kern w:val="0"/>
                <w:sz w:val="21"/>
                <w:szCs w:val="21"/>
                <w:highlight w:val="none"/>
              </w:rPr>
            </w:pPr>
            <w:r>
              <w:rPr>
                <w:rFonts w:ascii="Times New Roman" w:hAnsi="Times New Roman" w:eastAsia="宋体"/>
                <w:color w:val="auto"/>
                <w:sz w:val="21"/>
                <w:szCs w:val="21"/>
                <w:highlight w:val="none"/>
              </w:rPr>
              <w:t>本项目碳排放总量如下：</w:t>
            </w:r>
          </w:p>
          <w:p>
            <w:pPr>
              <w:pStyle w:val="2"/>
              <w:adjustRightInd w:val="0"/>
              <w:snapToGrid w:val="0"/>
              <w:spacing w:line="360" w:lineRule="auto"/>
              <w:ind w:firstLine="420" w:firstLineChars="200"/>
              <w:rPr>
                <w:rFonts w:ascii="Times New Roman" w:hAnsi="Times New Roman" w:eastAsia="宋体"/>
                <w:color w:val="auto"/>
                <w:position w:val="2"/>
                <w:sz w:val="21"/>
                <w:szCs w:val="21"/>
                <w:highlight w:val="none"/>
              </w:rPr>
            </w:pPr>
            <w:r>
              <w:rPr>
                <w:rFonts w:ascii="Times New Roman" w:hAnsi="Times New Roman" w:eastAsia="宋体"/>
                <w:color w:val="auto"/>
                <w:position w:val="2"/>
                <w:sz w:val="21"/>
                <w:szCs w:val="21"/>
                <w:highlight w:val="none"/>
              </w:rPr>
              <w:t>AE</w:t>
            </w:r>
            <w:r>
              <w:rPr>
                <w:rFonts w:ascii="Times New Roman" w:hAnsi="Times New Roman" w:eastAsia="宋体"/>
                <w:color w:val="auto"/>
                <w:sz w:val="21"/>
                <w:szCs w:val="21"/>
                <w:highlight w:val="none"/>
                <w:vertAlign w:val="subscript"/>
              </w:rPr>
              <w:t>电燃</w:t>
            </w:r>
            <w:r>
              <w:rPr>
                <w:rFonts w:ascii="Times New Roman" w:hAnsi="Times New Roman" w:eastAsia="宋体"/>
                <w:color w:val="auto"/>
                <w:position w:val="2"/>
                <w:sz w:val="21"/>
                <w:szCs w:val="21"/>
                <w:highlight w:val="none"/>
              </w:rPr>
              <w:t>=0</w:t>
            </w:r>
          </w:p>
          <w:p>
            <w:pPr>
              <w:pStyle w:val="2"/>
              <w:adjustRightInd w:val="0"/>
              <w:snapToGrid w:val="0"/>
              <w:spacing w:line="360" w:lineRule="auto"/>
              <w:ind w:firstLine="420" w:firstLineChars="200"/>
              <w:rPr>
                <w:rFonts w:ascii="Times New Roman" w:hAnsi="Times New Roman" w:eastAsia="宋体"/>
                <w:color w:val="auto"/>
                <w:position w:val="2"/>
                <w:sz w:val="21"/>
                <w:szCs w:val="21"/>
                <w:highlight w:val="none"/>
              </w:rPr>
            </w:pPr>
            <w:r>
              <w:rPr>
                <w:rFonts w:ascii="Times New Roman" w:hAnsi="Times New Roman" w:eastAsia="宋体"/>
                <w:color w:val="auto"/>
                <w:position w:val="2"/>
                <w:sz w:val="21"/>
                <w:szCs w:val="21"/>
                <w:highlight w:val="none"/>
              </w:rPr>
              <w:t>AE</w:t>
            </w:r>
            <w:r>
              <w:rPr>
                <w:rFonts w:ascii="Times New Roman" w:hAnsi="Times New Roman" w:eastAsia="宋体"/>
                <w:color w:val="auto"/>
                <w:position w:val="2"/>
                <w:sz w:val="21"/>
                <w:szCs w:val="21"/>
                <w:highlight w:val="none"/>
                <w:vertAlign w:val="subscript"/>
              </w:rPr>
              <w:t>工业生产过程</w:t>
            </w:r>
            <w:r>
              <w:rPr>
                <w:rFonts w:ascii="Times New Roman" w:hAnsi="Times New Roman" w:eastAsia="宋体"/>
                <w:color w:val="auto"/>
                <w:position w:val="2"/>
                <w:sz w:val="21"/>
                <w:szCs w:val="21"/>
                <w:highlight w:val="none"/>
              </w:rPr>
              <w:t>=0</w:t>
            </w:r>
          </w:p>
          <w:p>
            <w:pPr>
              <w:pStyle w:val="2"/>
              <w:adjustRightInd w:val="0"/>
              <w:snapToGrid w:val="0"/>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position w:val="2"/>
                <w:sz w:val="21"/>
                <w:szCs w:val="21"/>
                <w:highlight w:val="none"/>
              </w:rPr>
              <w:t>AE</w:t>
            </w:r>
            <w:r>
              <w:rPr>
                <w:rFonts w:ascii="Times New Roman" w:hAnsi="Times New Roman" w:eastAsia="宋体"/>
                <w:color w:val="auto"/>
                <w:sz w:val="21"/>
                <w:szCs w:val="21"/>
                <w:highlight w:val="none"/>
                <w:vertAlign w:val="subscript"/>
              </w:rPr>
              <w:t>工燃</w:t>
            </w:r>
            <w:r>
              <w:rPr>
                <w:rFonts w:ascii="Times New Roman" w:hAnsi="Times New Roman" w:eastAsia="宋体"/>
                <w:color w:val="auto"/>
                <w:position w:val="2"/>
                <w:sz w:val="21"/>
                <w:szCs w:val="21"/>
                <w:highlight w:val="none"/>
              </w:rPr>
              <w:t>=0</w:t>
            </w:r>
          </w:p>
          <w:p>
            <w:pPr>
              <w:pStyle w:val="2"/>
              <w:adjustRightInd w:val="0"/>
              <w:snapToGrid w:val="0"/>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position w:val="2"/>
                <w:sz w:val="21"/>
                <w:szCs w:val="21"/>
                <w:highlight w:val="none"/>
              </w:rPr>
              <w:t>AE</w:t>
            </w:r>
            <w:r>
              <w:rPr>
                <w:rFonts w:ascii="Times New Roman" w:hAnsi="Times New Roman" w:eastAsia="宋体"/>
                <w:color w:val="auto"/>
                <w:sz w:val="21"/>
                <w:szCs w:val="21"/>
                <w:highlight w:val="none"/>
                <w:vertAlign w:val="subscript"/>
              </w:rPr>
              <w:t>净调入电力</w:t>
            </w:r>
            <w:r>
              <w:rPr>
                <w:rFonts w:ascii="Times New Roman" w:hAnsi="Times New Roman" w:eastAsia="宋体"/>
                <w:color w:val="auto"/>
                <w:position w:val="2"/>
                <w:sz w:val="21"/>
                <w:szCs w:val="21"/>
                <w:highlight w:val="none"/>
              </w:rPr>
              <w:t>=</w:t>
            </w:r>
            <w:r>
              <w:rPr>
                <w:rFonts w:hint="eastAsia" w:ascii="Times New Roman" w:hAnsi="Times New Roman" w:eastAsia="宋体"/>
                <w:color w:val="auto"/>
                <w:position w:val="2"/>
                <w:sz w:val="21"/>
                <w:szCs w:val="21"/>
                <w:highlight w:val="none"/>
              </w:rPr>
              <w:t>1000</w:t>
            </w:r>
            <w:r>
              <w:rPr>
                <w:rFonts w:ascii="Times New Roman" w:hAnsi="Times New Roman" w:eastAsia="宋体"/>
                <w:color w:val="auto"/>
                <w:position w:val="2"/>
                <w:sz w:val="21"/>
                <w:szCs w:val="21"/>
                <w:highlight w:val="none"/>
              </w:rPr>
              <w:t>MWh*0.9944tCO</w:t>
            </w:r>
            <w:r>
              <w:rPr>
                <w:rFonts w:ascii="Times New Roman" w:hAnsi="Times New Roman" w:eastAsia="宋体"/>
                <w:color w:val="auto"/>
                <w:sz w:val="21"/>
                <w:szCs w:val="21"/>
                <w:highlight w:val="none"/>
                <w:vertAlign w:val="subscript"/>
              </w:rPr>
              <w:t>2e</w:t>
            </w:r>
            <w:r>
              <w:rPr>
                <w:rFonts w:ascii="Times New Roman" w:hAnsi="Times New Roman" w:eastAsia="宋体"/>
                <w:color w:val="auto"/>
                <w:position w:val="2"/>
                <w:sz w:val="21"/>
                <w:szCs w:val="21"/>
                <w:highlight w:val="none"/>
              </w:rPr>
              <w:t>/MWh=</w:t>
            </w:r>
            <w:r>
              <w:rPr>
                <w:rFonts w:hint="eastAsia" w:ascii="Times New Roman" w:hAnsi="Times New Roman" w:eastAsia="宋体"/>
                <w:color w:val="auto"/>
                <w:position w:val="2"/>
                <w:sz w:val="21"/>
                <w:szCs w:val="21"/>
                <w:highlight w:val="none"/>
              </w:rPr>
              <w:t>994.4</w:t>
            </w:r>
            <w:r>
              <w:rPr>
                <w:rFonts w:ascii="Times New Roman" w:hAnsi="Times New Roman" w:eastAsia="宋体"/>
                <w:color w:val="auto"/>
                <w:position w:val="2"/>
                <w:sz w:val="21"/>
                <w:szCs w:val="21"/>
                <w:highlight w:val="none"/>
              </w:rPr>
              <w:t>tCO</w:t>
            </w:r>
            <w:r>
              <w:rPr>
                <w:rFonts w:ascii="Times New Roman" w:hAnsi="Times New Roman" w:eastAsia="宋体"/>
                <w:color w:val="auto"/>
                <w:sz w:val="21"/>
                <w:szCs w:val="21"/>
                <w:highlight w:val="none"/>
                <w:vertAlign w:val="subscript"/>
              </w:rPr>
              <w:t>2e</w:t>
            </w:r>
          </w:p>
          <w:p>
            <w:pPr>
              <w:adjustRightInd w:val="0"/>
              <w:snapToGrid w:val="0"/>
              <w:spacing w:line="360" w:lineRule="auto"/>
              <w:ind w:firstLine="420" w:firstLineChars="200"/>
              <w:rPr>
                <w:color w:val="auto"/>
                <w:sz w:val="21"/>
                <w:szCs w:val="21"/>
                <w:highlight w:val="none"/>
              </w:rPr>
            </w:pPr>
            <w:r>
              <w:rPr>
                <w:color w:val="auto"/>
                <w:position w:val="2"/>
                <w:sz w:val="21"/>
                <w:szCs w:val="21"/>
                <w:highlight w:val="none"/>
              </w:rPr>
              <w:t>AE</w:t>
            </w:r>
            <w:r>
              <w:rPr>
                <w:color w:val="auto"/>
                <w:sz w:val="21"/>
                <w:szCs w:val="21"/>
                <w:highlight w:val="none"/>
                <w:vertAlign w:val="subscript"/>
              </w:rPr>
              <w:t>净调入热力</w:t>
            </w:r>
            <w:r>
              <w:rPr>
                <w:color w:val="auto"/>
                <w:position w:val="2"/>
                <w:sz w:val="21"/>
                <w:szCs w:val="21"/>
                <w:highlight w:val="none"/>
              </w:rPr>
              <w:t>=0</w:t>
            </w:r>
          </w:p>
          <w:p>
            <w:pPr>
              <w:pStyle w:val="2"/>
              <w:adjustRightInd w:val="0"/>
              <w:snapToGrid w:val="0"/>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position w:val="2"/>
                <w:sz w:val="21"/>
                <w:szCs w:val="21"/>
                <w:highlight w:val="none"/>
              </w:rPr>
              <w:t>AE</w:t>
            </w:r>
            <w:r>
              <w:rPr>
                <w:rFonts w:ascii="Times New Roman" w:hAnsi="Times New Roman" w:eastAsia="宋体"/>
                <w:color w:val="auto"/>
                <w:position w:val="2"/>
                <w:sz w:val="21"/>
                <w:szCs w:val="21"/>
                <w:highlight w:val="none"/>
                <w:vertAlign w:val="subscript"/>
              </w:rPr>
              <w:t>总</w:t>
            </w:r>
            <w:r>
              <w:rPr>
                <w:rFonts w:ascii="Times New Roman" w:hAnsi="Times New Roman" w:eastAsia="宋体"/>
                <w:color w:val="auto"/>
                <w:position w:val="2"/>
                <w:sz w:val="21"/>
                <w:szCs w:val="21"/>
                <w:highlight w:val="none"/>
              </w:rPr>
              <w:t>=</w:t>
            </w:r>
            <w:r>
              <w:rPr>
                <w:rFonts w:hint="eastAsia" w:ascii="Times New Roman" w:hAnsi="Times New Roman" w:eastAsia="宋体"/>
                <w:color w:val="auto"/>
                <w:position w:val="2"/>
                <w:sz w:val="21"/>
                <w:szCs w:val="21"/>
                <w:highlight w:val="none"/>
              </w:rPr>
              <w:t>994.4</w:t>
            </w:r>
            <w:r>
              <w:rPr>
                <w:rFonts w:ascii="Times New Roman" w:hAnsi="Times New Roman" w:eastAsia="宋体"/>
                <w:color w:val="auto"/>
                <w:position w:val="2"/>
                <w:sz w:val="21"/>
                <w:szCs w:val="21"/>
                <w:highlight w:val="none"/>
              </w:rPr>
              <w:t>tCO</w:t>
            </w:r>
            <w:r>
              <w:rPr>
                <w:rFonts w:ascii="Times New Roman" w:hAnsi="Times New Roman" w:eastAsia="宋体"/>
                <w:color w:val="auto"/>
                <w:sz w:val="21"/>
                <w:szCs w:val="21"/>
                <w:highlight w:val="none"/>
                <w:vertAlign w:val="subscript"/>
              </w:rPr>
              <w:t>2e</w:t>
            </w:r>
          </w:p>
          <w:p>
            <w:pPr>
              <w:pStyle w:val="2"/>
              <w:adjustRightInd w:val="0"/>
              <w:snapToGrid w:val="0"/>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position w:val="2"/>
                <w:sz w:val="21"/>
                <w:szCs w:val="21"/>
                <w:highlight w:val="none"/>
              </w:rPr>
              <w:t>碳排放强度（单位用地碳排放量）=</w:t>
            </w:r>
            <w:r>
              <w:rPr>
                <w:rFonts w:hint="eastAsia" w:ascii="Times New Roman" w:hAnsi="Times New Roman" w:eastAsia="宋体"/>
                <w:color w:val="auto"/>
                <w:position w:val="2"/>
                <w:sz w:val="21"/>
                <w:szCs w:val="21"/>
                <w:highlight w:val="none"/>
              </w:rPr>
              <w:t>994.4</w:t>
            </w:r>
            <w:r>
              <w:rPr>
                <w:rFonts w:ascii="Times New Roman" w:hAnsi="Times New Roman" w:eastAsia="宋体"/>
                <w:color w:val="auto"/>
                <w:position w:val="2"/>
                <w:sz w:val="21"/>
                <w:szCs w:val="21"/>
                <w:highlight w:val="none"/>
              </w:rPr>
              <w:t>/</w:t>
            </w:r>
            <w:r>
              <w:rPr>
                <w:rFonts w:hint="eastAsia" w:ascii="Times New Roman" w:hAnsi="Times New Roman" w:eastAsia="宋体"/>
                <w:color w:val="auto"/>
                <w:position w:val="2"/>
                <w:sz w:val="21"/>
                <w:szCs w:val="21"/>
                <w:highlight w:val="none"/>
              </w:rPr>
              <w:t>1000</w:t>
            </w:r>
            <w:r>
              <w:rPr>
                <w:rFonts w:ascii="Times New Roman" w:hAnsi="Times New Roman" w:eastAsia="宋体"/>
                <w:color w:val="auto"/>
                <w:position w:val="2"/>
                <w:sz w:val="21"/>
                <w:szCs w:val="21"/>
                <w:highlight w:val="none"/>
              </w:rPr>
              <w:t>=</w:t>
            </w:r>
            <w:r>
              <w:rPr>
                <w:rFonts w:hint="eastAsia" w:ascii="Times New Roman" w:hAnsi="Times New Roman" w:eastAsia="宋体"/>
                <w:color w:val="auto"/>
                <w:position w:val="2"/>
                <w:sz w:val="21"/>
                <w:szCs w:val="21"/>
                <w:highlight w:val="none"/>
              </w:rPr>
              <w:t>0.9944</w:t>
            </w:r>
            <w:r>
              <w:rPr>
                <w:rFonts w:ascii="Times New Roman" w:hAnsi="Times New Roman" w:eastAsia="宋体"/>
                <w:color w:val="auto"/>
                <w:position w:val="2"/>
                <w:sz w:val="21"/>
                <w:szCs w:val="21"/>
                <w:highlight w:val="none"/>
              </w:rPr>
              <w:t>tCO</w:t>
            </w:r>
            <w:r>
              <w:rPr>
                <w:rFonts w:ascii="Times New Roman" w:hAnsi="Times New Roman" w:eastAsia="宋体"/>
                <w:color w:val="auto"/>
                <w:sz w:val="21"/>
                <w:szCs w:val="21"/>
                <w:highlight w:val="none"/>
                <w:vertAlign w:val="subscript"/>
              </w:rPr>
              <w:t>2e</w:t>
            </w:r>
            <w:r>
              <w:rPr>
                <w:rFonts w:ascii="Times New Roman" w:hAnsi="Times New Roman" w:eastAsia="宋体"/>
                <w:color w:val="auto"/>
                <w:position w:val="2"/>
                <w:sz w:val="21"/>
                <w:szCs w:val="21"/>
                <w:highlight w:val="none"/>
              </w:rPr>
              <w:t>/m</w:t>
            </w:r>
            <w:r>
              <w:rPr>
                <w:rFonts w:ascii="Times New Roman" w:hAnsi="Times New Roman" w:eastAsia="宋体"/>
                <w:color w:val="auto"/>
                <w:position w:val="2"/>
                <w:sz w:val="21"/>
                <w:szCs w:val="21"/>
                <w:highlight w:val="none"/>
                <w:vertAlign w:val="superscript"/>
              </w:rPr>
              <w:t>2</w:t>
            </w:r>
          </w:p>
          <w:p>
            <w:pPr>
              <w:pStyle w:val="2"/>
              <w:adjustRightInd w:val="0"/>
              <w:snapToGrid w:val="0"/>
              <w:spacing w:line="360" w:lineRule="auto"/>
              <w:ind w:firstLine="420" w:firstLineChars="200"/>
              <w:rPr>
                <w:rFonts w:ascii="Times New Roman" w:hAnsi="Times New Roman" w:eastAsia="宋体"/>
                <w:color w:val="auto"/>
                <w:sz w:val="21"/>
                <w:szCs w:val="21"/>
                <w:highlight w:val="none"/>
              </w:rPr>
            </w:pPr>
            <w:r>
              <w:rPr>
                <w:rFonts w:ascii="Times New Roman" w:hAnsi="Times New Roman" w:eastAsia="宋体"/>
                <w:color w:val="auto"/>
                <w:position w:val="2"/>
                <w:sz w:val="21"/>
                <w:szCs w:val="21"/>
                <w:highlight w:val="none"/>
              </w:rPr>
              <w:t>碳排放强度（单位工业总产值碳排放量）=</w:t>
            </w:r>
            <w:r>
              <w:rPr>
                <w:rFonts w:hint="eastAsia" w:ascii="Times New Roman" w:hAnsi="Times New Roman" w:eastAsia="宋体"/>
                <w:color w:val="auto"/>
                <w:position w:val="2"/>
                <w:sz w:val="21"/>
                <w:szCs w:val="21"/>
                <w:highlight w:val="none"/>
              </w:rPr>
              <w:t>994.4</w:t>
            </w:r>
            <w:r>
              <w:rPr>
                <w:rFonts w:ascii="Times New Roman" w:hAnsi="Times New Roman" w:eastAsia="宋体"/>
                <w:color w:val="auto"/>
                <w:position w:val="2"/>
                <w:sz w:val="21"/>
                <w:szCs w:val="21"/>
                <w:highlight w:val="none"/>
              </w:rPr>
              <w:t>/</w:t>
            </w:r>
            <w:r>
              <w:rPr>
                <w:rFonts w:hint="eastAsia" w:ascii="Times New Roman" w:hAnsi="Times New Roman" w:eastAsia="宋体"/>
                <w:color w:val="auto"/>
                <w:position w:val="2"/>
                <w:sz w:val="21"/>
                <w:szCs w:val="21"/>
                <w:highlight w:val="none"/>
              </w:rPr>
              <w:t>3000</w:t>
            </w:r>
            <w:r>
              <w:rPr>
                <w:rFonts w:ascii="Times New Roman" w:hAnsi="Times New Roman" w:eastAsia="宋体"/>
                <w:color w:val="auto"/>
                <w:position w:val="2"/>
                <w:sz w:val="21"/>
                <w:szCs w:val="21"/>
                <w:highlight w:val="none"/>
              </w:rPr>
              <w:t>=0.</w:t>
            </w:r>
            <w:r>
              <w:rPr>
                <w:rFonts w:hint="eastAsia" w:ascii="Times New Roman" w:hAnsi="Times New Roman" w:eastAsia="宋体"/>
                <w:color w:val="auto"/>
                <w:position w:val="2"/>
                <w:sz w:val="21"/>
                <w:szCs w:val="21"/>
                <w:highlight w:val="none"/>
              </w:rPr>
              <w:t>3315</w:t>
            </w:r>
            <w:r>
              <w:rPr>
                <w:rFonts w:ascii="Times New Roman" w:hAnsi="Times New Roman" w:eastAsia="宋体"/>
                <w:color w:val="auto"/>
                <w:position w:val="2"/>
                <w:sz w:val="21"/>
                <w:szCs w:val="21"/>
                <w:highlight w:val="none"/>
              </w:rPr>
              <w:t>tCO</w:t>
            </w:r>
            <w:r>
              <w:rPr>
                <w:rFonts w:ascii="Times New Roman" w:hAnsi="Times New Roman" w:eastAsia="宋体"/>
                <w:color w:val="auto"/>
                <w:sz w:val="21"/>
                <w:szCs w:val="21"/>
                <w:highlight w:val="none"/>
                <w:vertAlign w:val="subscript"/>
              </w:rPr>
              <w:t>2e</w:t>
            </w:r>
            <w:r>
              <w:rPr>
                <w:rFonts w:ascii="Times New Roman" w:hAnsi="Times New Roman" w:eastAsia="宋体"/>
                <w:color w:val="auto"/>
                <w:position w:val="2"/>
                <w:sz w:val="21"/>
                <w:szCs w:val="21"/>
                <w:highlight w:val="none"/>
              </w:rPr>
              <w:t>/万元</w:t>
            </w:r>
          </w:p>
          <w:p>
            <w:pPr>
              <w:adjustRightInd w:val="0"/>
              <w:snapToGrid w:val="0"/>
              <w:jc w:val="center"/>
              <w:rPr>
                <w:b/>
                <w:bCs/>
                <w:color w:val="auto"/>
                <w:sz w:val="21"/>
                <w:szCs w:val="21"/>
                <w:highlight w:val="none"/>
              </w:rPr>
            </w:pPr>
            <w:bookmarkStart w:id="10" w:name="_Toc68895593"/>
            <w:r>
              <w:rPr>
                <w:b/>
                <w:bCs/>
                <w:color w:val="auto"/>
                <w:sz w:val="21"/>
                <w:szCs w:val="21"/>
                <w:highlight w:val="none"/>
              </w:rPr>
              <w:t>表4-</w:t>
            </w:r>
            <w:r>
              <w:rPr>
                <w:rFonts w:hint="eastAsia"/>
                <w:b/>
                <w:bCs/>
                <w:color w:val="auto"/>
                <w:sz w:val="21"/>
                <w:szCs w:val="21"/>
                <w:highlight w:val="none"/>
                <w:lang w:val="en-US" w:eastAsia="zh-CN"/>
              </w:rPr>
              <w:t>34</w:t>
            </w:r>
            <w:r>
              <w:rPr>
                <w:rFonts w:hint="eastAsia"/>
                <w:b/>
                <w:bCs/>
                <w:color w:val="auto"/>
                <w:sz w:val="21"/>
                <w:szCs w:val="21"/>
                <w:highlight w:val="none"/>
              </w:rPr>
              <w:t xml:space="preserve"> </w:t>
            </w:r>
            <w:r>
              <w:rPr>
                <w:b/>
                <w:bCs/>
                <w:color w:val="auto"/>
                <w:sz w:val="21"/>
                <w:szCs w:val="21"/>
                <w:highlight w:val="none"/>
              </w:rPr>
              <w:t>碳排放汇总表</w:t>
            </w:r>
            <w:bookmarkEnd w:id="10"/>
          </w:p>
          <w:tbl>
            <w:tblPr>
              <w:tblStyle w:val="25"/>
              <w:tblW w:w="4999"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1150"/>
              <w:gridCol w:w="1715"/>
              <w:gridCol w:w="2875"/>
              <w:gridCol w:w="2739"/>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384" w:type="pct"/>
                  <w:gridSpan w:val="3"/>
                  <w:vAlign w:val="center"/>
                </w:tcPr>
                <w:p>
                  <w:pPr>
                    <w:pStyle w:val="47"/>
                    <w:jc w:val="center"/>
                    <w:rPr>
                      <w:rFonts w:ascii="Times New Roman" w:cs="Times New Roman"/>
                      <w:b/>
                      <w:bCs/>
                      <w:color w:val="auto"/>
                      <w:sz w:val="21"/>
                      <w:szCs w:val="21"/>
                      <w:highlight w:val="none"/>
                    </w:rPr>
                  </w:pPr>
                  <w:r>
                    <w:rPr>
                      <w:rFonts w:ascii="Times New Roman" w:cs="Times New Roman"/>
                      <w:b/>
                      <w:bCs/>
                      <w:color w:val="auto"/>
                      <w:sz w:val="21"/>
                      <w:szCs w:val="21"/>
                      <w:highlight w:val="none"/>
                    </w:rPr>
                    <w:t>排放类型</w:t>
                  </w:r>
                </w:p>
              </w:tc>
              <w:tc>
                <w:tcPr>
                  <w:tcW w:w="1615" w:type="pct"/>
                  <w:vAlign w:val="center"/>
                </w:tcPr>
                <w:p>
                  <w:pPr>
                    <w:pStyle w:val="47"/>
                    <w:jc w:val="center"/>
                    <w:rPr>
                      <w:rFonts w:ascii="Times New Roman" w:cs="Times New Roman"/>
                      <w:b/>
                      <w:bCs/>
                      <w:color w:val="auto"/>
                      <w:sz w:val="21"/>
                      <w:szCs w:val="21"/>
                      <w:highlight w:val="none"/>
                    </w:rPr>
                  </w:pPr>
                  <w:r>
                    <w:rPr>
                      <w:rFonts w:ascii="Times New Roman" w:cs="Times New Roman"/>
                      <w:b/>
                      <w:bCs/>
                      <w:color w:val="auto"/>
                      <w:sz w:val="21"/>
                      <w:szCs w:val="21"/>
                      <w:highlight w:val="none"/>
                    </w:rPr>
                    <w:t>碳排放量</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678" w:type="pct"/>
                  <w:vAlign w:val="center"/>
                </w:tcPr>
                <w:p>
                  <w:pPr>
                    <w:pStyle w:val="47"/>
                    <w:jc w:val="center"/>
                    <w:rPr>
                      <w:rFonts w:ascii="Times New Roman" w:cs="Times New Roman"/>
                      <w:color w:val="auto"/>
                      <w:sz w:val="21"/>
                      <w:szCs w:val="21"/>
                      <w:highlight w:val="none"/>
                    </w:rPr>
                  </w:pPr>
                  <w:r>
                    <w:rPr>
                      <w:rFonts w:ascii="Times New Roman" w:cs="Times New Roman"/>
                      <w:color w:val="auto"/>
                      <w:sz w:val="21"/>
                      <w:szCs w:val="21"/>
                      <w:highlight w:val="none"/>
                    </w:rPr>
                    <w:t>营运期</w:t>
                  </w:r>
                </w:p>
              </w:tc>
              <w:tc>
                <w:tcPr>
                  <w:tcW w:w="1011" w:type="pct"/>
                  <w:vAlign w:val="center"/>
                </w:tcPr>
                <w:p>
                  <w:pPr>
                    <w:pStyle w:val="47"/>
                    <w:jc w:val="center"/>
                    <w:rPr>
                      <w:rFonts w:ascii="Times New Roman" w:cs="Times New Roman"/>
                      <w:color w:val="auto"/>
                      <w:sz w:val="21"/>
                      <w:szCs w:val="21"/>
                      <w:highlight w:val="none"/>
                    </w:rPr>
                  </w:pPr>
                  <w:r>
                    <w:rPr>
                      <w:rFonts w:ascii="Times New Roman" w:cs="Times New Roman"/>
                      <w:color w:val="auto"/>
                      <w:sz w:val="21"/>
                      <w:szCs w:val="21"/>
                      <w:highlight w:val="none"/>
                    </w:rPr>
                    <w:t>间接排放</w:t>
                  </w:r>
                </w:p>
              </w:tc>
              <w:tc>
                <w:tcPr>
                  <w:tcW w:w="1695" w:type="pct"/>
                  <w:vAlign w:val="center"/>
                </w:tcPr>
                <w:p>
                  <w:pPr>
                    <w:pStyle w:val="47"/>
                    <w:jc w:val="center"/>
                    <w:rPr>
                      <w:rFonts w:ascii="Times New Roman" w:cs="Times New Roman"/>
                      <w:color w:val="auto"/>
                      <w:sz w:val="21"/>
                      <w:szCs w:val="21"/>
                      <w:highlight w:val="none"/>
                    </w:rPr>
                  </w:pPr>
                  <w:r>
                    <w:rPr>
                      <w:rFonts w:ascii="Times New Roman" w:cs="Times New Roman"/>
                      <w:color w:val="auto"/>
                      <w:sz w:val="21"/>
                      <w:szCs w:val="21"/>
                      <w:highlight w:val="none"/>
                    </w:rPr>
                    <w:t>净调入电力和热力</w:t>
                  </w:r>
                </w:p>
              </w:tc>
              <w:tc>
                <w:tcPr>
                  <w:tcW w:w="1615" w:type="pct"/>
                  <w:vAlign w:val="center"/>
                </w:tcPr>
                <w:p>
                  <w:pPr>
                    <w:pStyle w:val="47"/>
                    <w:jc w:val="center"/>
                    <w:rPr>
                      <w:rFonts w:ascii="Times New Roman" w:cs="Times New Roman"/>
                      <w:color w:val="auto"/>
                      <w:sz w:val="21"/>
                      <w:szCs w:val="21"/>
                      <w:highlight w:val="none"/>
                    </w:rPr>
                  </w:pPr>
                  <w:r>
                    <w:rPr>
                      <w:rFonts w:hint="eastAsia" w:ascii="Times New Roman" w:cs="Times New Roman"/>
                      <w:color w:val="auto"/>
                      <w:position w:val="2"/>
                      <w:sz w:val="21"/>
                      <w:szCs w:val="21"/>
                      <w:highlight w:val="none"/>
                    </w:rPr>
                    <w:t>994.4</w:t>
                  </w:r>
                  <w:r>
                    <w:rPr>
                      <w:rFonts w:ascii="Times New Roman" w:cs="Times New Roman"/>
                      <w:color w:val="auto"/>
                      <w:position w:val="2"/>
                      <w:sz w:val="21"/>
                      <w:szCs w:val="21"/>
                      <w:highlight w:val="none"/>
                    </w:rPr>
                    <w:t>tCO</w:t>
                  </w:r>
                  <w:r>
                    <w:rPr>
                      <w:rFonts w:ascii="Times New Roman" w:cs="Times New Roman"/>
                      <w:color w:val="auto"/>
                      <w:sz w:val="21"/>
                      <w:szCs w:val="21"/>
                      <w:highlight w:val="none"/>
                    </w:rPr>
                    <w:t>2e</w:t>
                  </w:r>
                </w:p>
              </w:tc>
            </w:tr>
          </w:tbl>
          <w:p>
            <w:pPr>
              <w:pStyle w:val="37"/>
              <w:adjustRightInd w:val="0"/>
              <w:snapToGrid w:val="0"/>
              <w:spacing w:before="120" w:beforeLines="50" w:line="360" w:lineRule="auto"/>
              <w:ind w:firstLine="480"/>
              <w:rPr>
                <w:rFonts w:eastAsia="宋体"/>
                <w:color w:val="auto"/>
                <w:position w:val="2"/>
                <w:sz w:val="21"/>
                <w:szCs w:val="21"/>
                <w:highlight w:val="none"/>
              </w:rPr>
            </w:pPr>
            <w:r>
              <w:rPr>
                <w:rFonts w:eastAsia="宋体"/>
                <w:color w:val="auto"/>
                <w:position w:val="2"/>
                <w:sz w:val="21"/>
                <w:szCs w:val="21"/>
                <w:highlight w:val="none"/>
              </w:rPr>
              <w:t>综上可知，本项目的碳排放量为</w:t>
            </w:r>
            <w:r>
              <w:rPr>
                <w:rFonts w:hint="eastAsia" w:eastAsia="宋体"/>
                <w:color w:val="auto"/>
                <w:position w:val="2"/>
                <w:sz w:val="21"/>
                <w:szCs w:val="21"/>
                <w:highlight w:val="none"/>
              </w:rPr>
              <w:t>994.4</w:t>
            </w:r>
            <w:r>
              <w:rPr>
                <w:rFonts w:eastAsia="宋体"/>
                <w:color w:val="auto"/>
                <w:position w:val="2"/>
                <w:sz w:val="21"/>
                <w:szCs w:val="21"/>
                <w:highlight w:val="none"/>
              </w:rPr>
              <w:t>tCO</w:t>
            </w:r>
            <w:r>
              <w:rPr>
                <w:rFonts w:eastAsia="宋体"/>
                <w:color w:val="auto"/>
                <w:position w:val="2"/>
                <w:sz w:val="21"/>
                <w:szCs w:val="21"/>
                <w:highlight w:val="none"/>
                <w:vertAlign w:val="subscript"/>
              </w:rPr>
              <w:t>2e</w:t>
            </w:r>
            <w:r>
              <w:rPr>
                <w:rFonts w:eastAsia="宋体"/>
                <w:color w:val="auto"/>
                <w:position w:val="2"/>
                <w:sz w:val="21"/>
                <w:szCs w:val="21"/>
                <w:highlight w:val="none"/>
              </w:rPr>
              <w:t>，单位用地碳排放强度</w:t>
            </w:r>
            <w:r>
              <w:rPr>
                <w:rFonts w:hint="eastAsia" w:eastAsia="宋体"/>
                <w:color w:val="auto"/>
                <w:position w:val="2"/>
                <w:sz w:val="21"/>
                <w:szCs w:val="21"/>
                <w:highlight w:val="none"/>
              </w:rPr>
              <w:t>0.9944</w:t>
            </w:r>
            <w:r>
              <w:rPr>
                <w:rFonts w:eastAsia="宋体"/>
                <w:color w:val="auto"/>
                <w:position w:val="2"/>
                <w:sz w:val="21"/>
                <w:szCs w:val="21"/>
                <w:highlight w:val="none"/>
              </w:rPr>
              <w:t>tCO</w:t>
            </w:r>
            <w:r>
              <w:rPr>
                <w:rFonts w:eastAsia="宋体"/>
                <w:color w:val="auto"/>
                <w:sz w:val="21"/>
                <w:szCs w:val="21"/>
                <w:highlight w:val="none"/>
                <w:vertAlign w:val="subscript"/>
              </w:rPr>
              <w:t>2e</w:t>
            </w:r>
            <w:r>
              <w:rPr>
                <w:rFonts w:eastAsia="宋体"/>
                <w:color w:val="auto"/>
                <w:position w:val="2"/>
                <w:sz w:val="21"/>
                <w:szCs w:val="21"/>
                <w:highlight w:val="none"/>
              </w:rPr>
              <w:t>/m</w:t>
            </w:r>
            <w:r>
              <w:rPr>
                <w:rFonts w:eastAsia="宋体"/>
                <w:color w:val="auto"/>
                <w:position w:val="2"/>
                <w:sz w:val="21"/>
                <w:szCs w:val="21"/>
                <w:highlight w:val="none"/>
                <w:vertAlign w:val="superscript"/>
              </w:rPr>
              <w:t>2</w:t>
            </w:r>
            <w:r>
              <w:rPr>
                <w:rFonts w:eastAsia="宋体"/>
                <w:color w:val="auto"/>
                <w:position w:val="2"/>
                <w:sz w:val="21"/>
                <w:szCs w:val="21"/>
                <w:highlight w:val="none"/>
              </w:rPr>
              <w:t>，单位工业总产值碳排放强度为</w:t>
            </w:r>
            <w:r>
              <w:rPr>
                <w:rFonts w:hint="eastAsia" w:eastAsia="宋体"/>
                <w:color w:val="auto"/>
                <w:position w:val="2"/>
                <w:sz w:val="21"/>
                <w:szCs w:val="21"/>
                <w:highlight w:val="none"/>
              </w:rPr>
              <w:t>0.3315</w:t>
            </w:r>
            <w:r>
              <w:rPr>
                <w:rFonts w:eastAsia="宋体"/>
                <w:color w:val="auto"/>
                <w:position w:val="2"/>
                <w:sz w:val="21"/>
                <w:szCs w:val="21"/>
                <w:highlight w:val="none"/>
              </w:rPr>
              <w:t>tCO</w:t>
            </w:r>
            <w:r>
              <w:rPr>
                <w:rFonts w:eastAsia="宋体"/>
                <w:color w:val="auto"/>
                <w:sz w:val="21"/>
                <w:szCs w:val="21"/>
                <w:highlight w:val="none"/>
                <w:vertAlign w:val="subscript"/>
              </w:rPr>
              <w:t>2e</w:t>
            </w:r>
            <w:r>
              <w:rPr>
                <w:rFonts w:eastAsia="宋体"/>
                <w:color w:val="auto"/>
                <w:position w:val="2"/>
                <w:sz w:val="21"/>
                <w:szCs w:val="21"/>
                <w:highlight w:val="none"/>
              </w:rPr>
              <w:t>/万元。</w:t>
            </w:r>
          </w:p>
          <w:p>
            <w:pPr>
              <w:pStyle w:val="37"/>
              <w:adjustRightInd w:val="0"/>
              <w:snapToGrid w:val="0"/>
              <w:spacing w:line="360" w:lineRule="auto"/>
              <w:ind w:firstLine="482"/>
              <w:rPr>
                <w:rFonts w:eastAsia="宋体"/>
                <w:b/>
                <w:bCs/>
                <w:color w:val="auto"/>
                <w:sz w:val="21"/>
                <w:szCs w:val="21"/>
                <w:highlight w:val="none"/>
              </w:rPr>
            </w:pPr>
            <w:r>
              <w:rPr>
                <w:rFonts w:eastAsia="宋体"/>
                <w:b/>
                <w:bCs/>
                <w:color w:val="auto"/>
                <w:sz w:val="21"/>
                <w:szCs w:val="21"/>
                <w:highlight w:val="none"/>
              </w:rPr>
              <w:t>5、碳减排潜力分析及建议</w:t>
            </w:r>
          </w:p>
          <w:p>
            <w:pPr>
              <w:pStyle w:val="37"/>
              <w:adjustRightInd w:val="0"/>
              <w:snapToGrid w:val="0"/>
              <w:spacing w:line="360" w:lineRule="auto"/>
              <w:ind w:firstLine="480"/>
              <w:rPr>
                <w:rFonts w:eastAsia="宋体"/>
                <w:color w:val="auto"/>
                <w:position w:val="2"/>
                <w:sz w:val="21"/>
                <w:szCs w:val="21"/>
                <w:highlight w:val="none"/>
              </w:rPr>
            </w:pPr>
            <w:r>
              <w:rPr>
                <w:rFonts w:eastAsia="宋体"/>
                <w:color w:val="auto"/>
                <w:position w:val="2"/>
                <w:sz w:val="21"/>
                <w:szCs w:val="21"/>
                <w:highlight w:val="none"/>
              </w:rPr>
              <w:t>本项目主要消耗的能源是电力，本项目降低碳排放建议如下：</w:t>
            </w:r>
          </w:p>
          <w:p>
            <w:pPr>
              <w:pStyle w:val="37"/>
              <w:adjustRightInd w:val="0"/>
              <w:snapToGrid w:val="0"/>
              <w:spacing w:line="360" w:lineRule="auto"/>
              <w:ind w:firstLine="480"/>
              <w:rPr>
                <w:rFonts w:eastAsia="宋体"/>
                <w:color w:val="auto"/>
                <w:position w:val="2"/>
                <w:sz w:val="21"/>
                <w:szCs w:val="21"/>
                <w:highlight w:val="none"/>
              </w:rPr>
            </w:pPr>
            <w:r>
              <w:rPr>
                <w:rFonts w:eastAsia="宋体"/>
                <w:color w:val="auto"/>
                <w:position w:val="2"/>
                <w:sz w:val="21"/>
                <w:szCs w:val="21"/>
                <w:highlight w:val="none"/>
              </w:rPr>
              <w:t>（1）加强对设备的维护运行，避免设备老化等引起的耗电量增加；</w:t>
            </w:r>
          </w:p>
          <w:p>
            <w:pPr>
              <w:pStyle w:val="37"/>
              <w:adjustRightInd w:val="0"/>
              <w:snapToGrid w:val="0"/>
              <w:spacing w:line="360" w:lineRule="auto"/>
              <w:ind w:firstLine="480"/>
              <w:rPr>
                <w:rFonts w:eastAsia="宋体"/>
                <w:color w:val="auto"/>
                <w:position w:val="2"/>
                <w:sz w:val="21"/>
                <w:szCs w:val="21"/>
                <w:highlight w:val="none"/>
              </w:rPr>
            </w:pPr>
            <w:r>
              <w:rPr>
                <w:rFonts w:eastAsia="宋体"/>
                <w:color w:val="auto"/>
                <w:position w:val="2"/>
                <w:sz w:val="21"/>
                <w:szCs w:val="21"/>
                <w:highlight w:val="none"/>
              </w:rPr>
              <w:t>（2）建设单位经济允许条件下，建议更换生产效率更高更节能的设备；</w:t>
            </w:r>
          </w:p>
          <w:p>
            <w:pPr>
              <w:pStyle w:val="37"/>
              <w:adjustRightInd w:val="0"/>
              <w:snapToGrid w:val="0"/>
              <w:spacing w:line="360" w:lineRule="auto"/>
              <w:ind w:firstLine="480"/>
              <w:rPr>
                <w:rFonts w:eastAsia="宋体"/>
                <w:snapToGrid w:val="0"/>
                <w:color w:val="auto"/>
                <w:sz w:val="21"/>
                <w:szCs w:val="21"/>
                <w:highlight w:val="none"/>
              </w:rPr>
            </w:pPr>
            <w:r>
              <w:rPr>
                <w:rFonts w:eastAsia="宋体"/>
                <w:color w:val="auto"/>
                <w:position w:val="2"/>
                <w:sz w:val="21"/>
                <w:szCs w:val="21"/>
                <w:highlight w:val="none"/>
              </w:rPr>
              <w:t>（3）建设单位可利用光伏等设备，利用太阳能等自产部分电力从而降低厂区内净电力输入。</w:t>
            </w:r>
          </w:p>
        </w:tc>
      </w:tr>
    </w:tbl>
    <w:p>
      <w:pPr>
        <w:pStyle w:val="22"/>
        <w:jc w:val="center"/>
        <w:outlineLvl w:val="0"/>
        <w:rPr>
          <w:rFonts w:ascii="Times New Roman" w:hAnsi="Times New Roman" w:cs="Times New Roman"/>
          <w:snapToGrid w:val="0"/>
          <w:color w:val="auto"/>
          <w:sz w:val="30"/>
          <w:szCs w:val="30"/>
          <w:highlight w:val="none"/>
        </w:rPr>
        <w:sectPr>
          <w:pgSz w:w="11906" w:h="16838"/>
          <w:pgMar w:top="1701" w:right="1531" w:bottom="1701" w:left="1531" w:header="851" w:footer="851" w:gutter="0"/>
          <w:pgNumType w:fmt="decimal"/>
          <w:cols w:space="720" w:num="1"/>
          <w:docGrid w:linePitch="312" w:charSpace="0"/>
        </w:sectPr>
      </w:pPr>
    </w:p>
    <w:p>
      <w:pPr>
        <w:pStyle w:val="22"/>
        <w:jc w:val="center"/>
        <w:outlineLvl w:val="0"/>
        <w:rPr>
          <w:rFonts w:ascii="Times New Roman" w:hAnsi="Times New Roman" w:cs="Times New Roman"/>
          <w:b/>
          <w:bCs/>
          <w:snapToGrid w:val="0"/>
          <w:color w:val="auto"/>
          <w:sz w:val="30"/>
          <w:szCs w:val="30"/>
          <w:highlight w:val="none"/>
        </w:rPr>
      </w:pPr>
      <w:bookmarkStart w:id="11" w:name="_Toc39"/>
      <w:r>
        <w:rPr>
          <w:rFonts w:ascii="Times New Roman" w:hAnsi="Times New Roman" w:cs="Times New Roman"/>
          <w:b/>
          <w:bCs/>
          <w:snapToGrid w:val="0"/>
          <w:color w:val="auto"/>
          <w:sz w:val="30"/>
          <w:szCs w:val="30"/>
          <w:highlight w:val="none"/>
        </w:rPr>
        <w:t>五、</w:t>
      </w:r>
      <w:bookmarkStart w:id="12" w:name="_Hlk54167917"/>
      <w:r>
        <w:rPr>
          <w:rFonts w:ascii="Times New Roman" w:hAnsi="Times New Roman" w:cs="Times New Roman"/>
          <w:b/>
          <w:bCs/>
          <w:snapToGrid w:val="0"/>
          <w:color w:val="auto"/>
          <w:sz w:val="30"/>
          <w:szCs w:val="30"/>
          <w:highlight w:val="none"/>
        </w:rPr>
        <w:t>环境保护措施监督检查清单</w:t>
      </w:r>
      <w:bookmarkEnd w:id="11"/>
      <w:bookmarkEnd w:id="12"/>
    </w:p>
    <w:tbl>
      <w:tblPr>
        <w:tblStyle w:val="25"/>
        <w:tblW w:w="499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1263"/>
        <w:gridCol w:w="574"/>
        <w:gridCol w:w="900"/>
        <w:gridCol w:w="1983"/>
        <w:gridCol w:w="28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13" w:type="pct"/>
            <w:tcBorders>
              <w:tl2br w:val="single" w:color="auto" w:sz="4" w:space="0"/>
            </w:tcBorders>
          </w:tcPr>
          <w:p>
            <w:pPr>
              <w:adjustRightInd w:val="0"/>
              <w:snapToGrid w:val="0"/>
              <w:ind w:firstLine="632" w:firstLineChars="300"/>
              <w:rPr>
                <w:b/>
                <w:bCs/>
                <w:color w:val="auto"/>
                <w:szCs w:val="21"/>
                <w:highlight w:val="none"/>
              </w:rPr>
            </w:pPr>
            <w:r>
              <w:rPr>
                <w:b/>
                <w:bCs/>
                <w:color w:val="auto"/>
                <w:szCs w:val="21"/>
                <w:highlight w:val="none"/>
              </w:rPr>
              <w:t>内容</w:t>
            </w:r>
          </w:p>
          <w:p>
            <w:pPr>
              <w:adjustRightInd w:val="0"/>
              <w:snapToGrid w:val="0"/>
              <w:rPr>
                <w:b/>
                <w:bCs/>
                <w:color w:val="auto"/>
                <w:szCs w:val="21"/>
                <w:highlight w:val="none"/>
              </w:rPr>
            </w:pPr>
            <w:r>
              <w:rPr>
                <w:b/>
                <w:bCs/>
                <w:color w:val="auto"/>
                <w:szCs w:val="21"/>
                <w:highlight w:val="none"/>
              </w:rPr>
              <w:t>要素</w:t>
            </w:r>
          </w:p>
        </w:tc>
        <w:tc>
          <w:tcPr>
            <w:tcW w:w="697" w:type="pct"/>
            <w:vAlign w:val="center"/>
          </w:tcPr>
          <w:p>
            <w:pPr>
              <w:adjustRightInd w:val="0"/>
              <w:snapToGrid w:val="0"/>
              <w:jc w:val="center"/>
              <w:rPr>
                <w:b/>
                <w:bCs/>
                <w:color w:val="auto"/>
                <w:szCs w:val="21"/>
                <w:highlight w:val="none"/>
              </w:rPr>
            </w:pPr>
            <w:r>
              <w:rPr>
                <w:b/>
                <w:bCs/>
                <w:color w:val="auto"/>
                <w:szCs w:val="21"/>
                <w:highlight w:val="none"/>
              </w:rPr>
              <w:t>排放口/污染源</w:t>
            </w:r>
          </w:p>
        </w:tc>
        <w:tc>
          <w:tcPr>
            <w:tcW w:w="813" w:type="pct"/>
            <w:gridSpan w:val="2"/>
            <w:vAlign w:val="center"/>
          </w:tcPr>
          <w:p>
            <w:pPr>
              <w:adjustRightInd w:val="0"/>
              <w:snapToGrid w:val="0"/>
              <w:jc w:val="center"/>
              <w:rPr>
                <w:b/>
                <w:bCs/>
                <w:color w:val="auto"/>
                <w:szCs w:val="21"/>
                <w:highlight w:val="none"/>
              </w:rPr>
            </w:pPr>
            <w:r>
              <w:rPr>
                <w:b/>
                <w:bCs/>
                <w:color w:val="auto"/>
                <w:szCs w:val="21"/>
                <w:highlight w:val="none"/>
              </w:rPr>
              <w:t>污染物项目</w:t>
            </w:r>
          </w:p>
        </w:tc>
        <w:tc>
          <w:tcPr>
            <w:tcW w:w="1094" w:type="pct"/>
            <w:vAlign w:val="center"/>
          </w:tcPr>
          <w:p>
            <w:pPr>
              <w:adjustRightInd w:val="0"/>
              <w:snapToGrid w:val="0"/>
              <w:jc w:val="center"/>
              <w:rPr>
                <w:b/>
                <w:bCs/>
                <w:color w:val="auto"/>
                <w:szCs w:val="21"/>
                <w:highlight w:val="none"/>
              </w:rPr>
            </w:pPr>
            <w:r>
              <w:rPr>
                <w:b/>
                <w:bCs/>
                <w:color w:val="auto"/>
                <w:szCs w:val="21"/>
                <w:highlight w:val="none"/>
              </w:rPr>
              <w:t>环境保护措施</w:t>
            </w:r>
          </w:p>
        </w:tc>
        <w:tc>
          <w:tcPr>
            <w:tcW w:w="1580" w:type="pct"/>
            <w:vAlign w:val="center"/>
          </w:tcPr>
          <w:p>
            <w:pPr>
              <w:adjustRightInd w:val="0"/>
              <w:snapToGrid w:val="0"/>
              <w:jc w:val="center"/>
              <w:rPr>
                <w:b/>
                <w:bCs/>
                <w:color w:val="auto"/>
                <w:szCs w:val="21"/>
                <w:highlight w:val="none"/>
              </w:rPr>
            </w:pPr>
            <w:r>
              <w:rPr>
                <w:b/>
                <w:bCs/>
                <w:color w:val="auto"/>
                <w:szCs w:val="21"/>
                <w:highlight w:val="none"/>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3" w:type="pct"/>
            <w:vMerge w:val="restart"/>
            <w:vAlign w:val="center"/>
          </w:tcPr>
          <w:p>
            <w:pPr>
              <w:adjustRightInd w:val="0"/>
              <w:snapToGrid w:val="0"/>
              <w:jc w:val="center"/>
              <w:rPr>
                <w:color w:val="auto"/>
                <w:szCs w:val="21"/>
                <w:highlight w:val="none"/>
              </w:rPr>
            </w:pPr>
            <w:r>
              <w:rPr>
                <w:color w:val="auto"/>
                <w:szCs w:val="21"/>
                <w:highlight w:val="none"/>
              </w:rPr>
              <w:t>大气环境</w:t>
            </w:r>
          </w:p>
        </w:tc>
        <w:tc>
          <w:tcPr>
            <w:tcW w:w="697" w:type="pct"/>
            <w:vAlign w:val="center"/>
          </w:tcPr>
          <w:p>
            <w:pPr>
              <w:adjustRightInd w:val="0"/>
              <w:snapToGrid w:val="0"/>
              <w:jc w:val="center"/>
              <w:rPr>
                <w:color w:val="auto"/>
                <w:szCs w:val="21"/>
                <w:highlight w:val="none"/>
              </w:rPr>
            </w:pPr>
            <w:r>
              <w:rPr>
                <w:color w:val="auto"/>
                <w:szCs w:val="21"/>
                <w:highlight w:val="none"/>
              </w:rPr>
              <w:t>DA001</w:t>
            </w:r>
          </w:p>
        </w:tc>
        <w:tc>
          <w:tcPr>
            <w:tcW w:w="813" w:type="pct"/>
            <w:gridSpan w:val="2"/>
            <w:vAlign w:val="center"/>
          </w:tcPr>
          <w:p>
            <w:pPr>
              <w:adjustRightInd w:val="0"/>
              <w:snapToGrid w:val="0"/>
              <w:jc w:val="center"/>
              <w:rPr>
                <w:color w:val="auto"/>
                <w:szCs w:val="21"/>
                <w:highlight w:val="none"/>
              </w:rPr>
            </w:pPr>
            <w:r>
              <w:rPr>
                <w:rFonts w:hint="eastAsia"/>
                <w:color w:val="auto"/>
                <w:szCs w:val="21"/>
                <w:highlight w:val="none"/>
              </w:rPr>
              <w:t>非甲烷总烃</w:t>
            </w:r>
          </w:p>
        </w:tc>
        <w:tc>
          <w:tcPr>
            <w:tcW w:w="1094" w:type="pct"/>
            <w:vAlign w:val="center"/>
          </w:tcPr>
          <w:p>
            <w:pPr>
              <w:adjustRightInd w:val="0"/>
              <w:snapToGrid w:val="0"/>
              <w:jc w:val="center"/>
              <w:rPr>
                <w:color w:val="auto"/>
                <w:szCs w:val="21"/>
                <w:highlight w:val="none"/>
              </w:rPr>
            </w:pPr>
            <w:r>
              <w:rPr>
                <w:bCs/>
                <w:color w:val="auto"/>
                <w:szCs w:val="21"/>
                <w:highlight w:val="none"/>
              </w:rPr>
              <w:t>二级活性炭吸附装置+</w:t>
            </w:r>
            <w:r>
              <w:rPr>
                <w:rFonts w:hint="eastAsia"/>
                <w:bCs/>
                <w:color w:val="auto"/>
                <w:szCs w:val="21"/>
                <w:highlight w:val="none"/>
              </w:rPr>
              <w:t>18</w:t>
            </w:r>
            <w:r>
              <w:rPr>
                <w:bCs/>
                <w:color w:val="auto"/>
                <w:szCs w:val="21"/>
                <w:highlight w:val="none"/>
              </w:rPr>
              <w:t>m排气筒，设计风量</w:t>
            </w:r>
            <w:r>
              <w:rPr>
                <w:rFonts w:hint="eastAsia"/>
                <w:bCs/>
                <w:color w:val="auto"/>
                <w:szCs w:val="21"/>
                <w:highlight w:val="none"/>
              </w:rPr>
              <w:t>8000</w:t>
            </w:r>
            <w:r>
              <w:rPr>
                <w:bCs/>
                <w:color w:val="auto"/>
                <w:szCs w:val="21"/>
                <w:highlight w:val="none"/>
              </w:rPr>
              <w:t>m</w:t>
            </w:r>
            <w:r>
              <w:rPr>
                <w:bCs/>
                <w:color w:val="auto"/>
                <w:szCs w:val="21"/>
                <w:highlight w:val="none"/>
                <w:vertAlign w:val="superscript"/>
              </w:rPr>
              <w:t>3</w:t>
            </w:r>
            <w:r>
              <w:rPr>
                <w:bCs/>
                <w:color w:val="auto"/>
                <w:szCs w:val="21"/>
                <w:highlight w:val="none"/>
              </w:rPr>
              <w:t>/h</w:t>
            </w:r>
          </w:p>
        </w:tc>
        <w:tc>
          <w:tcPr>
            <w:tcW w:w="1580" w:type="pct"/>
            <w:vAlign w:val="center"/>
          </w:tcPr>
          <w:p>
            <w:pPr>
              <w:adjustRightInd w:val="0"/>
              <w:snapToGrid w:val="0"/>
              <w:jc w:val="center"/>
              <w:rPr>
                <w:color w:val="auto"/>
                <w:szCs w:val="21"/>
                <w:highlight w:val="none"/>
              </w:rPr>
            </w:pPr>
            <w:r>
              <w:rPr>
                <w:rFonts w:hint="eastAsia"/>
                <w:color w:val="auto"/>
                <w:szCs w:val="21"/>
                <w:highlight w:val="none"/>
              </w:rPr>
              <w:t>执行《合成树脂工业污染物排放标准》（GB31572-2015）表5中标准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3" w:type="pct"/>
            <w:vMerge w:val="continue"/>
            <w:vAlign w:val="center"/>
          </w:tcPr>
          <w:p>
            <w:pPr>
              <w:adjustRightInd w:val="0"/>
              <w:snapToGrid w:val="0"/>
              <w:jc w:val="center"/>
              <w:rPr>
                <w:color w:val="auto"/>
                <w:szCs w:val="21"/>
                <w:highlight w:val="none"/>
              </w:rPr>
            </w:pPr>
          </w:p>
        </w:tc>
        <w:tc>
          <w:tcPr>
            <w:tcW w:w="697" w:type="pct"/>
            <w:vMerge w:val="restart"/>
            <w:vAlign w:val="center"/>
          </w:tcPr>
          <w:p>
            <w:pPr>
              <w:adjustRightInd w:val="0"/>
              <w:snapToGrid w:val="0"/>
              <w:jc w:val="center"/>
              <w:rPr>
                <w:rFonts w:hint="default" w:eastAsia="宋体"/>
                <w:color w:val="auto"/>
                <w:szCs w:val="21"/>
                <w:highlight w:val="none"/>
                <w:lang w:val="en-US" w:eastAsia="zh-CN"/>
              </w:rPr>
            </w:pP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Cs w:val="21"/>
                <w:highlight w:val="none"/>
                <w:lang w:val="en-US" w:eastAsia="zh-CN"/>
              </w:rPr>
              <w:t>车间</w:t>
            </w:r>
          </w:p>
        </w:tc>
        <w:tc>
          <w:tcPr>
            <w:tcW w:w="813" w:type="pct"/>
            <w:gridSpan w:val="2"/>
            <w:vAlign w:val="center"/>
          </w:tcPr>
          <w:p>
            <w:pPr>
              <w:adjustRightInd w:val="0"/>
              <w:snapToGrid w:val="0"/>
              <w:jc w:val="center"/>
              <w:rPr>
                <w:rFonts w:hint="default" w:eastAsia="宋体"/>
                <w:color w:val="auto"/>
                <w:szCs w:val="21"/>
                <w:highlight w:val="none"/>
                <w:lang w:val="en-US" w:eastAsia="zh-CN"/>
              </w:rPr>
            </w:pPr>
            <w:r>
              <w:rPr>
                <w:rFonts w:hint="eastAsia"/>
                <w:color w:val="auto"/>
                <w:szCs w:val="21"/>
                <w:highlight w:val="none"/>
                <w:lang w:val="en-US" w:eastAsia="zh-CN"/>
              </w:rPr>
              <w:t>非甲烷总烃</w:t>
            </w:r>
          </w:p>
        </w:tc>
        <w:tc>
          <w:tcPr>
            <w:tcW w:w="1094" w:type="pct"/>
            <w:vAlign w:val="center"/>
          </w:tcPr>
          <w:p>
            <w:pPr>
              <w:adjustRightInd w:val="0"/>
              <w:snapToGrid w:val="0"/>
              <w:jc w:val="center"/>
              <w:rPr>
                <w:color w:val="auto"/>
                <w:szCs w:val="21"/>
                <w:highlight w:val="none"/>
              </w:rPr>
            </w:pPr>
            <w:r>
              <w:rPr>
                <w:color w:val="auto"/>
                <w:szCs w:val="21"/>
                <w:highlight w:val="none"/>
              </w:rPr>
              <w:t>/</w:t>
            </w:r>
          </w:p>
        </w:tc>
        <w:tc>
          <w:tcPr>
            <w:tcW w:w="1580" w:type="pct"/>
            <w:vAlign w:val="center"/>
          </w:tcPr>
          <w:p>
            <w:pPr>
              <w:adjustRightInd w:val="0"/>
              <w:snapToGrid w:val="0"/>
              <w:jc w:val="center"/>
              <w:rPr>
                <w:color w:val="auto"/>
                <w:szCs w:val="21"/>
                <w:highlight w:val="none"/>
              </w:rPr>
            </w:pPr>
            <w:r>
              <w:rPr>
                <w:rFonts w:hint="eastAsia"/>
                <w:color w:val="auto"/>
                <w:szCs w:val="21"/>
                <w:highlight w:val="none"/>
                <w:lang w:val="en-US" w:eastAsia="zh-CN"/>
              </w:rPr>
              <w:t>厂界</w:t>
            </w:r>
            <w:r>
              <w:rPr>
                <w:color w:val="auto"/>
                <w:szCs w:val="21"/>
                <w:highlight w:val="none"/>
              </w:rPr>
              <w:t>无组织</w:t>
            </w:r>
            <w:r>
              <w:rPr>
                <w:rFonts w:hint="eastAsia"/>
                <w:color w:val="auto"/>
                <w:szCs w:val="21"/>
                <w:highlight w:val="none"/>
              </w:rPr>
              <w:t>非甲烷总烃</w:t>
            </w:r>
            <w:r>
              <w:rPr>
                <w:color w:val="auto"/>
                <w:szCs w:val="21"/>
                <w:highlight w:val="none"/>
              </w:rPr>
              <w:t>排放执行</w:t>
            </w:r>
            <w:r>
              <w:rPr>
                <w:rFonts w:hint="eastAsia"/>
                <w:color w:val="auto"/>
                <w:szCs w:val="21"/>
                <w:highlight w:val="none"/>
              </w:rPr>
              <w:t>《合成树脂工业污染物排放标准》（GB31572-2015）表9中标准</w:t>
            </w:r>
            <w:r>
              <w:rPr>
                <w:color w:val="auto"/>
                <w:szCs w:val="21"/>
                <w:highlight w:val="none"/>
              </w:rPr>
              <w:t>；厂区内</w:t>
            </w:r>
            <w:r>
              <w:rPr>
                <w:rFonts w:hint="eastAsia"/>
                <w:color w:val="auto"/>
                <w:szCs w:val="21"/>
                <w:highlight w:val="none"/>
              </w:rPr>
              <w:t>非甲烷总烃</w:t>
            </w:r>
            <w:r>
              <w:rPr>
                <w:color w:val="auto"/>
                <w:szCs w:val="21"/>
                <w:highlight w:val="none"/>
              </w:rPr>
              <w:t>无组织排放执行《大气污染物综合排放标准》（DB32/4041-2021）中表2中“NMHC”标准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13" w:type="pct"/>
            <w:vMerge w:val="continue"/>
            <w:vAlign w:val="center"/>
          </w:tcPr>
          <w:p>
            <w:pPr>
              <w:adjustRightInd w:val="0"/>
              <w:snapToGrid w:val="0"/>
              <w:jc w:val="center"/>
              <w:rPr>
                <w:color w:val="auto"/>
                <w:szCs w:val="21"/>
                <w:highlight w:val="none"/>
              </w:rPr>
            </w:pPr>
          </w:p>
        </w:tc>
        <w:tc>
          <w:tcPr>
            <w:tcW w:w="697" w:type="pct"/>
            <w:vMerge w:val="continue"/>
            <w:vAlign w:val="center"/>
          </w:tcPr>
          <w:p>
            <w:pPr>
              <w:adjustRightInd w:val="0"/>
              <w:snapToGrid w:val="0"/>
              <w:jc w:val="center"/>
              <w:rPr>
                <w:color w:val="auto"/>
                <w:szCs w:val="21"/>
                <w:highlight w:val="none"/>
              </w:rPr>
            </w:pPr>
          </w:p>
        </w:tc>
        <w:tc>
          <w:tcPr>
            <w:tcW w:w="813" w:type="pct"/>
            <w:gridSpan w:val="2"/>
            <w:vAlign w:val="center"/>
          </w:tcPr>
          <w:p>
            <w:pPr>
              <w:adjustRightInd w:val="0"/>
              <w:snapToGrid w:val="0"/>
              <w:jc w:val="center"/>
              <w:rPr>
                <w:rFonts w:hint="eastAsia"/>
                <w:color w:val="auto"/>
                <w:szCs w:val="21"/>
                <w:highlight w:val="none"/>
              </w:rPr>
            </w:pPr>
            <w:r>
              <w:rPr>
                <w:rFonts w:hint="eastAsia"/>
                <w:color w:val="auto"/>
                <w:szCs w:val="21"/>
                <w:highlight w:val="none"/>
              </w:rPr>
              <w:t>颗粒物</w:t>
            </w:r>
          </w:p>
        </w:tc>
        <w:tc>
          <w:tcPr>
            <w:tcW w:w="1094" w:type="pct"/>
            <w:vAlign w:val="center"/>
          </w:tcPr>
          <w:p>
            <w:pPr>
              <w:adjustRightInd w:val="0"/>
              <w:snapToGrid w:val="0"/>
              <w:jc w:val="center"/>
              <w:rPr>
                <w:rFonts w:hint="default" w:eastAsia="宋体"/>
                <w:color w:val="auto"/>
                <w:szCs w:val="21"/>
                <w:highlight w:val="none"/>
                <w:lang w:val="en-US" w:eastAsia="zh-CN"/>
              </w:rPr>
            </w:pPr>
            <w:r>
              <w:rPr>
                <w:rFonts w:hint="eastAsia"/>
                <w:color w:val="auto"/>
                <w:szCs w:val="21"/>
                <w:highlight w:val="none"/>
                <w:lang w:val="en-US" w:eastAsia="zh-CN"/>
              </w:rPr>
              <w:t>移动式布袋除尘器</w:t>
            </w:r>
          </w:p>
        </w:tc>
        <w:tc>
          <w:tcPr>
            <w:tcW w:w="1580" w:type="pct"/>
            <w:vAlign w:val="center"/>
          </w:tcPr>
          <w:p>
            <w:pPr>
              <w:adjustRightInd w:val="0"/>
              <w:snapToGrid w:val="0"/>
              <w:jc w:val="center"/>
              <w:rPr>
                <w:color w:val="auto"/>
                <w:szCs w:val="21"/>
                <w:highlight w:val="none"/>
              </w:rPr>
            </w:pPr>
            <w:r>
              <w:rPr>
                <w:rFonts w:hint="eastAsia"/>
                <w:color w:val="auto"/>
                <w:szCs w:val="21"/>
                <w:highlight w:val="none"/>
                <w:lang w:val="en-US" w:eastAsia="zh-CN"/>
              </w:rPr>
              <w:t>排放执行</w:t>
            </w:r>
            <w:r>
              <w:rPr>
                <w:rFonts w:hint="eastAsia"/>
                <w:color w:val="auto"/>
                <w:sz w:val="21"/>
                <w:szCs w:val="21"/>
                <w:highlight w:val="none"/>
              </w:rPr>
              <w:t>《</w:t>
            </w:r>
            <w:r>
              <w:rPr>
                <w:color w:val="auto"/>
                <w:sz w:val="21"/>
                <w:szCs w:val="21"/>
                <w:highlight w:val="none"/>
              </w:rPr>
              <w:fldChar w:fldCharType="begin"/>
            </w:r>
            <w:r>
              <w:rPr>
                <w:color w:val="auto"/>
                <w:sz w:val="21"/>
                <w:szCs w:val="21"/>
                <w:highlight w:val="none"/>
              </w:rPr>
              <w:instrText xml:space="preserve"> HYPERLINK "http://kjs.mee.gov.cn/hjbhbz/bzwb/dqhjbh/dqgdwrywrwpfbz/201906/W020190606587693632696.pdf" </w:instrText>
            </w:r>
            <w:r>
              <w:rPr>
                <w:color w:val="auto"/>
                <w:sz w:val="21"/>
                <w:szCs w:val="21"/>
                <w:highlight w:val="none"/>
              </w:rPr>
              <w:fldChar w:fldCharType="separate"/>
            </w:r>
            <w:r>
              <w:rPr>
                <w:rFonts w:hint="eastAsia"/>
                <w:color w:val="auto"/>
                <w:sz w:val="21"/>
                <w:szCs w:val="21"/>
                <w:highlight w:val="none"/>
              </w:rPr>
              <w:t>大气污染物综合排放标准》（DB32/4041-2021）</w:t>
            </w:r>
            <w:r>
              <w:rPr>
                <w:rFonts w:hint="eastAsia"/>
                <w:color w:val="auto"/>
                <w:sz w:val="21"/>
                <w:szCs w:val="21"/>
                <w:highlight w:val="none"/>
              </w:rPr>
              <w:fldChar w:fldCharType="end"/>
            </w:r>
            <w:r>
              <w:rPr>
                <w:rFonts w:hint="eastAsia"/>
                <w:color w:val="auto"/>
                <w:sz w:val="21"/>
                <w:szCs w:val="21"/>
                <w:highlight w:val="none"/>
              </w:rPr>
              <w:t>表3中标准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813" w:type="pct"/>
            <w:vMerge w:val="restart"/>
            <w:vAlign w:val="center"/>
          </w:tcPr>
          <w:p>
            <w:pPr>
              <w:adjustRightInd w:val="0"/>
              <w:snapToGrid w:val="0"/>
              <w:jc w:val="center"/>
              <w:rPr>
                <w:color w:val="auto"/>
                <w:szCs w:val="21"/>
                <w:highlight w:val="none"/>
              </w:rPr>
            </w:pPr>
            <w:r>
              <w:rPr>
                <w:color w:val="auto"/>
                <w:szCs w:val="21"/>
                <w:highlight w:val="none"/>
              </w:rPr>
              <w:t>地表水环境</w:t>
            </w:r>
          </w:p>
        </w:tc>
        <w:tc>
          <w:tcPr>
            <w:tcW w:w="697" w:type="pct"/>
            <w:vMerge w:val="restart"/>
            <w:vAlign w:val="center"/>
          </w:tcPr>
          <w:p>
            <w:pPr>
              <w:adjustRightInd w:val="0"/>
              <w:snapToGrid w:val="0"/>
              <w:jc w:val="center"/>
              <w:rPr>
                <w:color w:val="auto"/>
                <w:szCs w:val="21"/>
                <w:highlight w:val="none"/>
              </w:rPr>
            </w:pPr>
            <w:r>
              <w:rPr>
                <w:color w:val="auto"/>
                <w:szCs w:val="21"/>
                <w:highlight w:val="none"/>
              </w:rPr>
              <w:t>厂区污水接管口</w:t>
            </w:r>
          </w:p>
        </w:tc>
        <w:tc>
          <w:tcPr>
            <w:tcW w:w="316" w:type="pct"/>
            <w:vMerge w:val="restart"/>
            <w:vAlign w:val="center"/>
          </w:tcPr>
          <w:p>
            <w:pPr>
              <w:adjustRightInd w:val="0"/>
              <w:snapToGrid w:val="0"/>
              <w:jc w:val="center"/>
              <w:rPr>
                <w:color w:val="auto"/>
                <w:szCs w:val="21"/>
                <w:highlight w:val="none"/>
              </w:rPr>
            </w:pPr>
            <w:r>
              <w:rPr>
                <w:rFonts w:hint="eastAsia"/>
                <w:color w:val="auto"/>
                <w:szCs w:val="21"/>
                <w:highlight w:val="none"/>
              </w:rPr>
              <w:t>生活污水</w:t>
            </w:r>
          </w:p>
        </w:tc>
        <w:tc>
          <w:tcPr>
            <w:tcW w:w="496" w:type="pct"/>
            <w:vAlign w:val="center"/>
          </w:tcPr>
          <w:p>
            <w:pPr>
              <w:jc w:val="center"/>
              <w:rPr>
                <w:color w:val="auto"/>
                <w:szCs w:val="21"/>
                <w:highlight w:val="none"/>
              </w:rPr>
            </w:pPr>
            <w:r>
              <w:rPr>
                <w:color w:val="auto"/>
                <w:szCs w:val="21"/>
                <w:highlight w:val="none"/>
              </w:rPr>
              <w:t>COD</w:t>
            </w:r>
          </w:p>
        </w:tc>
        <w:tc>
          <w:tcPr>
            <w:tcW w:w="1094" w:type="pct"/>
            <w:vMerge w:val="restart"/>
            <w:vAlign w:val="center"/>
          </w:tcPr>
          <w:p>
            <w:pPr>
              <w:pStyle w:val="60"/>
              <w:rPr>
                <w:rFonts w:eastAsia="宋体"/>
                <w:color w:val="auto"/>
                <w:szCs w:val="21"/>
                <w:highlight w:val="none"/>
              </w:rPr>
            </w:pPr>
            <w:r>
              <w:rPr>
                <w:rFonts w:eastAsia="宋体"/>
                <w:color w:val="auto"/>
                <w:szCs w:val="21"/>
                <w:highlight w:val="none"/>
              </w:rPr>
              <w:t>接管</w:t>
            </w:r>
            <w:r>
              <w:rPr>
                <w:rFonts w:hint="eastAsia" w:ascii="Times New Roman" w:hAnsi="Times New Roman" w:eastAsia="宋体" w:cs="Times New Roman"/>
                <w:color w:val="auto"/>
                <w:kern w:val="2"/>
                <w:sz w:val="21"/>
                <w:szCs w:val="21"/>
                <w:highlight w:val="none"/>
                <w:lang w:val="zh-CN" w:eastAsia="zh-CN"/>
              </w:rPr>
              <w:t>常州金坛区第二污水处理有限公司</w:t>
            </w:r>
          </w:p>
        </w:tc>
        <w:tc>
          <w:tcPr>
            <w:tcW w:w="1580" w:type="pct"/>
            <w:vMerge w:val="restart"/>
            <w:vAlign w:val="center"/>
          </w:tcPr>
          <w:p>
            <w:pPr>
              <w:pStyle w:val="60"/>
              <w:spacing w:line="240" w:lineRule="auto"/>
              <w:rPr>
                <w:rFonts w:eastAsia="宋体"/>
                <w:color w:val="auto"/>
                <w:szCs w:val="21"/>
                <w:highlight w:val="none"/>
              </w:rPr>
            </w:pPr>
            <w:r>
              <w:rPr>
                <w:rFonts w:hint="eastAsia" w:ascii="Times New Roman" w:hAnsi="Times New Roman" w:eastAsia="宋体" w:cs="Times New Roman"/>
                <w:color w:val="auto"/>
                <w:kern w:val="2"/>
                <w:sz w:val="21"/>
                <w:szCs w:val="21"/>
                <w:highlight w:val="none"/>
                <w:lang w:val="zh-CN" w:eastAsia="zh-CN"/>
              </w:rPr>
              <w:t>常州金坛区第二污水处理有限公司</w:t>
            </w:r>
            <w:r>
              <w:rPr>
                <w:rFonts w:eastAsia="宋体"/>
                <w:color w:val="auto"/>
                <w:szCs w:val="21"/>
                <w:highlight w:val="none"/>
              </w:rPr>
              <w:t>接管限值要求和《污水排入城镇下水道水质标准》（</w:t>
            </w:r>
            <w:r>
              <w:rPr>
                <w:rFonts w:eastAsia="宋体"/>
                <w:color w:val="auto"/>
                <w:szCs w:val="21"/>
                <w:highlight w:val="none"/>
                <w:shd w:val="clear" w:color="auto" w:fill="FFFFFF"/>
              </w:rPr>
              <w:t>GB/T31962-2015</w:t>
            </w:r>
            <w:r>
              <w:rPr>
                <w:rFonts w:eastAsia="宋体"/>
                <w:color w:val="auto"/>
                <w:szCs w:val="21"/>
                <w:highlight w:val="none"/>
              </w:rPr>
              <w:t>）表1中B等级标准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3" w:type="pct"/>
            <w:vMerge w:val="continue"/>
            <w:vAlign w:val="center"/>
          </w:tcPr>
          <w:p>
            <w:pPr>
              <w:adjustRightInd w:val="0"/>
              <w:snapToGrid w:val="0"/>
              <w:jc w:val="center"/>
              <w:rPr>
                <w:color w:val="auto"/>
                <w:szCs w:val="21"/>
                <w:highlight w:val="none"/>
              </w:rPr>
            </w:pPr>
          </w:p>
        </w:tc>
        <w:tc>
          <w:tcPr>
            <w:tcW w:w="697" w:type="pct"/>
            <w:vMerge w:val="continue"/>
            <w:vAlign w:val="center"/>
          </w:tcPr>
          <w:p>
            <w:pPr>
              <w:adjustRightInd w:val="0"/>
              <w:snapToGrid w:val="0"/>
              <w:jc w:val="center"/>
              <w:rPr>
                <w:color w:val="auto"/>
                <w:szCs w:val="21"/>
                <w:highlight w:val="none"/>
              </w:rPr>
            </w:pPr>
          </w:p>
        </w:tc>
        <w:tc>
          <w:tcPr>
            <w:tcW w:w="316" w:type="pct"/>
            <w:vMerge w:val="continue"/>
            <w:vAlign w:val="center"/>
          </w:tcPr>
          <w:p>
            <w:pPr>
              <w:adjustRightInd w:val="0"/>
              <w:snapToGrid w:val="0"/>
              <w:jc w:val="center"/>
              <w:rPr>
                <w:color w:val="auto"/>
                <w:szCs w:val="21"/>
                <w:highlight w:val="none"/>
              </w:rPr>
            </w:pPr>
          </w:p>
        </w:tc>
        <w:tc>
          <w:tcPr>
            <w:tcW w:w="496" w:type="pct"/>
            <w:vAlign w:val="center"/>
          </w:tcPr>
          <w:p>
            <w:pPr>
              <w:jc w:val="center"/>
              <w:rPr>
                <w:color w:val="auto"/>
                <w:szCs w:val="21"/>
                <w:highlight w:val="none"/>
              </w:rPr>
            </w:pPr>
            <w:r>
              <w:rPr>
                <w:color w:val="auto"/>
                <w:szCs w:val="21"/>
                <w:highlight w:val="none"/>
              </w:rPr>
              <w:t>SS</w:t>
            </w:r>
          </w:p>
        </w:tc>
        <w:tc>
          <w:tcPr>
            <w:tcW w:w="1094" w:type="pct"/>
            <w:vMerge w:val="continue"/>
            <w:vAlign w:val="center"/>
          </w:tcPr>
          <w:p>
            <w:pPr>
              <w:adjustRightInd w:val="0"/>
              <w:snapToGrid w:val="0"/>
              <w:jc w:val="center"/>
              <w:rPr>
                <w:color w:val="auto"/>
                <w:szCs w:val="21"/>
                <w:highlight w:val="none"/>
              </w:rPr>
            </w:pPr>
          </w:p>
        </w:tc>
        <w:tc>
          <w:tcPr>
            <w:tcW w:w="1580" w:type="pct"/>
            <w:vMerge w:val="continue"/>
            <w:vAlign w:val="center"/>
          </w:tcPr>
          <w:p>
            <w:pPr>
              <w:adjustRightInd w:val="0"/>
              <w:snapToGrid w:val="0"/>
              <w:jc w:val="center"/>
              <w:rPr>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3" w:type="pct"/>
            <w:vMerge w:val="continue"/>
            <w:vAlign w:val="center"/>
          </w:tcPr>
          <w:p>
            <w:pPr>
              <w:adjustRightInd w:val="0"/>
              <w:snapToGrid w:val="0"/>
              <w:jc w:val="center"/>
              <w:rPr>
                <w:color w:val="auto"/>
                <w:szCs w:val="21"/>
                <w:highlight w:val="none"/>
              </w:rPr>
            </w:pPr>
          </w:p>
        </w:tc>
        <w:tc>
          <w:tcPr>
            <w:tcW w:w="697" w:type="pct"/>
            <w:vMerge w:val="continue"/>
            <w:vAlign w:val="center"/>
          </w:tcPr>
          <w:p>
            <w:pPr>
              <w:adjustRightInd w:val="0"/>
              <w:snapToGrid w:val="0"/>
              <w:jc w:val="center"/>
              <w:rPr>
                <w:color w:val="auto"/>
                <w:szCs w:val="21"/>
                <w:highlight w:val="none"/>
              </w:rPr>
            </w:pPr>
          </w:p>
        </w:tc>
        <w:tc>
          <w:tcPr>
            <w:tcW w:w="316" w:type="pct"/>
            <w:vMerge w:val="continue"/>
            <w:vAlign w:val="center"/>
          </w:tcPr>
          <w:p>
            <w:pPr>
              <w:adjustRightInd w:val="0"/>
              <w:snapToGrid w:val="0"/>
              <w:jc w:val="center"/>
              <w:rPr>
                <w:color w:val="auto"/>
                <w:szCs w:val="21"/>
                <w:highlight w:val="none"/>
              </w:rPr>
            </w:pPr>
          </w:p>
        </w:tc>
        <w:tc>
          <w:tcPr>
            <w:tcW w:w="496" w:type="pct"/>
            <w:vAlign w:val="center"/>
          </w:tcPr>
          <w:p>
            <w:pPr>
              <w:jc w:val="center"/>
              <w:rPr>
                <w:color w:val="auto"/>
                <w:szCs w:val="21"/>
                <w:highlight w:val="none"/>
              </w:rPr>
            </w:pPr>
            <w:r>
              <w:rPr>
                <w:color w:val="auto"/>
                <w:szCs w:val="21"/>
                <w:highlight w:val="none"/>
              </w:rPr>
              <w:t>氨氮</w:t>
            </w:r>
          </w:p>
        </w:tc>
        <w:tc>
          <w:tcPr>
            <w:tcW w:w="1094" w:type="pct"/>
            <w:vMerge w:val="continue"/>
            <w:vAlign w:val="center"/>
          </w:tcPr>
          <w:p>
            <w:pPr>
              <w:adjustRightInd w:val="0"/>
              <w:snapToGrid w:val="0"/>
              <w:jc w:val="center"/>
              <w:rPr>
                <w:color w:val="auto"/>
                <w:szCs w:val="21"/>
                <w:highlight w:val="none"/>
              </w:rPr>
            </w:pPr>
          </w:p>
        </w:tc>
        <w:tc>
          <w:tcPr>
            <w:tcW w:w="1580" w:type="pct"/>
            <w:vMerge w:val="continue"/>
            <w:vAlign w:val="center"/>
          </w:tcPr>
          <w:p>
            <w:pPr>
              <w:adjustRightInd w:val="0"/>
              <w:snapToGrid w:val="0"/>
              <w:jc w:val="center"/>
              <w:rPr>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813" w:type="pct"/>
            <w:vMerge w:val="continue"/>
            <w:vAlign w:val="center"/>
          </w:tcPr>
          <w:p>
            <w:pPr>
              <w:adjustRightInd w:val="0"/>
              <w:snapToGrid w:val="0"/>
              <w:jc w:val="center"/>
              <w:rPr>
                <w:color w:val="auto"/>
                <w:szCs w:val="21"/>
                <w:highlight w:val="none"/>
              </w:rPr>
            </w:pPr>
          </w:p>
        </w:tc>
        <w:tc>
          <w:tcPr>
            <w:tcW w:w="697" w:type="pct"/>
            <w:vMerge w:val="continue"/>
            <w:vAlign w:val="center"/>
          </w:tcPr>
          <w:p>
            <w:pPr>
              <w:adjustRightInd w:val="0"/>
              <w:snapToGrid w:val="0"/>
              <w:jc w:val="center"/>
              <w:rPr>
                <w:color w:val="auto"/>
                <w:szCs w:val="21"/>
                <w:highlight w:val="none"/>
              </w:rPr>
            </w:pPr>
          </w:p>
        </w:tc>
        <w:tc>
          <w:tcPr>
            <w:tcW w:w="316" w:type="pct"/>
            <w:vMerge w:val="continue"/>
            <w:vAlign w:val="center"/>
          </w:tcPr>
          <w:p>
            <w:pPr>
              <w:adjustRightInd w:val="0"/>
              <w:snapToGrid w:val="0"/>
              <w:jc w:val="center"/>
              <w:rPr>
                <w:color w:val="auto"/>
                <w:szCs w:val="21"/>
                <w:highlight w:val="none"/>
              </w:rPr>
            </w:pPr>
          </w:p>
        </w:tc>
        <w:tc>
          <w:tcPr>
            <w:tcW w:w="496" w:type="pct"/>
            <w:vAlign w:val="center"/>
          </w:tcPr>
          <w:p>
            <w:pPr>
              <w:jc w:val="center"/>
              <w:rPr>
                <w:color w:val="auto"/>
                <w:szCs w:val="21"/>
                <w:highlight w:val="none"/>
              </w:rPr>
            </w:pPr>
            <w:r>
              <w:rPr>
                <w:color w:val="auto"/>
                <w:szCs w:val="21"/>
                <w:highlight w:val="none"/>
              </w:rPr>
              <w:t>TP</w:t>
            </w:r>
          </w:p>
        </w:tc>
        <w:tc>
          <w:tcPr>
            <w:tcW w:w="1094" w:type="pct"/>
            <w:vMerge w:val="continue"/>
            <w:vAlign w:val="center"/>
          </w:tcPr>
          <w:p>
            <w:pPr>
              <w:adjustRightInd w:val="0"/>
              <w:snapToGrid w:val="0"/>
              <w:jc w:val="center"/>
              <w:rPr>
                <w:color w:val="auto"/>
                <w:szCs w:val="21"/>
                <w:highlight w:val="none"/>
              </w:rPr>
            </w:pPr>
          </w:p>
        </w:tc>
        <w:tc>
          <w:tcPr>
            <w:tcW w:w="1580" w:type="pct"/>
            <w:vMerge w:val="continue"/>
            <w:vAlign w:val="center"/>
          </w:tcPr>
          <w:p>
            <w:pPr>
              <w:adjustRightInd w:val="0"/>
              <w:snapToGrid w:val="0"/>
              <w:jc w:val="center"/>
              <w:rPr>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3" w:type="pct"/>
            <w:vMerge w:val="continue"/>
            <w:vAlign w:val="center"/>
          </w:tcPr>
          <w:p>
            <w:pPr>
              <w:adjustRightInd w:val="0"/>
              <w:snapToGrid w:val="0"/>
              <w:jc w:val="center"/>
              <w:rPr>
                <w:color w:val="auto"/>
                <w:szCs w:val="21"/>
                <w:highlight w:val="none"/>
              </w:rPr>
            </w:pPr>
          </w:p>
        </w:tc>
        <w:tc>
          <w:tcPr>
            <w:tcW w:w="697" w:type="pct"/>
            <w:vMerge w:val="continue"/>
            <w:vAlign w:val="center"/>
          </w:tcPr>
          <w:p>
            <w:pPr>
              <w:adjustRightInd w:val="0"/>
              <w:snapToGrid w:val="0"/>
              <w:jc w:val="center"/>
              <w:rPr>
                <w:color w:val="auto"/>
                <w:szCs w:val="21"/>
                <w:highlight w:val="none"/>
              </w:rPr>
            </w:pPr>
          </w:p>
        </w:tc>
        <w:tc>
          <w:tcPr>
            <w:tcW w:w="316" w:type="pct"/>
            <w:vMerge w:val="continue"/>
            <w:vAlign w:val="center"/>
          </w:tcPr>
          <w:p>
            <w:pPr>
              <w:adjustRightInd w:val="0"/>
              <w:snapToGrid w:val="0"/>
              <w:jc w:val="center"/>
              <w:rPr>
                <w:color w:val="auto"/>
                <w:szCs w:val="21"/>
                <w:highlight w:val="none"/>
              </w:rPr>
            </w:pPr>
          </w:p>
        </w:tc>
        <w:tc>
          <w:tcPr>
            <w:tcW w:w="496" w:type="pct"/>
            <w:vAlign w:val="center"/>
          </w:tcPr>
          <w:p>
            <w:pPr>
              <w:jc w:val="center"/>
              <w:rPr>
                <w:color w:val="auto"/>
                <w:szCs w:val="21"/>
                <w:highlight w:val="none"/>
              </w:rPr>
            </w:pPr>
            <w:r>
              <w:rPr>
                <w:color w:val="auto"/>
                <w:szCs w:val="21"/>
                <w:highlight w:val="none"/>
              </w:rPr>
              <w:t>TN</w:t>
            </w:r>
          </w:p>
        </w:tc>
        <w:tc>
          <w:tcPr>
            <w:tcW w:w="1094" w:type="pct"/>
            <w:vMerge w:val="continue"/>
            <w:vAlign w:val="center"/>
          </w:tcPr>
          <w:p>
            <w:pPr>
              <w:adjustRightInd w:val="0"/>
              <w:snapToGrid w:val="0"/>
              <w:jc w:val="center"/>
              <w:rPr>
                <w:color w:val="auto"/>
                <w:szCs w:val="21"/>
                <w:highlight w:val="none"/>
              </w:rPr>
            </w:pPr>
          </w:p>
        </w:tc>
        <w:tc>
          <w:tcPr>
            <w:tcW w:w="1580" w:type="pct"/>
            <w:vMerge w:val="continue"/>
            <w:vAlign w:val="center"/>
          </w:tcPr>
          <w:p>
            <w:pPr>
              <w:adjustRightInd w:val="0"/>
              <w:snapToGrid w:val="0"/>
              <w:jc w:val="center"/>
              <w:rPr>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3" w:type="pct"/>
            <w:vAlign w:val="center"/>
          </w:tcPr>
          <w:p>
            <w:pPr>
              <w:adjustRightInd w:val="0"/>
              <w:snapToGrid w:val="0"/>
              <w:jc w:val="center"/>
              <w:rPr>
                <w:color w:val="auto"/>
                <w:szCs w:val="21"/>
                <w:highlight w:val="none"/>
              </w:rPr>
            </w:pPr>
            <w:r>
              <w:rPr>
                <w:color w:val="auto"/>
                <w:szCs w:val="21"/>
                <w:highlight w:val="none"/>
              </w:rPr>
              <w:t>声环境</w:t>
            </w:r>
          </w:p>
        </w:tc>
        <w:tc>
          <w:tcPr>
            <w:tcW w:w="697" w:type="pct"/>
            <w:vAlign w:val="center"/>
          </w:tcPr>
          <w:p>
            <w:pPr>
              <w:adjustRightInd w:val="0"/>
              <w:snapToGrid w:val="0"/>
              <w:jc w:val="center"/>
              <w:rPr>
                <w:color w:val="auto"/>
                <w:szCs w:val="21"/>
                <w:highlight w:val="none"/>
              </w:rPr>
            </w:pPr>
            <w:r>
              <w:rPr>
                <w:color w:val="auto"/>
                <w:szCs w:val="21"/>
                <w:highlight w:val="none"/>
              </w:rPr>
              <w:t>生产车间</w:t>
            </w:r>
          </w:p>
        </w:tc>
        <w:tc>
          <w:tcPr>
            <w:tcW w:w="813" w:type="pct"/>
            <w:gridSpan w:val="2"/>
            <w:vAlign w:val="center"/>
          </w:tcPr>
          <w:p>
            <w:pPr>
              <w:adjustRightInd w:val="0"/>
              <w:snapToGrid w:val="0"/>
              <w:jc w:val="center"/>
              <w:rPr>
                <w:color w:val="auto"/>
                <w:szCs w:val="21"/>
                <w:highlight w:val="none"/>
              </w:rPr>
            </w:pPr>
            <w:r>
              <w:rPr>
                <w:color w:val="auto"/>
                <w:szCs w:val="21"/>
                <w:highlight w:val="none"/>
              </w:rPr>
              <w:t>噪声</w:t>
            </w:r>
          </w:p>
        </w:tc>
        <w:tc>
          <w:tcPr>
            <w:tcW w:w="1094" w:type="pct"/>
            <w:vAlign w:val="center"/>
          </w:tcPr>
          <w:p>
            <w:pPr>
              <w:adjustRightInd w:val="0"/>
              <w:snapToGrid w:val="0"/>
              <w:jc w:val="center"/>
              <w:rPr>
                <w:color w:val="auto"/>
                <w:szCs w:val="21"/>
                <w:highlight w:val="none"/>
              </w:rPr>
            </w:pPr>
            <w:r>
              <w:rPr>
                <w:color w:val="auto"/>
                <w:szCs w:val="21"/>
                <w:highlight w:val="none"/>
              </w:rPr>
              <w:t>厂墙隔声、安装减震基垫、距离衰减</w:t>
            </w:r>
          </w:p>
        </w:tc>
        <w:tc>
          <w:tcPr>
            <w:tcW w:w="1580" w:type="pct"/>
            <w:vAlign w:val="center"/>
          </w:tcPr>
          <w:p>
            <w:pPr>
              <w:adjustRightInd w:val="0"/>
              <w:snapToGrid w:val="0"/>
              <w:jc w:val="center"/>
              <w:rPr>
                <w:color w:val="auto"/>
                <w:szCs w:val="21"/>
                <w:highlight w:val="none"/>
              </w:rPr>
            </w:pPr>
            <w:r>
              <w:rPr>
                <w:color w:val="auto"/>
                <w:szCs w:val="21"/>
                <w:highlight w:val="none"/>
              </w:rPr>
              <w:t>《工业企业厂界环境噪声排放标准》（GB12348-2008）表1中</w:t>
            </w:r>
            <w:r>
              <w:rPr>
                <w:rFonts w:hint="eastAsia"/>
                <w:color w:val="auto"/>
                <w:szCs w:val="21"/>
                <w:highlight w:val="none"/>
              </w:rPr>
              <w:t>2</w:t>
            </w:r>
            <w:r>
              <w:rPr>
                <w:color w:val="auto"/>
                <w:szCs w:val="21"/>
                <w:highlight w:val="none"/>
              </w:rPr>
              <w:t>类限值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813" w:type="pct"/>
            <w:vAlign w:val="center"/>
          </w:tcPr>
          <w:p>
            <w:pPr>
              <w:pStyle w:val="60"/>
              <w:spacing w:line="360" w:lineRule="auto"/>
              <w:rPr>
                <w:rFonts w:eastAsia="宋体"/>
                <w:color w:val="auto"/>
                <w:szCs w:val="21"/>
                <w:highlight w:val="none"/>
              </w:rPr>
            </w:pPr>
            <w:r>
              <w:rPr>
                <w:rFonts w:eastAsia="宋体"/>
                <w:color w:val="auto"/>
                <w:szCs w:val="21"/>
                <w:highlight w:val="none"/>
              </w:rPr>
              <w:t>固体废物</w:t>
            </w:r>
          </w:p>
        </w:tc>
        <w:tc>
          <w:tcPr>
            <w:tcW w:w="4186" w:type="pct"/>
            <w:gridSpan w:val="5"/>
            <w:vAlign w:val="center"/>
          </w:tcPr>
          <w:p>
            <w:pPr>
              <w:adjustRightInd w:val="0"/>
              <w:snapToGrid w:val="0"/>
              <w:ind w:firstLine="420" w:firstLineChars="200"/>
              <w:rPr>
                <w:color w:val="auto"/>
                <w:kern w:val="0"/>
                <w:szCs w:val="21"/>
                <w:highlight w:val="none"/>
              </w:rPr>
            </w:pPr>
            <w:r>
              <w:rPr>
                <w:rFonts w:hint="eastAsia"/>
                <w:color w:val="auto"/>
                <w:kern w:val="0"/>
                <w:szCs w:val="21"/>
                <w:highlight w:val="none"/>
              </w:rPr>
              <w:t>运营期产生的一般工业固体废物主要为废包装袋外售处置；产生的危险废物主要是</w:t>
            </w:r>
            <w:r>
              <w:rPr>
                <w:rFonts w:hint="eastAsia"/>
                <w:color w:val="auto"/>
                <w:szCs w:val="21"/>
                <w:highlight w:val="none"/>
                <w:lang w:bidi="ar"/>
              </w:rPr>
              <w:t>废活性炭</w:t>
            </w:r>
            <w:r>
              <w:rPr>
                <w:rFonts w:hint="eastAsia"/>
                <w:color w:val="auto"/>
                <w:szCs w:val="21"/>
                <w:highlight w:val="none"/>
              </w:rPr>
              <w:t>收集后委托有资质单位处置</w:t>
            </w:r>
            <w:r>
              <w:rPr>
                <w:rFonts w:hint="eastAsia"/>
                <w:color w:val="auto"/>
                <w:kern w:val="0"/>
                <w:szCs w:val="21"/>
                <w:highlight w:val="none"/>
              </w:rPr>
              <w:t>；</w:t>
            </w:r>
            <w:r>
              <w:rPr>
                <w:rFonts w:hint="eastAsia"/>
                <w:color w:val="auto"/>
                <w:szCs w:val="21"/>
                <w:highlight w:val="none"/>
                <w:lang w:bidi="ar"/>
              </w:rPr>
              <w:t>生活垃圾委托环卫部门清运</w:t>
            </w:r>
            <w:r>
              <w:rPr>
                <w:rFonts w:hint="eastAsia"/>
                <w:color w:val="auto"/>
                <w:kern w:val="0"/>
                <w:szCs w:val="21"/>
                <w:highlight w:val="none"/>
              </w:rPr>
              <w:t>。</w:t>
            </w:r>
          </w:p>
          <w:p>
            <w:pPr>
              <w:pStyle w:val="60"/>
              <w:adjustRightInd w:val="0"/>
              <w:snapToGrid w:val="0"/>
              <w:ind w:firstLine="420" w:firstLineChars="200"/>
              <w:jc w:val="both"/>
              <w:rPr>
                <w:rFonts w:eastAsia="宋体"/>
                <w:color w:val="auto"/>
                <w:szCs w:val="21"/>
                <w:highlight w:val="none"/>
              </w:rPr>
            </w:pPr>
            <w:r>
              <w:rPr>
                <w:rFonts w:eastAsia="宋体"/>
                <w:color w:val="auto"/>
                <w:szCs w:val="21"/>
                <w:highlight w:val="none"/>
              </w:rPr>
              <w:t>厂区设置一座建筑面积为</w:t>
            </w:r>
            <w:r>
              <w:rPr>
                <w:rFonts w:hint="eastAsia" w:eastAsia="宋体"/>
                <w:color w:val="auto"/>
                <w:szCs w:val="21"/>
                <w:highlight w:val="none"/>
              </w:rPr>
              <w:t>30</w:t>
            </w:r>
            <w:r>
              <w:rPr>
                <w:rFonts w:eastAsia="宋体"/>
                <w:color w:val="auto"/>
                <w:szCs w:val="21"/>
                <w:highlight w:val="none"/>
              </w:rPr>
              <w:t>m</w:t>
            </w:r>
            <w:r>
              <w:rPr>
                <w:rFonts w:eastAsia="宋体"/>
                <w:color w:val="auto"/>
                <w:szCs w:val="21"/>
                <w:highlight w:val="none"/>
                <w:vertAlign w:val="superscript"/>
              </w:rPr>
              <w:t>2</w:t>
            </w:r>
            <w:r>
              <w:rPr>
                <w:rFonts w:eastAsia="宋体"/>
                <w:color w:val="auto"/>
                <w:szCs w:val="21"/>
                <w:highlight w:val="none"/>
              </w:rPr>
              <w:t>的一般固废仓库和一座建筑面积为</w:t>
            </w:r>
            <w:r>
              <w:rPr>
                <w:rFonts w:hint="eastAsia" w:eastAsia="宋体"/>
                <w:color w:val="auto"/>
                <w:szCs w:val="21"/>
                <w:highlight w:val="none"/>
                <w:lang w:val="en-US" w:eastAsia="zh-CN"/>
              </w:rPr>
              <w:t>5</w:t>
            </w:r>
            <w:r>
              <w:rPr>
                <w:rFonts w:eastAsia="宋体"/>
                <w:color w:val="auto"/>
                <w:szCs w:val="21"/>
                <w:highlight w:val="none"/>
              </w:rPr>
              <w:t>m</w:t>
            </w:r>
            <w:r>
              <w:rPr>
                <w:rFonts w:eastAsia="宋体"/>
                <w:color w:val="auto"/>
                <w:szCs w:val="21"/>
                <w:highlight w:val="none"/>
                <w:vertAlign w:val="superscript"/>
              </w:rPr>
              <w:t>2</w:t>
            </w:r>
            <w:r>
              <w:rPr>
                <w:rFonts w:eastAsia="宋体"/>
                <w:color w:val="auto"/>
                <w:szCs w:val="21"/>
                <w:highlight w:val="none"/>
              </w:rPr>
              <w:t>的危废仓库。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3" w:type="pct"/>
            <w:vAlign w:val="center"/>
          </w:tcPr>
          <w:p>
            <w:pPr>
              <w:adjustRightInd w:val="0"/>
              <w:snapToGrid w:val="0"/>
              <w:jc w:val="center"/>
              <w:rPr>
                <w:color w:val="auto"/>
                <w:szCs w:val="21"/>
                <w:highlight w:val="none"/>
              </w:rPr>
            </w:pPr>
            <w:r>
              <w:rPr>
                <w:color w:val="auto"/>
                <w:szCs w:val="21"/>
                <w:highlight w:val="none"/>
              </w:rPr>
              <w:t>土壤及地下水污染防治措施</w:t>
            </w:r>
          </w:p>
        </w:tc>
        <w:tc>
          <w:tcPr>
            <w:tcW w:w="4186" w:type="pct"/>
            <w:gridSpan w:val="5"/>
            <w:vAlign w:val="center"/>
          </w:tcPr>
          <w:p>
            <w:pPr>
              <w:pStyle w:val="60"/>
              <w:ind w:firstLine="420" w:firstLineChars="200"/>
              <w:rPr>
                <w:rFonts w:eastAsia="宋体"/>
                <w:color w:val="auto"/>
                <w:szCs w:val="21"/>
                <w:highlight w:val="none"/>
              </w:rPr>
            </w:pPr>
            <w:r>
              <w:rPr>
                <w:rFonts w:eastAsia="宋体"/>
                <w:color w:val="auto"/>
                <w:szCs w:val="21"/>
                <w:highlight w:val="none"/>
              </w:rPr>
              <w:t>分区防渗，对</w:t>
            </w:r>
            <w:r>
              <w:rPr>
                <w:rFonts w:hint="eastAsia" w:eastAsia="宋体"/>
                <w:color w:val="auto"/>
                <w:szCs w:val="21"/>
                <w:highlight w:val="none"/>
              </w:rPr>
              <w:t>危险废物储存区等</w:t>
            </w:r>
            <w:r>
              <w:rPr>
                <w:rFonts w:eastAsia="宋体"/>
                <w:color w:val="auto"/>
                <w:szCs w:val="21"/>
                <w:highlight w:val="none"/>
              </w:rPr>
              <w:t>区域实施重点防渗措施</w:t>
            </w:r>
            <w:r>
              <w:rPr>
                <w:rFonts w:hint="eastAsia" w:eastAsia="宋体"/>
                <w:color w:val="auto"/>
                <w:szCs w:val="21"/>
                <w:highlight w:val="none"/>
              </w:rPr>
              <w:t>，厂内其他区域进行简单防渗。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3" w:type="pct"/>
            <w:vAlign w:val="center"/>
          </w:tcPr>
          <w:p>
            <w:pPr>
              <w:adjustRightInd w:val="0"/>
              <w:snapToGrid w:val="0"/>
              <w:jc w:val="center"/>
              <w:rPr>
                <w:color w:val="auto"/>
                <w:szCs w:val="21"/>
                <w:highlight w:val="none"/>
              </w:rPr>
            </w:pPr>
            <w:r>
              <w:rPr>
                <w:color w:val="auto"/>
                <w:szCs w:val="21"/>
                <w:highlight w:val="none"/>
              </w:rPr>
              <w:t>生态保护措施</w:t>
            </w:r>
          </w:p>
        </w:tc>
        <w:tc>
          <w:tcPr>
            <w:tcW w:w="4186" w:type="pct"/>
            <w:gridSpan w:val="5"/>
            <w:vAlign w:val="center"/>
          </w:tcPr>
          <w:p>
            <w:pPr>
              <w:pStyle w:val="60"/>
              <w:rPr>
                <w:rFonts w:eastAsia="宋体"/>
                <w:color w:val="auto"/>
                <w:szCs w:val="21"/>
                <w:highlight w:val="none"/>
              </w:rPr>
            </w:pPr>
            <w:r>
              <w:rPr>
                <w:rFonts w:eastAsia="宋体"/>
                <w:color w:val="auto"/>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3" w:type="pct"/>
            <w:vAlign w:val="center"/>
          </w:tcPr>
          <w:p>
            <w:pPr>
              <w:adjustRightInd w:val="0"/>
              <w:snapToGrid w:val="0"/>
              <w:jc w:val="center"/>
              <w:rPr>
                <w:color w:val="auto"/>
                <w:szCs w:val="21"/>
                <w:highlight w:val="none"/>
              </w:rPr>
            </w:pPr>
            <w:r>
              <w:rPr>
                <w:color w:val="auto"/>
                <w:szCs w:val="21"/>
                <w:highlight w:val="none"/>
              </w:rPr>
              <w:t>环境风险</w:t>
            </w:r>
          </w:p>
          <w:p>
            <w:pPr>
              <w:adjustRightInd w:val="0"/>
              <w:snapToGrid w:val="0"/>
              <w:jc w:val="center"/>
              <w:rPr>
                <w:color w:val="auto"/>
                <w:szCs w:val="21"/>
                <w:highlight w:val="none"/>
              </w:rPr>
            </w:pPr>
            <w:r>
              <w:rPr>
                <w:color w:val="auto"/>
                <w:szCs w:val="21"/>
                <w:highlight w:val="none"/>
              </w:rPr>
              <w:t>防范措施</w:t>
            </w:r>
          </w:p>
        </w:tc>
        <w:tc>
          <w:tcPr>
            <w:tcW w:w="4186" w:type="pct"/>
            <w:gridSpan w:val="5"/>
            <w:vAlign w:val="center"/>
          </w:tcPr>
          <w:p>
            <w:pPr>
              <w:snapToGrid w:val="0"/>
              <w:spacing w:line="240" w:lineRule="auto"/>
              <w:jc w:val="center"/>
              <w:rPr>
                <w:color w:val="auto"/>
                <w:szCs w:val="21"/>
                <w:highlight w:val="none"/>
              </w:rPr>
            </w:pPr>
            <w:r>
              <w:rPr>
                <w:rFonts w:hint="eastAsia"/>
                <w:color w:val="auto"/>
                <w:szCs w:val="21"/>
                <w:highlight w:val="none"/>
              </w:rPr>
              <w:t>1、</w:t>
            </w:r>
            <w:r>
              <w:rPr>
                <w:color w:val="auto"/>
                <w:szCs w:val="21"/>
                <w:highlight w:val="none"/>
              </w:rPr>
              <w:t>厂区分区防渗</w:t>
            </w:r>
            <w:r>
              <w:rPr>
                <w:rFonts w:hint="eastAsia"/>
                <w:color w:val="auto"/>
                <w:szCs w:val="21"/>
                <w:highlight w:val="none"/>
              </w:rPr>
              <w:t>；</w:t>
            </w:r>
          </w:p>
          <w:p>
            <w:pPr>
              <w:pStyle w:val="6"/>
              <w:snapToGrid w:val="0"/>
              <w:spacing w:line="240" w:lineRule="auto"/>
              <w:ind w:firstLine="0" w:firstLineChars="0"/>
              <w:jc w:val="center"/>
              <w:rPr>
                <w:color w:val="auto"/>
                <w:szCs w:val="21"/>
                <w:highlight w:val="none"/>
              </w:rPr>
            </w:pPr>
            <w:r>
              <w:rPr>
                <w:rFonts w:hint="eastAsia"/>
                <w:color w:val="auto"/>
                <w:szCs w:val="21"/>
                <w:highlight w:val="none"/>
              </w:rPr>
              <w:t>2、</w:t>
            </w:r>
            <w:r>
              <w:rPr>
                <w:color w:val="auto"/>
                <w:szCs w:val="21"/>
                <w:highlight w:val="none"/>
              </w:rPr>
              <w:t>厂区内配置堵漏材料，例如黄沙、蛇皮袋等</w:t>
            </w:r>
            <w:r>
              <w:rPr>
                <w:rFonts w:hint="eastAsia"/>
                <w:color w:val="auto"/>
                <w:szCs w:val="21"/>
                <w:highlight w:val="none"/>
              </w:rPr>
              <w:t>；</w:t>
            </w:r>
          </w:p>
          <w:p>
            <w:pPr>
              <w:pStyle w:val="60"/>
              <w:adjustRightInd w:val="0"/>
              <w:snapToGrid w:val="0"/>
              <w:spacing w:line="240" w:lineRule="auto"/>
              <w:rPr>
                <w:rFonts w:eastAsia="宋体"/>
                <w:color w:val="auto"/>
                <w:szCs w:val="21"/>
                <w:highlight w:val="none"/>
              </w:rPr>
            </w:pPr>
            <w:r>
              <w:rPr>
                <w:rFonts w:hint="eastAsia" w:eastAsia="宋体"/>
                <w:color w:val="auto"/>
                <w:szCs w:val="21"/>
                <w:highlight w:val="none"/>
              </w:rPr>
              <w:t>3、</w:t>
            </w:r>
            <w:r>
              <w:rPr>
                <w:rFonts w:eastAsia="宋体"/>
                <w:color w:val="auto"/>
                <w:szCs w:val="21"/>
                <w:highlight w:val="none"/>
              </w:rPr>
              <w:t>厂内配置一定量的消防器材</w:t>
            </w:r>
            <w:r>
              <w:rPr>
                <w:rFonts w:hint="eastAsia" w:eastAsia="宋体"/>
                <w:color w:val="auto"/>
                <w:szCs w:val="21"/>
                <w:highlight w:val="none"/>
              </w:rPr>
              <w:t>；</w:t>
            </w:r>
          </w:p>
          <w:p>
            <w:pPr>
              <w:pStyle w:val="60"/>
              <w:adjustRightInd w:val="0"/>
              <w:snapToGrid w:val="0"/>
              <w:spacing w:line="240" w:lineRule="auto"/>
              <w:rPr>
                <w:rFonts w:eastAsia="宋体"/>
                <w:color w:val="auto"/>
                <w:szCs w:val="21"/>
                <w:highlight w:val="none"/>
              </w:rPr>
            </w:pPr>
            <w:r>
              <w:rPr>
                <w:rFonts w:hint="eastAsia" w:eastAsia="宋体"/>
                <w:color w:val="auto"/>
                <w:szCs w:val="21"/>
                <w:highlight w:val="none"/>
              </w:rPr>
              <w:t>4、</w:t>
            </w:r>
            <w:r>
              <w:rPr>
                <w:rFonts w:eastAsia="宋体"/>
                <w:color w:val="auto"/>
                <w:szCs w:val="21"/>
                <w:highlight w:val="none"/>
              </w:rPr>
              <w:t>制定突发事故对策和应急预案</w:t>
            </w:r>
            <w:r>
              <w:rPr>
                <w:rFonts w:hint="eastAsia" w:eastAsia="宋体"/>
                <w:color w:val="auto"/>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24" w:hRule="atLeast"/>
          <w:jc w:val="center"/>
        </w:trPr>
        <w:tc>
          <w:tcPr>
            <w:tcW w:w="813" w:type="pct"/>
            <w:vAlign w:val="center"/>
          </w:tcPr>
          <w:p>
            <w:pPr>
              <w:adjustRightInd w:val="0"/>
              <w:snapToGrid w:val="0"/>
              <w:jc w:val="center"/>
              <w:rPr>
                <w:color w:val="auto"/>
                <w:spacing w:val="-8"/>
                <w:szCs w:val="21"/>
                <w:highlight w:val="none"/>
              </w:rPr>
            </w:pPr>
            <w:r>
              <w:rPr>
                <w:color w:val="auto"/>
                <w:spacing w:val="-8"/>
                <w:szCs w:val="21"/>
                <w:highlight w:val="none"/>
              </w:rPr>
              <w:t>其他环境</w:t>
            </w:r>
          </w:p>
          <w:p>
            <w:pPr>
              <w:adjustRightInd w:val="0"/>
              <w:snapToGrid w:val="0"/>
              <w:jc w:val="center"/>
              <w:rPr>
                <w:color w:val="auto"/>
                <w:spacing w:val="-8"/>
                <w:szCs w:val="21"/>
                <w:highlight w:val="none"/>
              </w:rPr>
            </w:pPr>
            <w:r>
              <w:rPr>
                <w:color w:val="auto"/>
                <w:spacing w:val="-8"/>
                <w:szCs w:val="21"/>
                <w:highlight w:val="none"/>
              </w:rPr>
              <w:t>管理要求</w:t>
            </w:r>
          </w:p>
        </w:tc>
        <w:tc>
          <w:tcPr>
            <w:tcW w:w="4186" w:type="pct"/>
            <w:gridSpan w:val="5"/>
            <w:vAlign w:val="center"/>
          </w:tcPr>
          <w:p>
            <w:pPr>
              <w:jc w:val="center"/>
              <w:rPr>
                <w:color w:val="auto"/>
                <w:szCs w:val="21"/>
                <w:highlight w:val="none"/>
              </w:rPr>
            </w:pPr>
            <w:r>
              <w:rPr>
                <w:color w:val="auto"/>
                <w:szCs w:val="21"/>
                <w:highlight w:val="none"/>
              </w:rPr>
              <w:t>1、</w:t>
            </w:r>
            <w:r>
              <w:rPr>
                <w:rFonts w:hint="eastAsia"/>
                <w:color w:val="auto"/>
                <w:szCs w:val="21"/>
                <w:highlight w:val="none"/>
              </w:rPr>
              <w:t>以</w:t>
            </w:r>
            <w:r>
              <w:rPr>
                <w:rFonts w:hint="eastAsia" w:eastAsia="宋体"/>
                <w:color w:val="auto"/>
                <w:sz w:val="21"/>
                <w:szCs w:val="21"/>
                <w:highlight w:val="none"/>
                <w:lang w:val="en-US" w:eastAsia="zh-CN"/>
              </w:rPr>
              <w:t>挤出</w:t>
            </w:r>
            <w:r>
              <w:rPr>
                <w:rFonts w:eastAsia="宋体"/>
                <w:color w:val="auto"/>
                <w:sz w:val="21"/>
                <w:szCs w:val="21"/>
                <w:highlight w:val="none"/>
              </w:rPr>
              <w:t>成型</w:t>
            </w:r>
            <w:r>
              <w:rPr>
                <w:rFonts w:hint="eastAsia"/>
                <w:color w:val="auto"/>
                <w:szCs w:val="21"/>
                <w:highlight w:val="none"/>
                <w:lang w:val="en-US" w:eastAsia="zh-CN"/>
              </w:rPr>
              <w:t>车间</w:t>
            </w:r>
            <w:r>
              <w:rPr>
                <w:color w:val="auto"/>
                <w:szCs w:val="21"/>
                <w:highlight w:val="none"/>
              </w:rPr>
              <w:t>为边界外扩</w:t>
            </w:r>
            <w:r>
              <w:rPr>
                <w:rFonts w:hint="eastAsia"/>
                <w:color w:val="auto"/>
                <w:szCs w:val="21"/>
                <w:highlight w:val="none"/>
                <w:lang w:val="en-US" w:eastAsia="zh-CN"/>
              </w:rPr>
              <w:t>100</w:t>
            </w:r>
            <w:r>
              <w:rPr>
                <w:color w:val="auto"/>
                <w:szCs w:val="21"/>
                <w:highlight w:val="none"/>
              </w:rPr>
              <w:t>米</w:t>
            </w:r>
            <w:r>
              <w:rPr>
                <w:rFonts w:hint="eastAsia"/>
                <w:color w:val="auto"/>
                <w:szCs w:val="21"/>
                <w:highlight w:val="none"/>
              </w:rPr>
              <w:t>设置卫生防护距离</w:t>
            </w:r>
            <w:r>
              <w:rPr>
                <w:color w:val="auto"/>
                <w:szCs w:val="21"/>
                <w:highlight w:val="none"/>
              </w:rPr>
              <w:t>；</w:t>
            </w:r>
          </w:p>
          <w:p>
            <w:pPr>
              <w:jc w:val="center"/>
              <w:rPr>
                <w:color w:val="auto"/>
                <w:szCs w:val="21"/>
                <w:highlight w:val="none"/>
              </w:rPr>
            </w:pPr>
            <w:r>
              <w:rPr>
                <w:color w:val="auto"/>
                <w:szCs w:val="21"/>
                <w:highlight w:val="none"/>
              </w:rPr>
              <w:t>2、项目正式运行时需签订一般固废处置协议、危险固废处置协议；</w:t>
            </w:r>
          </w:p>
          <w:p>
            <w:pPr>
              <w:jc w:val="center"/>
              <w:rPr>
                <w:color w:val="auto"/>
                <w:szCs w:val="21"/>
                <w:highlight w:val="none"/>
              </w:rPr>
            </w:pPr>
            <w:r>
              <w:rPr>
                <w:color w:val="auto"/>
                <w:szCs w:val="21"/>
                <w:highlight w:val="none"/>
              </w:rPr>
              <w:t>3、落实危险固废台账等要求；</w:t>
            </w:r>
          </w:p>
          <w:p>
            <w:pPr>
              <w:jc w:val="center"/>
              <w:rPr>
                <w:color w:val="auto"/>
                <w:szCs w:val="21"/>
                <w:highlight w:val="none"/>
              </w:rPr>
            </w:pPr>
            <w:r>
              <w:rPr>
                <w:color w:val="auto"/>
                <w:szCs w:val="21"/>
                <w:highlight w:val="none"/>
              </w:rPr>
              <w:t>4、落实本报告的例行监测要求；</w:t>
            </w:r>
          </w:p>
          <w:p>
            <w:pPr>
              <w:adjustRightInd w:val="0"/>
              <w:snapToGrid w:val="0"/>
              <w:jc w:val="center"/>
              <w:rPr>
                <w:color w:val="auto"/>
                <w:szCs w:val="21"/>
                <w:highlight w:val="none"/>
              </w:rPr>
            </w:pPr>
            <w:r>
              <w:rPr>
                <w:rFonts w:hint="eastAsia"/>
                <w:color w:val="auto"/>
                <w:szCs w:val="21"/>
                <w:highlight w:val="none"/>
              </w:rPr>
              <w:t>5、落实危险固废仓库，废气排放口等标识牌。</w:t>
            </w:r>
          </w:p>
        </w:tc>
      </w:tr>
    </w:tbl>
    <w:p>
      <w:pPr>
        <w:pStyle w:val="22"/>
        <w:jc w:val="center"/>
        <w:outlineLvl w:val="0"/>
        <w:rPr>
          <w:rFonts w:ascii="Times New Roman" w:hAnsi="Times New Roman" w:cs="Times New Roman"/>
          <w:snapToGrid w:val="0"/>
          <w:color w:val="auto"/>
          <w:sz w:val="30"/>
          <w:szCs w:val="30"/>
          <w:highlight w:val="none"/>
        </w:rPr>
      </w:pPr>
      <w:r>
        <w:rPr>
          <w:rFonts w:ascii="Times New Roman" w:hAnsi="Times New Roman" w:cs="Times New Roman"/>
          <w:snapToGrid w:val="0"/>
          <w:color w:val="auto"/>
          <w:highlight w:val="none"/>
        </w:rPr>
        <w:br w:type="page"/>
      </w:r>
      <w:bookmarkStart w:id="13" w:name="_Toc16772"/>
      <w:r>
        <w:rPr>
          <w:rFonts w:ascii="Times New Roman" w:hAnsi="Times New Roman" w:cs="Times New Roman"/>
          <w:b/>
          <w:bCs/>
          <w:snapToGrid w:val="0"/>
          <w:color w:val="auto"/>
          <w:sz w:val="30"/>
          <w:szCs w:val="30"/>
          <w:highlight w:val="none"/>
        </w:rPr>
        <w:t>六、结论</w:t>
      </w:r>
      <w:bookmarkEnd w:id="13"/>
    </w:p>
    <w:tbl>
      <w:tblPr>
        <w:tblStyle w:val="2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vAlign w:val="top"/>
          </w:tcPr>
          <w:p>
            <w:pPr>
              <w:spacing w:line="360" w:lineRule="auto"/>
              <w:ind w:firstLine="422" w:firstLineChars="200"/>
              <w:jc w:val="both"/>
              <w:rPr>
                <w:b/>
                <w:color w:val="auto"/>
                <w:sz w:val="21"/>
                <w:szCs w:val="21"/>
                <w:highlight w:val="none"/>
              </w:rPr>
            </w:pPr>
            <w:r>
              <w:rPr>
                <w:b/>
                <w:color w:val="auto"/>
                <w:sz w:val="21"/>
                <w:szCs w:val="21"/>
                <w:highlight w:val="none"/>
              </w:rPr>
              <w:t>项目建设符合国家和地方相关环保政策，用地为工业用地</w:t>
            </w:r>
            <w:r>
              <w:rPr>
                <w:rFonts w:hint="eastAsia"/>
                <w:b/>
                <w:color w:val="auto"/>
                <w:sz w:val="21"/>
                <w:szCs w:val="21"/>
                <w:highlight w:val="none"/>
              </w:rPr>
              <w:t>；</w:t>
            </w:r>
            <w:r>
              <w:rPr>
                <w:b/>
                <w:color w:val="auto"/>
                <w:sz w:val="21"/>
                <w:szCs w:val="21"/>
                <w:highlight w:val="none"/>
              </w:rPr>
              <w:t>项目所在区域环境质量现状良好</w:t>
            </w:r>
            <w:r>
              <w:rPr>
                <w:rFonts w:hint="eastAsia"/>
                <w:b/>
                <w:color w:val="auto"/>
                <w:sz w:val="21"/>
                <w:szCs w:val="21"/>
                <w:highlight w:val="none"/>
              </w:rPr>
              <w:t>；</w:t>
            </w:r>
            <w:r>
              <w:rPr>
                <w:b/>
                <w:color w:val="auto"/>
                <w:sz w:val="21"/>
                <w:szCs w:val="21"/>
                <w:highlight w:val="none"/>
              </w:rPr>
              <w:t>项目所采用的污染防治措施技术经济可行，能保证各种污染物稳定达标排放</w:t>
            </w:r>
            <w:r>
              <w:rPr>
                <w:rFonts w:hint="eastAsia"/>
                <w:b/>
                <w:color w:val="auto"/>
                <w:sz w:val="21"/>
                <w:szCs w:val="21"/>
                <w:highlight w:val="none"/>
              </w:rPr>
              <w:t>；</w:t>
            </w:r>
            <w:r>
              <w:rPr>
                <w:b/>
                <w:color w:val="auto"/>
                <w:sz w:val="21"/>
                <w:szCs w:val="21"/>
                <w:highlight w:val="none"/>
              </w:rPr>
              <w:t>对评价区域环境影响较小，不会降低区域环境质量</w:t>
            </w:r>
            <w:r>
              <w:rPr>
                <w:rFonts w:hint="eastAsia"/>
                <w:b/>
                <w:color w:val="auto"/>
                <w:sz w:val="21"/>
                <w:szCs w:val="21"/>
                <w:highlight w:val="none"/>
              </w:rPr>
              <w:t>；</w:t>
            </w:r>
            <w:r>
              <w:rPr>
                <w:b/>
                <w:color w:val="auto"/>
                <w:sz w:val="21"/>
                <w:szCs w:val="21"/>
                <w:highlight w:val="none"/>
              </w:rPr>
              <w:t>通过采取有针对性的风险防范措施，项目的环境风险可接受</w:t>
            </w:r>
            <w:r>
              <w:rPr>
                <w:rFonts w:hint="eastAsia"/>
                <w:b/>
                <w:color w:val="auto"/>
                <w:sz w:val="21"/>
                <w:szCs w:val="21"/>
                <w:highlight w:val="none"/>
              </w:rPr>
              <w:t>；</w:t>
            </w:r>
            <w:r>
              <w:rPr>
                <w:b/>
                <w:color w:val="auto"/>
                <w:sz w:val="21"/>
                <w:szCs w:val="21"/>
                <w:highlight w:val="none"/>
              </w:rPr>
              <w:t>针对项目特点提出了具体的环境管理要求及监测计划。项目在设计、建设、运行全过程中还必须满足消防、安全、职业卫生等相关管理要求，进行规范化的设计、施工和运行管理。</w:t>
            </w:r>
          </w:p>
          <w:p>
            <w:pPr>
              <w:spacing w:line="360" w:lineRule="auto"/>
              <w:ind w:firstLine="422" w:firstLineChars="200"/>
              <w:jc w:val="both"/>
              <w:rPr>
                <w:b/>
                <w:color w:val="auto"/>
                <w:sz w:val="21"/>
                <w:szCs w:val="21"/>
                <w:highlight w:val="none"/>
              </w:rPr>
            </w:pPr>
            <w:r>
              <w:rPr>
                <w:b/>
                <w:color w:val="auto"/>
                <w:sz w:val="21"/>
                <w:szCs w:val="21"/>
                <w:highlight w:val="none"/>
              </w:rPr>
              <w:t>综上，在落实本报告表提出的各项环保措施要求，严格执行环保</w:t>
            </w:r>
            <w:r>
              <w:rPr>
                <w:rFonts w:hint="eastAsia" w:ascii="宋体" w:hAnsi="宋体" w:cs="宋体"/>
                <w:b/>
                <w:color w:val="auto"/>
                <w:sz w:val="21"/>
                <w:szCs w:val="21"/>
                <w:highlight w:val="none"/>
              </w:rPr>
              <w:t>“三同时”</w:t>
            </w:r>
            <w:r>
              <w:rPr>
                <w:b/>
                <w:color w:val="auto"/>
                <w:sz w:val="21"/>
                <w:szCs w:val="21"/>
                <w:highlight w:val="none"/>
              </w:rPr>
              <w:t>的前提下，从环保角度分析，项目建设具有环境可行性。</w:t>
            </w:r>
          </w:p>
          <w:p>
            <w:pPr>
              <w:spacing w:line="360" w:lineRule="auto"/>
              <w:ind w:firstLine="420" w:firstLineChars="200"/>
              <w:jc w:val="both"/>
              <w:rPr>
                <w:bCs/>
                <w:color w:val="auto"/>
                <w:sz w:val="21"/>
                <w:szCs w:val="21"/>
                <w:highlight w:val="none"/>
              </w:rPr>
            </w:pPr>
            <w:r>
              <w:rPr>
                <w:rFonts w:hint="eastAsia"/>
                <w:bCs/>
                <w:color w:val="auto"/>
                <w:sz w:val="21"/>
                <w:szCs w:val="21"/>
                <w:highlight w:val="none"/>
              </w:rPr>
              <w:t>（1）</w:t>
            </w:r>
            <w:r>
              <w:rPr>
                <w:bCs/>
                <w:color w:val="auto"/>
                <w:sz w:val="21"/>
                <w:szCs w:val="21"/>
                <w:highlight w:val="none"/>
              </w:rPr>
              <w:t>要求</w:t>
            </w:r>
          </w:p>
          <w:p>
            <w:pPr>
              <w:spacing w:line="360" w:lineRule="auto"/>
              <w:ind w:firstLine="420" w:firstLineChars="200"/>
              <w:jc w:val="both"/>
              <w:rPr>
                <w:bCs/>
                <w:color w:val="auto"/>
                <w:sz w:val="21"/>
                <w:szCs w:val="21"/>
                <w:highlight w:val="none"/>
              </w:rPr>
            </w:pPr>
            <w:r>
              <w:rPr>
                <w:bCs/>
                <w:color w:val="auto"/>
                <w:sz w:val="21"/>
                <w:szCs w:val="21"/>
                <w:highlight w:val="none"/>
              </w:rPr>
              <w:t>①上述评价结论是根据建设方提供的规模、原辅材料用量及与此对应的排污情况基础上进行的，如果规模和排污情况有所变化，建设单位应按环保部门的要求另行申报。</w:t>
            </w:r>
          </w:p>
          <w:p>
            <w:pPr>
              <w:spacing w:line="360" w:lineRule="auto"/>
              <w:ind w:firstLine="420" w:firstLineChars="200"/>
              <w:jc w:val="both"/>
              <w:rPr>
                <w:bCs/>
                <w:color w:val="auto"/>
                <w:sz w:val="21"/>
                <w:szCs w:val="21"/>
                <w:highlight w:val="none"/>
              </w:rPr>
            </w:pPr>
            <w:r>
              <w:rPr>
                <w:bCs/>
                <w:color w:val="auto"/>
                <w:sz w:val="21"/>
                <w:szCs w:val="21"/>
                <w:highlight w:val="none"/>
              </w:rPr>
              <w:t>②建设单位在项目实施过程中，务必认真落实各项治理措施，加强对环保设施的运行管理，制定有效的管理规章制度，落实到人。公司应十分重视引进和建立先进的环保管理模式，完善管理机制，强化职工自身的环保意识。</w:t>
            </w:r>
          </w:p>
          <w:p>
            <w:pPr>
              <w:spacing w:line="360" w:lineRule="auto"/>
              <w:ind w:firstLine="420" w:firstLineChars="200"/>
              <w:jc w:val="both"/>
              <w:rPr>
                <w:bCs/>
                <w:color w:val="auto"/>
                <w:sz w:val="21"/>
                <w:szCs w:val="21"/>
                <w:highlight w:val="none"/>
              </w:rPr>
            </w:pPr>
            <w:r>
              <w:rPr>
                <w:bCs/>
                <w:color w:val="auto"/>
                <w:sz w:val="21"/>
                <w:szCs w:val="21"/>
                <w:highlight w:val="none"/>
              </w:rPr>
              <w:t>③项目涉及的各类环境污染治理设施将同步及时按规划、消防、安全等相关部门的管理要求办理相关手续，严格依据标准规范建设环境治理设施，确保环境治理设施安全、稳定、有效运行。</w:t>
            </w:r>
          </w:p>
          <w:p>
            <w:pPr>
              <w:spacing w:line="360" w:lineRule="auto"/>
              <w:ind w:firstLine="420" w:firstLineChars="200"/>
              <w:jc w:val="both"/>
              <w:rPr>
                <w:bCs/>
                <w:color w:val="auto"/>
                <w:sz w:val="21"/>
                <w:szCs w:val="21"/>
                <w:highlight w:val="none"/>
              </w:rPr>
            </w:pPr>
            <w:r>
              <w:rPr>
                <w:bCs/>
                <w:color w:val="auto"/>
                <w:sz w:val="21"/>
                <w:szCs w:val="21"/>
                <w:highlight w:val="none"/>
              </w:rPr>
              <w:t>（2）建议</w:t>
            </w:r>
          </w:p>
          <w:p>
            <w:pPr>
              <w:spacing w:line="360" w:lineRule="auto"/>
              <w:ind w:firstLine="420" w:firstLineChars="200"/>
              <w:jc w:val="both"/>
              <w:rPr>
                <w:bCs/>
                <w:color w:val="auto"/>
                <w:sz w:val="21"/>
                <w:szCs w:val="21"/>
                <w:highlight w:val="none"/>
              </w:rPr>
            </w:pPr>
            <w:r>
              <w:rPr>
                <w:bCs/>
                <w:color w:val="auto"/>
                <w:sz w:val="21"/>
                <w:szCs w:val="21"/>
                <w:highlight w:val="none"/>
              </w:rPr>
              <w:t>①建设项目应加强环境管理。</w:t>
            </w:r>
          </w:p>
          <w:p>
            <w:pPr>
              <w:spacing w:line="360" w:lineRule="auto"/>
              <w:ind w:firstLine="420" w:firstLineChars="200"/>
              <w:jc w:val="both"/>
              <w:rPr>
                <w:bCs/>
                <w:color w:val="auto"/>
                <w:sz w:val="21"/>
                <w:szCs w:val="21"/>
                <w:highlight w:val="none"/>
              </w:rPr>
            </w:pPr>
            <w:r>
              <w:rPr>
                <w:bCs/>
                <w:color w:val="auto"/>
                <w:sz w:val="21"/>
                <w:szCs w:val="21"/>
                <w:highlight w:val="none"/>
              </w:rPr>
              <w:t>②尽量选择低噪声设备，并对部分高噪声设备采取减振降噪措施，以改善项目周围的声环境质量。</w:t>
            </w:r>
          </w:p>
          <w:p>
            <w:pPr>
              <w:spacing w:line="360" w:lineRule="auto"/>
              <w:ind w:firstLine="420" w:firstLineChars="200"/>
              <w:jc w:val="both"/>
              <w:rPr>
                <w:bCs/>
                <w:color w:val="auto"/>
                <w:sz w:val="21"/>
                <w:szCs w:val="21"/>
                <w:highlight w:val="none"/>
              </w:rPr>
            </w:pPr>
            <w:r>
              <w:rPr>
                <w:bCs/>
                <w:color w:val="auto"/>
                <w:sz w:val="21"/>
                <w:szCs w:val="21"/>
                <w:highlight w:val="none"/>
              </w:rPr>
              <w:t>③加强业务培训和宣传教育工作，使每个职工树立节能意识、环保意识，保障清洁生产的顺利实施。</w:t>
            </w:r>
          </w:p>
          <w:p>
            <w:pPr>
              <w:spacing w:line="360" w:lineRule="auto"/>
              <w:ind w:firstLine="480" w:firstLineChars="200"/>
              <w:jc w:val="both"/>
              <w:rPr>
                <w:color w:val="auto"/>
                <w:sz w:val="24"/>
                <w:highlight w:val="none"/>
              </w:rPr>
            </w:pPr>
          </w:p>
        </w:tc>
      </w:tr>
    </w:tbl>
    <w:p>
      <w:pPr>
        <w:rPr>
          <w:color w:val="auto"/>
          <w:highlight w:val="none"/>
        </w:rPr>
        <w:sectPr>
          <w:pgSz w:w="11906" w:h="16838"/>
          <w:pgMar w:top="1701" w:right="1531" w:bottom="1701" w:left="1531" w:header="851" w:footer="851" w:gutter="0"/>
          <w:pgNumType w:fmt="decimal"/>
          <w:cols w:space="720" w:num="1"/>
          <w:docGrid w:linePitch="312" w:charSpace="0"/>
        </w:sectPr>
      </w:pPr>
    </w:p>
    <w:p>
      <w:pPr>
        <w:pStyle w:val="22"/>
        <w:adjustRightInd w:val="0"/>
        <w:snapToGrid w:val="0"/>
        <w:spacing w:before="0" w:beforeAutospacing="0" w:after="0" w:afterAutospacing="0" w:line="648" w:lineRule="auto"/>
        <w:outlineLvl w:val="0"/>
        <w:rPr>
          <w:rFonts w:ascii="Times New Roman" w:hAnsi="Times New Roman" w:cs="Times New Roman"/>
          <w:snapToGrid w:val="0"/>
          <w:color w:val="auto"/>
          <w:sz w:val="32"/>
          <w:szCs w:val="32"/>
          <w:highlight w:val="none"/>
        </w:rPr>
      </w:pPr>
      <w:bookmarkStart w:id="14" w:name="_Toc3010"/>
      <w:r>
        <w:rPr>
          <w:rFonts w:ascii="Times New Roman" w:hAnsi="Times New Roman" w:cs="Times New Roman"/>
          <w:snapToGrid w:val="0"/>
          <w:color w:val="auto"/>
          <w:sz w:val="32"/>
          <w:szCs w:val="32"/>
          <w:highlight w:val="none"/>
        </w:rPr>
        <w:t>附表</w:t>
      </w:r>
      <w:bookmarkEnd w:id="14"/>
    </w:p>
    <w:p>
      <w:pPr>
        <w:spacing w:line="360" w:lineRule="auto"/>
        <w:jc w:val="center"/>
        <w:rPr>
          <w:b/>
          <w:bCs/>
          <w:color w:val="auto"/>
          <w:sz w:val="36"/>
          <w:szCs w:val="36"/>
          <w:highlight w:val="none"/>
        </w:rPr>
      </w:pPr>
      <w:r>
        <w:rPr>
          <w:b/>
          <w:bCs/>
          <w:color w:val="auto"/>
          <w:sz w:val="36"/>
          <w:szCs w:val="36"/>
          <w:highlight w:val="none"/>
        </w:rPr>
        <w:t>建设项目污染物排放量汇总表</w:t>
      </w:r>
    </w:p>
    <w:tbl>
      <w:tblPr>
        <w:tblStyle w:val="25"/>
        <w:tblW w:w="1378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1545"/>
        <w:gridCol w:w="1701"/>
        <w:gridCol w:w="1276"/>
        <w:gridCol w:w="1701"/>
        <w:gridCol w:w="1559"/>
        <w:gridCol w:w="1761"/>
        <w:gridCol w:w="1541"/>
        <w:gridCol w:w="12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460" w:type="dxa"/>
            <w:tcBorders>
              <w:tl2br w:val="single" w:color="auto" w:sz="4" w:space="0"/>
            </w:tcBorders>
            <w:tcMar>
              <w:left w:w="28" w:type="dxa"/>
              <w:right w:w="28" w:type="dxa"/>
            </w:tcMar>
            <w:vAlign w:val="center"/>
          </w:tcPr>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hint="eastAsia" w:ascii="Times New Roman" w:hAnsi="Times New Roman" w:eastAsia="宋体" w:cs="Times New Roman"/>
                <w:snapToGrid w:val="0"/>
                <w:color w:val="auto"/>
                <w:spacing w:val="-6"/>
                <w:kern w:val="21"/>
                <w:szCs w:val="21"/>
                <w:highlight w:val="none"/>
              </w:rPr>
              <w:t xml:space="preserve">       </w:t>
            </w:r>
            <w:r>
              <w:rPr>
                <w:rFonts w:ascii="Times New Roman" w:hAnsi="Times New Roman" w:eastAsia="宋体" w:cs="Times New Roman"/>
                <w:snapToGrid w:val="0"/>
                <w:color w:val="auto"/>
                <w:spacing w:val="-6"/>
                <w:kern w:val="21"/>
                <w:szCs w:val="21"/>
                <w:highlight w:val="none"/>
              </w:rPr>
              <w:t>项目</w:t>
            </w:r>
          </w:p>
          <w:p>
            <w:pPr>
              <w:pStyle w:val="36"/>
              <w:spacing w:beforeLines="0" w:afterLines="0" w:line="240" w:lineRule="auto"/>
              <w:ind w:firstLine="198" w:firstLineChars="100"/>
              <w:jc w:val="both"/>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t>分类</w:t>
            </w:r>
          </w:p>
        </w:tc>
        <w:tc>
          <w:tcPr>
            <w:tcW w:w="1545" w:type="dxa"/>
            <w:tcMar>
              <w:left w:w="28" w:type="dxa"/>
              <w:right w:w="28" w:type="dxa"/>
            </w:tcMar>
            <w:vAlign w:val="center"/>
          </w:tcPr>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t>污染物名称</w:t>
            </w:r>
          </w:p>
        </w:tc>
        <w:tc>
          <w:tcPr>
            <w:tcW w:w="1701" w:type="dxa"/>
            <w:tcMar>
              <w:left w:w="28" w:type="dxa"/>
              <w:right w:w="28" w:type="dxa"/>
            </w:tcMar>
            <w:vAlign w:val="center"/>
          </w:tcPr>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t>现有工程</w:t>
            </w:r>
          </w:p>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t>排放量（固体废物产生量）</w:t>
            </w:r>
            <w:r>
              <w:rPr>
                <w:rFonts w:ascii="Times New Roman" w:hAnsi="Times New Roman" w:eastAsia="宋体" w:cs="Times New Roman"/>
                <w:snapToGrid w:val="0"/>
                <w:color w:val="auto"/>
                <w:spacing w:val="-6"/>
                <w:kern w:val="21"/>
                <w:szCs w:val="21"/>
                <w:highlight w:val="none"/>
              </w:rPr>
              <w:fldChar w:fldCharType="begin"/>
            </w:r>
            <w:r>
              <w:rPr>
                <w:rFonts w:ascii="Times New Roman" w:hAnsi="Times New Roman" w:eastAsia="宋体" w:cs="Times New Roman"/>
                <w:snapToGrid w:val="0"/>
                <w:color w:val="auto"/>
                <w:spacing w:val="-6"/>
                <w:kern w:val="21"/>
                <w:szCs w:val="21"/>
                <w:highlight w:val="none"/>
              </w:rPr>
              <w:instrText xml:space="preserve"> = 1 \* GB3 \* MERGEFORMAT </w:instrText>
            </w:r>
            <w:r>
              <w:rPr>
                <w:rFonts w:ascii="Times New Roman" w:hAnsi="Times New Roman" w:eastAsia="宋体" w:cs="Times New Roman"/>
                <w:snapToGrid w:val="0"/>
                <w:color w:val="auto"/>
                <w:spacing w:val="-6"/>
                <w:kern w:val="21"/>
                <w:szCs w:val="21"/>
                <w:highlight w:val="none"/>
              </w:rPr>
              <w:fldChar w:fldCharType="separate"/>
            </w:r>
            <w:r>
              <w:rPr>
                <w:rFonts w:ascii="Times New Roman" w:hAnsi="Times New Roman" w:eastAsia="宋体" w:cs="Times New Roman"/>
                <w:color w:val="auto"/>
                <w:szCs w:val="21"/>
                <w:highlight w:val="none"/>
              </w:rPr>
              <w:t>①</w:t>
            </w:r>
            <w:r>
              <w:rPr>
                <w:rFonts w:ascii="Times New Roman" w:hAnsi="Times New Roman" w:eastAsia="宋体" w:cs="Times New Roman"/>
                <w:snapToGrid w:val="0"/>
                <w:color w:val="auto"/>
                <w:spacing w:val="-6"/>
                <w:kern w:val="21"/>
                <w:szCs w:val="21"/>
                <w:highlight w:val="none"/>
              </w:rPr>
              <w:fldChar w:fldCharType="end"/>
            </w:r>
          </w:p>
        </w:tc>
        <w:tc>
          <w:tcPr>
            <w:tcW w:w="1276" w:type="dxa"/>
            <w:tcMar>
              <w:left w:w="28" w:type="dxa"/>
              <w:right w:w="28" w:type="dxa"/>
            </w:tcMar>
            <w:vAlign w:val="center"/>
          </w:tcPr>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t>现有工程</w:t>
            </w:r>
          </w:p>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t>许可排放量</w:t>
            </w:r>
          </w:p>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fldChar w:fldCharType="begin"/>
            </w:r>
            <w:r>
              <w:rPr>
                <w:rFonts w:ascii="Times New Roman" w:hAnsi="Times New Roman" w:eastAsia="宋体" w:cs="Times New Roman"/>
                <w:snapToGrid w:val="0"/>
                <w:color w:val="auto"/>
                <w:spacing w:val="-6"/>
                <w:kern w:val="21"/>
                <w:szCs w:val="21"/>
                <w:highlight w:val="none"/>
              </w:rPr>
              <w:instrText xml:space="preserve"> = 2 \* GB3 \* MERGEFORMAT </w:instrText>
            </w:r>
            <w:r>
              <w:rPr>
                <w:rFonts w:ascii="Times New Roman" w:hAnsi="Times New Roman" w:eastAsia="宋体" w:cs="Times New Roman"/>
                <w:snapToGrid w:val="0"/>
                <w:color w:val="auto"/>
                <w:spacing w:val="-6"/>
                <w:kern w:val="21"/>
                <w:szCs w:val="21"/>
                <w:highlight w:val="none"/>
              </w:rPr>
              <w:fldChar w:fldCharType="separate"/>
            </w:r>
            <w:r>
              <w:rPr>
                <w:rFonts w:ascii="Times New Roman" w:hAnsi="Times New Roman" w:eastAsia="宋体" w:cs="Times New Roman"/>
                <w:snapToGrid w:val="0"/>
                <w:color w:val="auto"/>
                <w:spacing w:val="-6"/>
                <w:kern w:val="21"/>
                <w:szCs w:val="21"/>
                <w:highlight w:val="none"/>
              </w:rPr>
              <w:t>②</w:t>
            </w:r>
            <w:r>
              <w:rPr>
                <w:rFonts w:ascii="Times New Roman" w:hAnsi="Times New Roman" w:eastAsia="宋体" w:cs="Times New Roman"/>
                <w:snapToGrid w:val="0"/>
                <w:color w:val="auto"/>
                <w:spacing w:val="-6"/>
                <w:kern w:val="21"/>
                <w:szCs w:val="21"/>
                <w:highlight w:val="none"/>
              </w:rPr>
              <w:fldChar w:fldCharType="end"/>
            </w:r>
          </w:p>
        </w:tc>
        <w:tc>
          <w:tcPr>
            <w:tcW w:w="1701" w:type="dxa"/>
            <w:tcMar>
              <w:left w:w="28" w:type="dxa"/>
              <w:right w:w="28" w:type="dxa"/>
            </w:tcMar>
            <w:vAlign w:val="center"/>
          </w:tcPr>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t>在建工程</w:t>
            </w:r>
          </w:p>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t>排放量（固体废物产生量）</w:t>
            </w:r>
            <w:r>
              <w:rPr>
                <w:rFonts w:ascii="Times New Roman" w:hAnsi="Times New Roman" w:eastAsia="宋体" w:cs="Times New Roman"/>
                <w:snapToGrid w:val="0"/>
                <w:color w:val="auto"/>
                <w:spacing w:val="-6"/>
                <w:kern w:val="21"/>
                <w:szCs w:val="21"/>
                <w:highlight w:val="none"/>
              </w:rPr>
              <w:fldChar w:fldCharType="begin"/>
            </w:r>
            <w:r>
              <w:rPr>
                <w:rFonts w:ascii="Times New Roman" w:hAnsi="Times New Roman" w:eastAsia="宋体" w:cs="Times New Roman"/>
                <w:snapToGrid w:val="0"/>
                <w:color w:val="auto"/>
                <w:spacing w:val="-6"/>
                <w:kern w:val="21"/>
                <w:szCs w:val="21"/>
                <w:highlight w:val="none"/>
              </w:rPr>
              <w:instrText xml:space="preserve"> = 3 \* GB3 \* MERGEFORMAT </w:instrText>
            </w:r>
            <w:r>
              <w:rPr>
                <w:rFonts w:ascii="Times New Roman" w:hAnsi="Times New Roman" w:eastAsia="宋体" w:cs="Times New Roman"/>
                <w:snapToGrid w:val="0"/>
                <w:color w:val="auto"/>
                <w:spacing w:val="-6"/>
                <w:kern w:val="21"/>
                <w:szCs w:val="21"/>
                <w:highlight w:val="none"/>
              </w:rPr>
              <w:fldChar w:fldCharType="separate"/>
            </w:r>
            <w:r>
              <w:rPr>
                <w:rFonts w:ascii="Times New Roman" w:hAnsi="Times New Roman" w:eastAsia="宋体" w:cs="Times New Roman"/>
                <w:color w:val="auto"/>
                <w:szCs w:val="21"/>
                <w:highlight w:val="none"/>
              </w:rPr>
              <w:t>③</w:t>
            </w:r>
            <w:r>
              <w:rPr>
                <w:rFonts w:ascii="Times New Roman" w:hAnsi="Times New Roman" w:eastAsia="宋体" w:cs="Times New Roman"/>
                <w:snapToGrid w:val="0"/>
                <w:color w:val="auto"/>
                <w:spacing w:val="-6"/>
                <w:kern w:val="21"/>
                <w:szCs w:val="21"/>
                <w:highlight w:val="none"/>
              </w:rPr>
              <w:fldChar w:fldCharType="end"/>
            </w:r>
          </w:p>
        </w:tc>
        <w:tc>
          <w:tcPr>
            <w:tcW w:w="1559" w:type="dxa"/>
            <w:tcMar>
              <w:left w:w="28" w:type="dxa"/>
              <w:right w:w="28" w:type="dxa"/>
            </w:tcMar>
            <w:vAlign w:val="center"/>
          </w:tcPr>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t>本项目</w:t>
            </w:r>
          </w:p>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t>排放量（固体废物产生量）</w:t>
            </w:r>
            <w:r>
              <w:rPr>
                <w:rFonts w:ascii="Times New Roman" w:hAnsi="Times New Roman" w:eastAsia="宋体" w:cs="Times New Roman"/>
                <w:snapToGrid w:val="0"/>
                <w:color w:val="auto"/>
                <w:spacing w:val="-6"/>
                <w:kern w:val="21"/>
                <w:szCs w:val="21"/>
                <w:highlight w:val="none"/>
              </w:rPr>
              <w:fldChar w:fldCharType="begin"/>
            </w:r>
            <w:r>
              <w:rPr>
                <w:rFonts w:ascii="Times New Roman" w:hAnsi="Times New Roman" w:eastAsia="宋体" w:cs="Times New Roman"/>
                <w:snapToGrid w:val="0"/>
                <w:color w:val="auto"/>
                <w:spacing w:val="-6"/>
                <w:kern w:val="21"/>
                <w:szCs w:val="21"/>
                <w:highlight w:val="none"/>
              </w:rPr>
              <w:instrText xml:space="preserve"> = 4 \* GB3 \* MERGEFORMAT </w:instrText>
            </w:r>
            <w:r>
              <w:rPr>
                <w:rFonts w:ascii="Times New Roman" w:hAnsi="Times New Roman" w:eastAsia="宋体" w:cs="Times New Roman"/>
                <w:snapToGrid w:val="0"/>
                <w:color w:val="auto"/>
                <w:spacing w:val="-6"/>
                <w:kern w:val="21"/>
                <w:szCs w:val="21"/>
                <w:highlight w:val="none"/>
              </w:rPr>
              <w:fldChar w:fldCharType="separate"/>
            </w:r>
            <w:r>
              <w:rPr>
                <w:rFonts w:ascii="Times New Roman" w:hAnsi="Times New Roman" w:eastAsia="宋体" w:cs="Times New Roman"/>
                <w:color w:val="auto"/>
                <w:szCs w:val="21"/>
                <w:highlight w:val="none"/>
              </w:rPr>
              <w:t>④</w:t>
            </w:r>
            <w:r>
              <w:rPr>
                <w:rFonts w:ascii="Times New Roman" w:hAnsi="Times New Roman" w:eastAsia="宋体" w:cs="Times New Roman"/>
                <w:snapToGrid w:val="0"/>
                <w:color w:val="auto"/>
                <w:spacing w:val="-6"/>
                <w:kern w:val="21"/>
                <w:szCs w:val="21"/>
                <w:highlight w:val="none"/>
              </w:rPr>
              <w:fldChar w:fldCharType="end"/>
            </w:r>
          </w:p>
        </w:tc>
        <w:tc>
          <w:tcPr>
            <w:tcW w:w="1761" w:type="dxa"/>
            <w:tcMar>
              <w:left w:w="28" w:type="dxa"/>
              <w:right w:w="28" w:type="dxa"/>
            </w:tcMar>
            <w:vAlign w:val="center"/>
          </w:tcPr>
          <w:p>
            <w:pPr>
              <w:pStyle w:val="36"/>
              <w:spacing w:beforeLines="0" w:afterLines="0" w:line="240" w:lineRule="auto"/>
              <w:rPr>
                <w:rFonts w:ascii="Times New Roman" w:hAnsi="Times New Roman" w:eastAsia="宋体" w:cs="Times New Roman"/>
                <w:snapToGrid w:val="0"/>
                <w:color w:val="auto"/>
                <w:spacing w:val="-16"/>
                <w:kern w:val="21"/>
                <w:szCs w:val="21"/>
                <w:highlight w:val="none"/>
              </w:rPr>
            </w:pPr>
            <w:r>
              <w:rPr>
                <w:rFonts w:ascii="Times New Roman" w:hAnsi="Times New Roman" w:eastAsia="宋体" w:cs="Times New Roman"/>
                <w:snapToGrid w:val="0"/>
                <w:color w:val="auto"/>
                <w:spacing w:val="-16"/>
                <w:kern w:val="21"/>
                <w:szCs w:val="21"/>
                <w:highlight w:val="none"/>
              </w:rPr>
              <w:t>以新带老削减量</w:t>
            </w:r>
          </w:p>
          <w:p>
            <w:pPr>
              <w:pStyle w:val="36"/>
              <w:spacing w:beforeLines="0" w:afterLines="0" w:line="240" w:lineRule="auto"/>
              <w:rPr>
                <w:rFonts w:ascii="Times New Roman" w:hAnsi="Times New Roman" w:eastAsia="宋体" w:cs="Times New Roman"/>
                <w:snapToGrid w:val="0"/>
                <w:color w:val="auto"/>
                <w:spacing w:val="-16"/>
                <w:kern w:val="21"/>
                <w:szCs w:val="21"/>
                <w:highlight w:val="none"/>
              </w:rPr>
            </w:pPr>
            <w:r>
              <w:rPr>
                <w:rFonts w:ascii="Times New Roman" w:hAnsi="Times New Roman" w:eastAsia="宋体" w:cs="Times New Roman"/>
                <w:snapToGrid w:val="0"/>
                <w:color w:val="auto"/>
                <w:spacing w:val="-16"/>
                <w:kern w:val="21"/>
                <w:szCs w:val="21"/>
                <w:highlight w:val="none"/>
              </w:rPr>
              <w:t>（新建项目不填）</w:t>
            </w:r>
            <w:r>
              <w:rPr>
                <w:rFonts w:ascii="Times New Roman" w:hAnsi="Times New Roman" w:eastAsia="宋体" w:cs="Times New Roman"/>
                <w:snapToGrid w:val="0"/>
                <w:color w:val="auto"/>
                <w:spacing w:val="-16"/>
                <w:kern w:val="21"/>
                <w:szCs w:val="21"/>
                <w:highlight w:val="none"/>
              </w:rPr>
              <w:fldChar w:fldCharType="begin"/>
            </w:r>
            <w:r>
              <w:rPr>
                <w:rFonts w:ascii="Times New Roman" w:hAnsi="Times New Roman" w:eastAsia="宋体" w:cs="Times New Roman"/>
                <w:snapToGrid w:val="0"/>
                <w:color w:val="auto"/>
                <w:spacing w:val="-16"/>
                <w:kern w:val="21"/>
                <w:szCs w:val="21"/>
                <w:highlight w:val="none"/>
              </w:rPr>
              <w:instrText xml:space="preserve"> = 5 \* GB3 \* MERGEFORMAT </w:instrText>
            </w:r>
            <w:r>
              <w:rPr>
                <w:rFonts w:ascii="Times New Roman" w:hAnsi="Times New Roman" w:eastAsia="宋体" w:cs="Times New Roman"/>
                <w:snapToGrid w:val="0"/>
                <w:color w:val="auto"/>
                <w:spacing w:val="-16"/>
                <w:kern w:val="21"/>
                <w:szCs w:val="21"/>
                <w:highlight w:val="none"/>
              </w:rPr>
              <w:fldChar w:fldCharType="separate"/>
            </w:r>
            <w:r>
              <w:rPr>
                <w:rFonts w:ascii="Times New Roman" w:hAnsi="Times New Roman" w:eastAsia="宋体" w:cs="Times New Roman"/>
                <w:color w:val="auto"/>
                <w:szCs w:val="21"/>
                <w:highlight w:val="none"/>
              </w:rPr>
              <w:t>⑤</w:t>
            </w:r>
            <w:r>
              <w:rPr>
                <w:rFonts w:ascii="Times New Roman" w:hAnsi="Times New Roman" w:eastAsia="宋体" w:cs="Times New Roman"/>
                <w:snapToGrid w:val="0"/>
                <w:color w:val="auto"/>
                <w:spacing w:val="-16"/>
                <w:kern w:val="21"/>
                <w:szCs w:val="21"/>
                <w:highlight w:val="none"/>
              </w:rPr>
              <w:fldChar w:fldCharType="end"/>
            </w:r>
          </w:p>
        </w:tc>
        <w:tc>
          <w:tcPr>
            <w:tcW w:w="1541" w:type="dxa"/>
            <w:tcMar>
              <w:left w:w="28" w:type="dxa"/>
              <w:right w:w="28" w:type="dxa"/>
            </w:tcMar>
            <w:vAlign w:val="center"/>
          </w:tcPr>
          <w:p>
            <w:pPr>
              <w:pStyle w:val="36"/>
              <w:spacing w:beforeLines="0" w:afterLines="0" w:line="240" w:lineRule="auto"/>
              <w:rPr>
                <w:rFonts w:ascii="Times New Roman" w:hAnsi="Times New Roman" w:eastAsia="宋体" w:cs="Times New Roman"/>
                <w:snapToGrid w:val="0"/>
                <w:color w:val="auto"/>
                <w:spacing w:val="-16"/>
                <w:kern w:val="21"/>
                <w:szCs w:val="21"/>
                <w:highlight w:val="none"/>
              </w:rPr>
            </w:pPr>
            <w:r>
              <w:rPr>
                <w:rFonts w:ascii="Times New Roman" w:hAnsi="Times New Roman" w:eastAsia="宋体" w:cs="Times New Roman"/>
                <w:snapToGrid w:val="0"/>
                <w:color w:val="auto"/>
                <w:spacing w:val="-16"/>
                <w:kern w:val="21"/>
                <w:szCs w:val="21"/>
                <w:highlight w:val="none"/>
              </w:rPr>
              <w:t>本项目建成后</w:t>
            </w:r>
          </w:p>
          <w:p>
            <w:pPr>
              <w:pStyle w:val="36"/>
              <w:spacing w:beforeLines="0" w:afterLines="0" w:line="240" w:lineRule="auto"/>
              <w:rPr>
                <w:rFonts w:ascii="Times New Roman" w:hAnsi="Times New Roman" w:eastAsia="宋体" w:cs="Times New Roman"/>
                <w:snapToGrid w:val="0"/>
                <w:color w:val="auto"/>
                <w:spacing w:val="-16"/>
                <w:kern w:val="21"/>
                <w:szCs w:val="21"/>
                <w:highlight w:val="none"/>
              </w:rPr>
            </w:pPr>
            <w:r>
              <w:rPr>
                <w:rFonts w:ascii="Times New Roman" w:hAnsi="Times New Roman" w:eastAsia="宋体" w:cs="Times New Roman"/>
                <w:snapToGrid w:val="0"/>
                <w:color w:val="auto"/>
                <w:spacing w:val="-16"/>
                <w:kern w:val="21"/>
                <w:szCs w:val="21"/>
                <w:highlight w:val="none"/>
              </w:rPr>
              <w:t>全厂排放量（固体废物产生量）</w:t>
            </w:r>
            <w:r>
              <w:rPr>
                <w:rFonts w:ascii="Times New Roman" w:hAnsi="Times New Roman" w:eastAsia="宋体" w:cs="Times New Roman"/>
                <w:snapToGrid w:val="0"/>
                <w:color w:val="auto"/>
                <w:spacing w:val="-16"/>
                <w:kern w:val="21"/>
                <w:szCs w:val="21"/>
                <w:highlight w:val="none"/>
              </w:rPr>
              <w:fldChar w:fldCharType="begin"/>
            </w:r>
            <w:r>
              <w:rPr>
                <w:rFonts w:ascii="Times New Roman" w:hAnsi="Times New Roman" w:eastAsia="宋体" w:cs="Times New Roman"/>
                <w:snapToGrid w:val="0"/>
                <w:color w:val="auto"/>
                <w:spacing w:val="-16"/>
                <w:kern w:val="21"/>
                <w:szCs w:val="21"/>
                <w:highlight w:val="none"/>
              </w:rPr>
              <w:instrText xml:space="preserve"> = 6 \* GB3 \* MERGEFORMAT </w:instrText>
            </w:r>
            <w:r>
              <w:rPr>
                <w:rFonts w:ascii="Times New Roman" w:hAnsi="Times New Roman" w:eastAsia="宋体" w:cs="Times New Roman"/>
                <w:snapToGrid w:val="0"/>
                <w:color w:val="auto"/>
                <w:spacing w:val="-16"/>
                <w:kern w:val="21"/>
                <w:szCs w:val="21"/>
                <w:highlight w:val="none"/>
              </w:rPr>
              <w:fldChar w:fldCharType="separate"/>
            </w:r>
            <w:r>
              <w:rPr>
                <w:rFonts w:ascii="Times New Roman" w:hAnsi="Times New Roman" w:eastAsia="宋体" w:cs="Times New Roman"/>
                <w:color w:val="auto"/>
                <w:szCs w:val="21"/>
                <w:highlight w:val="none"/>
              </w:rPr>
              <w:t>⑥</w:t>
            </w:r>
            <w:r>
              <w:rPr>
                <w:rFonts w:ascii="Times New Roman" w:hAnsi="Times New Roman" w:eastAsia="宋体" w:cs="Times New Roman"/>
                <w:snapToGrid w:val="0"/>
                <w:color w:val="auto"/>
                <w:spacing w:val="-16"/>
                <w:kern w:val="21"/>
                <w:szCs w:val="21"/>
                <w:highlight w:val="none"/>
              </w:rPr>
              <w:fldChar w:fldCharType="end"/>
            </w:r>
          </w:p>
        </w:tc>
        <w:tc>
          <w:tcPr>
            <w:tcW w:w="1244" w:type="dxa"/>
            <w:tcMar>
              <w:left w:w="28" w:type="dxa"/>
              <w:right w:w="28" w:type="dxa"/>
            </w:tcMar>
            <w:vAlign w:val="center"/>
          </w:tcPr>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t>变化量</w:t>
            </w:r>
          </w:p>
          <w:p>
            <w:pPr>
              <w:pStyle w:val="36"/>
              <w:spacing w:beforeLines="0" w:afterLines="0" w:line="240" w:lineRule="auto"/>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spacing w:val="-6"/>
                <w:kern w:val="21"/>
                <w:szCs w:val="21"/>
                <w:highlight w:val="none"/>
              </w:rPr>
              <w:fldChar w:fldCharType="begin"/>
            </w:r>
            <w:r>
              <w:rPr>
                <w:rFonts w:ascii="Times New Roman" w:hAnsi="Times New Roman" w:eastAsia="宋体" w:cs="Times New Roman"/>
                <w:snapToGrid w:val="0"/>
                <w:color w:val="auto"/>
                <w:spacing w:val="-6"/>
                <w:kern w:val="21"/>
                <w:szCs w:val="21"/>
                <w:highlight w:val="none"/>
              </w:rPr>
              <w:instrText xml:space="preserve"> = 7 \* GB3 \* MERGEFORMAT </w:instrText>
            </w:r>
            <w:r>
              <w:rPr>
                <w:rFonts w:ascii="Times New Roman" w:hAnsi="Times New Roman" w:eastAsia="宋体" w:cs="Times New Roman"/>
                <w:snapToGrid w:val="0"/>
                <w:color w:val="auto"/>
                <w:spacing w:val="-6"/>
                <w:kern w:val="21"/>
                <w:szCs w:val="21"/>
                <w:highlight w:val="none"/>
              </w:rPr>
              <w:fldChar w:fldCharType="separate"/>
            </w:r>
            <w:r>
              <w:rPr>
                <w:rFonts w:ascii="Times New Roman" w:hAnsi="Times New Roman" w:eastAsia="宋体" w:cs="Times New Roman"/>
                <w:color w:val="auto"/>
                <w:szCs w:val="21"/>
                <w:highlight w:val="none"/>
              </w:rPr>
              <w:t>⑦</w:t>
            </w:r>
            <w:r>
              <w:rPr>
                <w:rFonts w:ascii="Times New Roman" w:hAnsi="Times New Roman" w:eastAsia="宋体" w:cs="Times New Roman"/>
                <w:snapToGrid w:val="0"/>
                <w:color w:val="auto"/>
                <w:spacing w:val="-6"/>
                <w:kern w:val="21"/>
                <w:szCs w:val="21"/>
                <w:highlight w:val="none"/>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460" w:type="dxa"/>
            <w:vMerge w:val="restart"/>
            <w:vAlign w:val="center"/>
          </w:tcPr>
          <w:p>
            <w:pPr>
              <w:pStyle w:val="36"/>
              <w:spacing w:beforeLines="0" w:afterLines="0" w:line="240" w:lineRule="auto"/>
              <w:rPr>
                <w:rFonts w:ascii="Times New Roman" w:hAnsi="Times New Roman" w:eastAsia="宋体" w:cs="Times New Roman"/>
                <w:snapToGrid w:val="0"/>
                <w:color w:val="auto"/>
                <w:kern w:val="21"/>
                <w:szCs w:val="21"/>
                <w:highlight w:val="none"/>
              </w:rPr>
            </w:pPr>
            <w:r>
              <w:rPr>
                <w:rFonts w:ascii="Times New Roman" w:hAnsi="Times New Roman" w:eastAsia="宋体" w:cs="Times New Roman"/>
                <w:snapToGrid w:val="0"/>
                <w:color w:val="auto"/>
                <w:kern w:val="21"/>
                <w:szCs w:val="21"/>
                <w:highlight w:val="none"/>
              </w:rPr>
              <w:t>废气</w:t>
            </w:r>
          </w:p>
        </w:tc>
        <w:tc>
          <w:tcPr>
            <w:tcW w:w="1545" w:type="dxa"/>
            <w:vAlign w:val="center"/>
          </w:tcPr>
          <w:p>
            <w:pPr>
              <w:pStyle w:val="36"/>
              <w:spacing w:beforeLines="0" w:afterLines="0" w:line="240" w:lineRule="auto"/>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非甲烷总烃</w:t>
            </w:r>
          </w:p>
        </w:tc>
        <w:tc>
          <w:tcPr>
            <w:tcW w:w="1701" w:type="dxa"/>
            <w:vAlign w:val="center"/>
          </w:tcPr>
          <w:p>
            <w:pPr>
              <w:jc w:val="center"/>
              <w:rPr>
                <w:bCs/>
                <w:color w:val="auto"/>
                <w:szCs w:val="21"/>
                <w:highlight w:val="none"/>
              </w:rPr>
            </w:pPr>
            <w:r>
              <w:rPr>
                <w:bCs/>
                <w:color w:val="auto"/>
                <w:szCs w:val="21"/>
                <w:highlight w:val="none"/>
              </w:rPr>
              <w:t>/</w:t>
            </w:r>
          </w:p>
        </w:tc>
        <w:tc>
          <w:tcPr>
            <w:tcW w:w="1276" w:type="dxa"/>
            <w:vAlign w:val="center"/>
          </w:tcPr>
          <w:p>
            <w:pPr>
              <w:jc w:val="center"/>
              <w:rPr>
                <w:bCs/>
                <w:color w:val="auto"/>
                <w:szCs w:val="21"/>
                <w:highlight w:val="none"/>
              </w:rPr>
            </w:pPr>
            <w:r>
              <w:rPr>
                <w:bCs/>
                <w:color w:val="auto"/>
                <w:szCs w:val="21"/>
                <w:highlight w:val="none"/>
              </w:rPr>
              <w:t>/</w:t>
            </w:r>
          </w:p>
        </w:tc>
        <w:tc>
          <w:tcPr>
            <w:tcW w:w="1701" w:type="dxa"/>
            <w:vAlign w:val="center"/>
          </w:tcPr>
          <w:p>
            <w:pPr>
              <w:jc w:val="center"/>
              <w:rPr>
                <w:bCs/>
                <w:color w:val="auto"/>
                <w:szCs w:val="21"/>
                <w:highlight w:val="none"/>
              </w:rPr>
            </w:pPr>
            <w:r>
              <w:rPr>
                <w:bCs/>
                <w:color w:val="auto"/>
                <w:szCs w:val="21"/>
                <w:highlight w:val="none"/>
              </w:rPr>
              <w:t>/</w:t>
            </w:r>
          </w:p>
        </w:tc>
        <w:tc>
          <w:tcPr>
            <w:tcW w:w="1559" w:type="dxa"/>
            <w:vAlign w:val="center"/>
          </w:tcPr>
          <w:p>
            <w:pPr>
              <w:widowControl/>
              <w:jc w:val="center"/>
              <w:textAlignment w:val="center"/>
              <w:rPr>
                <w:rFonts w:hint="default" w:eastAsia="宋体"/>
                <w:bCs/>
                <w:color w:val="auto"/>
                <w:szCs w:val="21"/>
                <w:highlight w:val="none"/>
                <w:lang w:val="en-US" w:eastAsia="zh-CN"/>
              </w:rPr>
            </w:pPr>
            <w:r>
              <w:rPr>
                <w:rFonts w:hint="eastAsia"/>
                <w:color w:val="auto"/>
                <w:kern w:val="0"/>
                <w:szCs w:val="21"/>
                <w:highlight w:val="none"/>
                <w:lang w:val="en-US" w:eastAsia="zh-CN" w:bidi="ar"/>
              </w:rPr>
              <w:t>0.082</w:t>
            </w:r>
          </w:p>
        </w:tc>
        <w:tc>
          <w:tcPr>
            <w:tcW w:w="1761" w:type="dxa"/>
            <w:vAlign w:val="center"/>
          </w:tcPr>
          <w:p>
            <w:pPr>
              <w:jc w:val="center"/>
              <w:rPr>
                <w:bCs/>
                <w:color w:val="auto"/>
                <w:szCs w:val="21"/>
                <w:highlight w:val="none"/>
              </w:rPr>
            </w:pPr>
            <w:r>
              <w:rPr>
                <w:bCs/>
                <w:color w:val="auto"/>
                <w:szCs w:val="21"/>
                <w:highlight w:val="none"/>
              </w:rPr>
              <w:t>/</w:t>
            </w:r>
          </w:p>
        </w:tc>
        <w:tc>
          <w:tcPr>
            <w:tcW w:w="1541" w:type="dxa"/>
            <w:vAlign w:val="center"/>
          </w:tcPr>
          <w:p>
            <w:pPr>
              <w:widowControl/>
              <w:jc w:val="center"/>
              <w:textAlignment w:val="center"/>
              <w:rPr>
                <w:rFonts w:hint="default" w:eastAsia="宋体"/>
                <w:bCs/>
                <w:color w:val="auto"/>
                <w:szCs w:val="21"/>
                <w:highlight w:val="none"/>
                <w:lang w:val="en-US" w:eastAsia="zh-CN"/>
              </w:rPr>
            </w:pPr>
            <w:r>
              <w:rPr>
                <w:rFonts w:hint="eastAsia"/>
                <w:bCs/>
                <w:color w:val="auto"/>
                <w:szCs w:val="21"/>
                <w:highlight w:val="none"/>
                <w:lang w:val="en-US" w:eastAsia="zh-CN"/>
              </w:rPr>
              <w:t>0.082</w:t>
            </w:r>
          </w:p>
        </w:tc>
        <w:tc>
          <w:tcPr>
            <w:tcW w:w="1244" w:type="dxa"/>
            <w:vAlign w:val="center"/>
          </w:tcPr>
          <w:p>
            <w:pPr>
              <w:widowControl/>
              <w:jc w:val="center"/>
              <w:textAlignment w:val="center"/>
              <w:rPr>
                <w:rFonts w:hint="default" w:eastAsia="宋体"/>
                <w:bCs/>
                <w:color w:val="auto"/>
                <w:szCs w:val="21"/>
                <w:highlight w:val="none"/>
                <w:lang w:val="en-US" w:eastAsia="zh-CN"/>
              </w:rPr>
            </w:pPr>
            <w:r>
              <w:rPr>
                <w:rFonts w:hint="eastAsia"/>
                <w:bCs/>
                <w:color w:val="auto"/>
                <w:szCs w:val="21"/>
                <w:highlight w:val="none"/>
                <w:lang w:val="en-US" w:eastAsia="zh-CN"/>
              </w:rPr>
              <w:t>+0.082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460" w:type="dxa"/>
            <w:vMerge w:val="continue"/>
            <w:vAlign w:val="center"/>
          </w:tcPr>
          <w:p>
            <w:pPr>
              <w:pStyle w:val="36"/>
              <w:spacing w:beforeLines="0" w:afterLines="0" w:line="240" w:lineRule="auto"/>
              <w:rPr>
                <w:rFonts w:ascii="Times New Roman" w:hAnsi="Times New Roman" w:eastAsia="宋体" w:cs="Times New Roman"/>
                <w:snapToGrid w:val="0"/>
                <w:color w:val="auto"/>
                <w:kern w:val="21"/>
                <w:szCs w:val="21"/>
                <w:highlight w:val="none"/>
              </w:rPr>
            </w:pPr>
          </w:p>
        </w:tc>
        <w:tc>
          <w:tcPr>
            <w:tcW w:w="1545" w:type="dxa"/>
            <w:vAlign w:val="center"/>
          </w:tcPr>
          <w:p>
            <w:pPr>
              <w:pStyle w:val="36"/>
              <w:spacing w:beforeLines="0" w:afterLines="0" w:line="240" w:lineRule="auto"/>
              <w:rPr>
                <w:rFonts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颗粒物</w:t>
            </w:r>
          </w:p>
        </w:tc>
        <w:tc>
          <w:tcPr>
            <w:tcW w:w="1701" w:type="dxa"/>
            <w:vAlign w:val="center"/>
          </w:tcPr>
          <w:p>
            <w:pPr>
              <w:jc w:val="center"/>
              <w:rPr>
                <w:bCs/>
                <w:color w:val="auto"/>
                <w:szCs w:val="21"/>
                <w:highlight w:val="none"/>
              </w:rPr>
            </w:pPr>
          </w:p>
        </w:tc>
        <w:tc>
          <w:tcPr>
            <w:tcW w:w="1276" w:type="dxa"/>
            <w:vAlign w:val="center"/>
          </w:tcPr>
          <w:p>
            <w:pPr>
              <w:jc w:val="center"/>
              <w:rPr>
                <w:bCs/>
                <w:color w:val="auto"/>
                <w:szCs w:val="21"/>
                <w:highlight w:val="none"/>
              </w:rPr>
            </w:pPr>
          </w:p>
        </w:tc>
        <w:tc>
          <w:tcPr>
            <w:tcW w:w="1701" w:type="dxa"/>
            <w:vAlign w:val="center"/>
          </w:tcPr>
          <w:p>
            <w:pPr>
              <w:jc w:val="center"/>
              <w:rPr>
                <w:bCs/>
                <w:color w:val="auto"/>
                <w:szCs w:val="21"/>
                <w:highlight w:val="none"/>
              </w:rPr>
            </w:pPr>
          </w:p>
        </w:tc>
        <w:tc>
          <w:tcPr>
            <w:tcW w:w="1559" w:type="dxa"/>
            <w:vAlign w:val="center"/>
          </w:tcPr>
          <w:p>
            <w:pPr>
              <w:widowControl/>
              <w:jc w:val="center"/>
              <w:textAlignment w:val="center"/>
              <w:rPr>
                <w:rFonts w:hint="default" w:eastAsia="宋体"/>
                <w:color w:val="auto"/>
                <w:kern w:val="0"/>
                <w:szCs w:val="21"/>
                <w:highlight w:val="none"/>
                <w:lang w:val="en-US" w:eastAsia="zh-CN" w:bidi="ar"/>
              </w:rPr>
            </w:pPr>
            <w:r>
              <w:rPr>
                <w:rFonts w:hint="eastAsia"/>
                <w:color w:val="auto"/>
                <w:kern w:val="0"/>
                <w:szCs w:val="21"/>
                <w:highlight w:val="none"/>
                <w:lang w:val="en-US" w:eastAsia="zh-CN" w:bidi="ar"/>
              </w:rPr>
              <w:t>0.0013</w:t>
            </w:r>
          </w:p>
        </w:tc>
        <w:tc>
          <w:tcPr>
            <w:tcW w:w="1761" w:type="dxa"/>
            <w:vAlign w:val="center"/>
          </w:tcPr>
          <w:p>
            <w:pPr>
              <w:jc w:val="center"/>
              <w:rPr>
                <w:bCs/>
                <w:color w:val="auto"/>
                <w:szCs w:val="21"/>
                <w:highlight w:val="none"/>
              </w:rPr>
            </w:pPr>
          </w:p>
        </w:tc>
        <w:tc>
          <w:tcPr>
            <w:tcW w:w="1541" w:type="dxa"/>
            <w:vAlign w:val="center"/>
          </w:tcPr>
          <w:p>
            <w:pPr>
              <w:widowControl/>
              <w:jc w:val="center"/>
              <w:textAlignment w:val="center"/>
              <w:rPr>
                <w:rFonts w:hint="default" w:eastAsia="宋体"/>
                <w:color w:val="auto"/>
                <w:kern w:val="0"/>
                <w:szCs w:val="21"/>
                <w:highlight w:val="none"/>
                <w:lang w:val="en-US" w:eastAsia="zh-CN" w:bidi="ar"/>
              </w:rPr>
            </w:pPr>
            <w:r>
              <w:rPr>
                <w:rFonts w:hint="eastAsia"/>
                <w:color w:val="auto"/>
                <w:kern w:val="0"/>
                <w:szCs w:val="21"/>
                <w:highlight w:val="none"/>
                <w:lang w:val="en-US" w:eastAsia="zh-CN" w:bidi="ar"/>
              </w:rPr>
              <w:t>0.0013</w:t>
            </w:r>
          </w:p>
        </w:tc>
        <w:tc>
          <w:tcPr>
            <w:tcW w:w="1244" w:type="dxa"/>
            <w:vAlign w:val="center"/>
          </w:tcPr>
          <w:p>
            <w:pPr>
              <w:widowControl/>
              <w:jc w:val="center"/>
              <w:textAlignment w:val="center"/>
              <w:rPr>
                <w:rFonts w:hint="default" w:eastAsia="宋体"/>
                <w:color w:val="auto"/>
                <w:kern w:val="0"/>
                <w:szCs w:val="21"/>
                <w:highlight w:val="none"/>
                <w:lang w:val="en-US" w:eastAsia="zh-CN" w:bidi="ar"/>
              </w:rPr>
            </w:pPr>
            <w:r>
              <w:rPr>
                <w:rFonts w:hint="eastAsia"/>
                <w:color w:val="auto"/>
                <w:kern w:val="0"/>
                <w:szCs w:val="21"/>
                <w:highlight w:val="none"/>
                <w:lang w:bidi="ar"/>
              </w:rPr>
              <w:t>+0.00</w:t>
            </w:r>
            <w:r>
              <w:rPr>
                <w:rFonts w:hint="eastAsia"/>
                <w:color w:val="auto"/>
                <w:kern w:val="0"/>
                <w:szCs w:val="21"/>
                <w:highlight w:val="none"/>
                <w:lang w:val="en-US" w:eastAsia="zh-CN" w:bidi="ar"/>
              </w:rPr>
              <w:t>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460" w:type="dxa"/>
            <w:vMerge w:val="restart"/>
            <w:vAlign w:val="center"/>
          </w:tcPr>
          <w:p>
            <w:pPr>
              <w:pStyle w:val="36"/>
              <w:spacing w:beforeLines="0" w:afterLines="0" w:line="240" w:lineRule="auto"/>
              <w:rPr>
                <w:rFonts w:ascii="Times New Roman" w:hAnsi="Times New Roman" w:eastAsia="宋体" w:cs="Times New Roman"/>
                <w:snapToGrid w:val="0"/>
                <w:color w:val="auto"/>
                <w:kern w:val="21"/>
                <w:szCs w:val="21"/>
                <w:highlight w:val="none"/>
              </w:rPr>
            </w:pPr>
            <w:r>
              <w:rPr>
                <w:rFonts w:ascii="Times New Roman" w:hAnsi="Times New Roman" w:eastAsia="宋体" w:cs="Times New Roman"/>
                <w:snapToGrid w:val="0"/>
                <w:color w:val="auto"/>
                <w:kern w:val="21"/>
                <w:szCs w:val="21"/>
                <w:highlight w:val="none"/>
              </w:rPr>
              <w:t>废水</w:t>
            </w:r>
          </w:p>
        </w:tc>
        <w:tc>
          <w:tcPr>
            <w:tcW w:w="1545" w:type="dxa"/>
            <w:vAlign w:val="center"/>
          </w:tcPr>
          <w:p>
            <w:pPr>
              <w:pStyle w:val="46"/>
              <w:rPr>
                <w:rFonts w:eastAsia="宋体"/>
                <w:color w:val="auto"/>
                <w:highlight w:val="none"/>
              </w:rPr>
            </w:pPr>
            <w:r>
              <w:rPr>
                <w:rFonts w:eastAsia="宋体"/>
                <w:color w:val="auto"/>
                <w:highlight w:val="none"/>
              </w:rPr>
              <w:t>废水量</w:t>
            </w:r>
          </w:p>
        </w:tc>
        <w:tc>
          <w:tcPr>
            <w:tcW w:w="1701" w:type="dxa"/>
            <w:vAlign w:val="center"/>
          </w:tcPr>
          <w:p>
            <w:pPr>
              <w:jc w:val="center"/>
              <w:rPr>
                <w:bCs/>
                <w:color w:val="auto"/>
                <w:szCs w:val="21"/>
                <w:highlight w:val="none"/>
              </w:rPr>
            </w:pPr>
            <w:r>
              <w:rPr>
                <w:bCs/>
                <w:color w:val="auto"/>
                <w:szCs w:val="21"/>
                <w:highlight w:val="none"/>
              </w:rPr>
              <w:t>/</w:t>
            </w:r>
          </w:p>
        </w:tc>
        <w:tc>
          <w:tcPr>
            <w:tcW w:w="1276" w:type="dxa"/>
            <w:vAlign w:val="center"/>
          </w:tcPr>
          <w:p>
            <w:pPr>
              <w:jc w:val="center"/>
              <w:rPr>
                <w:bCs/>
                <w:color w:val="auto"/>
                <w:szCs w:val="21"/>
                <w:highlight w:val="none"/>
              </w:rPr>
            </w:pPr>
            <w:r>
              <w:rPr>
                <w:bCs/>
                <w:color w:val="auto"/>
                <w:szCs w:val="21"/>
                <w:highlight w:val="none"/>
              </w:rPr>
              <w:t>/</w:t>
            </w:r>
          </w:p>
        </w:tc>
        <w:tc>
          <w:tcPr>
            <w:tcW w:w="1701" w:type="dxa"/>
            <w:vAlign w:val="center"/>
          </w:tcPr>
          <w:p>
            <w:pPr>
              <w:jc w:val="center"/>
              <w:rPr>
                <w:bCs/>
                <w:color w:val="auto"/>
                <w:szCs w:val="21"/>
                <w:highlight w:val="none"/>
              </w:rPr>
            </w:pPr>
            <w:r>
              <w:rPr>
                <w:bCs/>
                <w:color w:val="auto"/>
                <w:szCs w:val="21"/>
                <w:highlight w:val="none"/>
              </w:rPr>
              <w:t>/</w:t>
            </w:r>
          </w:p>
        </w:tc>
        <w:tc>
          <w:tcPr>
            <w:tcW w:w="1559" w:type="dxa"/>
            <w:vAlign w:val="center"/>
          </w:tcPr>
          <w:p>
            <w:pPr>
              <w:widowControl/>
              <w:jc w:val="center"/>
              <w:textAlignment w:val="center"/>
              <w:rPr>
                <w:bCs/>
                <w:color w:val="auto"/>
                <w:szCs w:val="21"/>
                <w:highlight w:val="none"/>
              </w:rPr>
            </w:pPr>
            <w:r>
              <w:rPr>
                <w:rFonts w:hint="eastAsia"/>
                <w:bCs/>
                <w:color w:val="auto"/>
                <w:szCs w:val="21"/>
                <w:highlight w:val="none"/>
              </w:rPr>
              <w:t>360</w:t>
            </w:r>
          </w:p>
        </w:tc>
        <w:tc>
          <w:tcPr>
            <w:tcW w:w="1761" w:type="dxa"/>
            <w:vAlign w:val="center"/>
          </w:tcPr>
          <w:p>
            <w:pPr>
              <w:jc w:val="center"/>
              <w:rPr>
                <w:bCs/>
                <w:color w:val="auto"/>
                <w:szCs w:val="21"/>
                <w:highlight w:val="none"/>
              </w:rPr>
            </w:pPr>
            <w:r>
              <w:rPr>
                <w:bCs/>
                <w:color w:val="auto"/>
                <w:szCs w:val="21"/>
                <w:highlight w:val="none"/>
              </w:rPr>
              <w:t>/</w:t>
            </w:r>
          </w:p>
        </w:tc>
        <w:tc>
          <w:tcPr>
            <w:tcW w:w="1541" w:type="dxa"/>
            <w:vAlign w:val="center"/>
          </w:tcPr>
          <w:p>
            <w:pPr>
              <w:widowControl/>
              <w:jc w:val="center"/>
              <w:textAlignment w:val="center"/>
              <w:rPr>
                <w:bCs/>
                <w:color w:val="auto"/>
                <w:szCs w:val="21"/>
                <w:highlight w:val="none"/>
              </w:rPr>
            </w:pPr>
            <w:r>
              <w:rPr>
                <w:rFonts w:hint="eastAsia"/>
                <w:bCs/>
                <w:color w:val="auto"/>
                <w:szCs w:val="21"/>
                <w:highlight w:val="none"/>
              </w:rPr>
              <w:t>360</w:t>
            </w:r>
          </w:p>
        </w:tc>
        <w:tc>
          <w:tcPr>
            <w:tcW w:w="1244" w:type="dxa"/>
            <w:vAlign w:val="center"/>
          </w:tcPr>
          <w:p>
            <w:pPr>
              <w:widowControl/>
              <w:jc w:val="center"/>
              <w:textAlignment w:val="center"/>
              <w:rPr>
                <w:bCs/>
                <w:color w:val="auto"/>
                <w:szCs w:val="21"/>
                <w:highlight w:val="none"/>
              </w:rPr>
            </w:pPr>
            <w:r>
              <w:rPr>
                <w:rFonts w:hint="eastAsia"/>
                <w:bCs/>
                <w:color w:val="auto"/>
                <w:szCs w:val="21"/>
                <w:highlight w:val="none"/>
              </w:rPr>
              <w:t>+360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460" w:type="dxa"/>
            <w:vMerge w:val="continue"/>
            <w:vAlign w:val="center"/>
          </w:tcPr>
          <w:p>
            <w:pPr>
              <w:pStyle w:val="36"/>
              <w:spacing w:beforeLines="0" w:afterLines="0" w:line="240" w:lineRule="auto"/>
              <w:rPr>
                <w:rFonts w:ascii="Times New Roman" w:hAnsi="Times New Roman" w:eastAsia="宋体" w:cs="Times New Roman"/>
                <w:snapToGrid w:val="0"/>
                <w:color w:val="auto"/>
                <w:kern w:val="21"/>
                <w:szCs w:val="21"/>
                <w:highlight w:val="none"/>
              </w:rPr>
            </w:pPr>
          </w:p>
        </w:tc>
        <w:tc>
          <w:tcPr>
            <w:tcW w:w="1545" w:type="dxa"/>
            <w:vAlign w:val="center"/>
          </w:tcPr>
          <w:p>
            <w:pPr>
              <w:pStyle w:val="46"/>
              <w:rPr>
                <w:rFonts w:eastAsia="宋体"/>
                <w:color w:val="auto"/>
                <w:highlight w:val="none"/>
              </w:rPr>
            </w:pPr>
            <w:r>
              <w:rPr>
                <w:rFonts w:eastAsia="宋体"/>
                <w:color w:val="auto"/>
                <w:highlight w:val="none"/>
              </w:rPr>
              <w:t>COD</w:t>
            </w:r>
          </w:p>
        </w:tc>
        <w:tc>
          <w:tcPr>
            <w:tcW w:w="1701" w:type="dxa"/>
            <w:vAlign w:val="center"/>
          </w:tcPr>
          <w:p>
            <w:pPr>
              <w:jc w:val="center"/>
              <w:rPr>
                <w:bCs/>
                <w:color w:val="auto"/>
                <w:szCs w:val="21"/>
                <w:highlight w:val="none"/>
              </w:rPr>
            </w:pPr>
            <w:r>
              <w:rPr>
                <w:bCs/>
                <w:color w:val="auto"/>
                <w:szCs w:val="21"/>
                <w:highlight w:val="none"/>
              </w:rPr>
              <w:t>/</w:t>
            </w:r>
          </w:p>
        </w:tc>
        <w:tc>
          <w:tcPr>
            <w:tcW w:w="1276" w:type="dxa"/>
            <w:vAlign w:val="center"/>
          </w:tcPr>
          <w:p>
            <w:pPr>
              <w:jc w:val="center"/>
              <w:rPr>
                <w:bCs/>
                <w:color w:val="auto"/>
                <w:szCs w:val="21"/>
                <w:highlight w:val="none"/>
              </w:rPr>
            </w:pPr>
            <w:r>
              <w:rPr>
                <w:bCs/>
                <w:color w:val="auto"/>
                <w:szCs w:val="21"/>
                <w:highlight w:val="none"/>
              </w:rPr>
              <w:t>/</w:t>
            </w:r>
          </w:p>
        </w:tc>
        <w:tc>
          <w:tcPr>
            <w:tcW w:w="1701" w:type="dxa"/>
            <w:vAlign w:val="center"/>
          </w:tcPr>
          <w:p>
            <w:pPr>
              <w:jc w:val="center"/>
              <w:rPr>
                <w:bCs/>
                <w:color w:val="auto"/>
                <w:szCs w:val="21"/>
                <w:highlight w:val="none"/>
              </w:rPr>
            </w:pPr>
            <w:r>
              <w:rPr>
                <w:bCs/>
                <w:color w:val="auto"/>
                <w:szCs w:val="21"/>
                <w:highlight w:val="none"/>
              </w:rPr>
              <w:t>/</w:t>
            </w:r>
          </w:p>
        </w:tc>
        <w:tc>
          <w:tcPr>
            <w:tcW w:w="1559" w:type="dxa"/>
            <w:vAlign w:val="center"/>
          </w:tcPr>
          <w:p>
            <w:pPr>
              <w:widowControl/>
              <w:jc w:val="center"/>
              <w:textAlignment w:val="center"/>
              <w:rPr>
                <w:bCs/>
                <w:color w:val="auto"/>
                <w:szCs w:val="21"/>
                <w:highlight w:val="none"/>
              </w:rPr>
            </w:pPr>
            <w:r>
              <w:rPr>
                <w:color w:val="auto"/>
                <w:kern w:val="0"/>
                <w:szCs w:val="21"/>
                <w:highlight w:val="none"/>
                <w:lang w:bidi="ar"/>
              </w:rPr>
              <w:t>0.144</w:t>
            </w:r>
          </w:p>
        </w:tc>
        <w:tc>
          <w:tcPr>
            <w:tcW w:w="1761" w:type="dxa"/>
            <w:vAlign w:val="center"/>
          </w:tcPr>
          <w:p>
            <w:pPr>
              <w:jc w:val="center"/>
              <w:rPr>
                <w:bCs/>
                <w:color w:val="auto"/>
                <w:szCs w:val="21"/>
                <w:highlight w:val="none"/>
              </w:rPr>
            </w:pPr>
            <w:r>
              <w:rPr>
                <w:bCs/>
                <w:color w:val="auto"/>
                <w:szCs w:val="21"/>
                <w:highlight w:val="none"/>
              </w:rPr>
              <w:t>/</w:t>
            </w:r>
          </w:p>
        </w:tc>
        <w:tc>
          <w:tcPr>
            <w:tcW w:w="1541" w:type="dxa"/>
            <w:vAlign w:val="center"/>
          </w:tcPr>
          <w:p>
            <w:pPr>
              <w:widowControl/>
              <w:jc w:val="center"/>
              <w:textAlignment w:val="center"/>
              <w:rPr>
                <w:bCs/>
                <w:color w:val="auto"/>
                <w:szCs w:val="21"/>
                <w:highlight w:val="none"/>
              </w:rPr>
            </w:pPr>
            <w:r>
              <w:rPr>
                <w:color w:val="auto"/>
                <w:kern w:val="0"/>
                <w:szCs w:val="21"/>
                <w:highlight w:val="none"/>
                <w:lang w:bidi="ar"/>
              </w:rPr>
              <w:t>0.144</w:t>
            </w:r>
          </w:p>
        </w:tc>
        <w:tc>
          <w:tcPr>
            <w:tcW w:w="1244" w:type="dxa"/>
            <w:vAlign w:val="center"/>
          </w:tcPr>
          <w:p>
            <w:pPr>
              <w:widowControl/>
              <w:jc w:val="center"/>
              <w:textAlignment w:val="center"/>
              <w:rPr>
                <w:bCs/>
                <w:color w:val="auto"/>
                <w:szCs w:val="21"/>
                <w:highlight w:val="none"/>
              </w:rPr>
            </w:pPr>
            <w:r>
              <w:rPr>
                <w:color w:val="auto"/>
                <w:kern w:val="0"/>
                <w:szCs w:val="21"/>
                <w:highlight w:val="none"/>
                <w:lang w:bidi="ar"/>
              </w:rPr>
              <w:t>+0.144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460" w:type="dxa"/>
            <w:vMerge w:val="continue"/>
            <w:vAlign w:val="center"/>
          </w:tcPr>
          <w:p>
            <w:pPr>
              <w:pStyle w:val="36"/>
              <w:spacing w:beforeLines="0" w:afterLines="0" w:line="240" w:lineRule="auto"/>
              <w:rPr>
                <w:rFonts w:ascii="Times New Roman" w:hAnsi="Times New Roman" w:eastAsia="宋体" w:cs="Times New Roman"/>
                <w:snapToGrid w:val="0"/>
                <w:color w:val="auto"/>
                <w:kern w:val="21"/>
                <w:szCs w:val="21"/>
                <w:highlight w:val="none"/>
              </w:rPr>
            </w:pPr>
          </w:p>
        </w:tc>
        <w:tc>
          <w:tcPr>
            <w:tcW w:w="1545" w:type="dxa"/>
            <w:vAlign w:val="center"/>
          </w:tcPr>
          <w:p>
            <w:pPr>
              <w:pStyle w:val="46"/>
              <w:rPr>
                <w:rFonts w:eastAsia="宋体"/>
                <w:color w:val="auto"/>
                <w:highlight w:val="none"/>
              </w:rPr>
            </w:pPr>
            <w:r>
              <w:rPr>
                <w:rFonts w:eastAsia="宋体"/>
                <w:color w:val="auto"/>
                <w:highlight w:val="none"/>
              </w:rPr>
              <w:t>SS</w:t>
            </w:r>
          </w:p>
        </w:tc>
        <w:tc>
          <w:tcPr>
            <w:tcW w:w="1701" w:type="dxa"/>
            <w:vAlign w:val="center"/>
          </w:tcPr>
          <w:p>
            <w:pPr>
              <w:jc w:val="center"/>
              <w:rPr>
                <w:bCs/>
                <w:color w:val="auto"/>
                <w:szCs w:val="21"/>
                <w:highlight w:val="none"/>
              </w:rPr>
            </w:pPr>
            <w:r>
              <w:rPr>
                <w:bCs/>
                <w:color w:val="auto"/>
                <w:szCs w:val="21"/>
                <w:highlight w:val="none"/>
              </w:rPr>
              <w:t>/</w:t>
            </w:r>
          </w:p>
        </w:tc>
        <w:tc>
          <w:tcPr>
            <w:tcW w:w="1276" w:type="dxa"/>
            <w:vAlign w:val="center"/>
          </w:tcPr>
          <w:p>
            <w:pPr>
              <w:jc w:val="center"/>
              <w:rPr>
                <w:bCs/>
                <w:color w:val="auto"/>
                <w:szCs w:val="21"/>
                <w:highlight w:val="none"/>
              </w:rPr>
            </w:pPr>
            <w:r>
              <w:rPr>
                <w:bCs/>
                <w:color w:val="auto"/>
                <w:szCs w:val="21"/>
                <w:highlight w:val="none"/>
              </w:rPr>
              <w:t>/</w:t>
            </w:r>
          </w:p>
        </w:tc>
        <w:tc>
          <w:tcPr>
            <w:tcW w:w="1701" w:type="dxa"/>
            <w:vAlign w:val="center"/>
          </w:tcPr>
          <w:p>
            <w:pPr>
              <w:jc w:val="center"/>
              <w:rPr>
                <w:bCs/>
                <w:color w:val="auto"/>
                <w:szCs w:val="21"/>
                <w:highlight w:val="none"/>
              </w:rPr>
            </w:pPr>
            <w:r>
              <w:rPr>
                <w:bCs/>
                <w:color w:val="auto"/>
                <w:szCs w:val="21"/>
                <w:highlight w:val="none"/>
              </w:rPr>
              <w:t>/</w:t>
            </w:r>
          </w:p>
        </w:tc>
        <w:tc>
          <w:tcPr>
            <w:tcW w:w="1559" w:type="dxa"/>
            <w:vAlign w:val="center"/>
          </w:tcPr>
          <w:p>
            <w:pPr>
              <w:widowControl/>
              <w:jc w:val="center"/>
              <w:textAlignment w:val="center"/>
              <w:rPr>
                <w:bCs/>
                <w:color w:val="auto"/>
                <w:szCs w:val="21"/>
                <w:highlight w:val="none"/>
              </w:rPr>
            </w:pPr>
            <w:r>
              <w:rPr>
                <w:color w:val="auto"/>
                <w:kern w:val="0"/>
                <w:szCs w:val="21"/>
                <w:highlight w:val="none"/>
                <w:lang w:bidi="ar"/>
              </w:rPr>
              <w:t>0.072</w:t>
            </w:r>
          </w:p>
        </w:tc>
        <w:tc>
          <w:tcPr>
            <w:tcW w:w="1761" w:type="dxa"/>
            <w:vAlign w:val="center"/>
          </w:tcPr>
          <w:p>
            <w:pPr>
              <w:jc w:val="center"/>
              <w:rPr>
                <w:bCs/>
                <w:color w:val="auto"/>
                <w:szCs w:val="21"/>
                <w:highlight w:val="none"/>
              </w:rPr>
            </w:pPr>
            <w:r>
              <w:rPr>
                <w:bCs/>
                <w:color w:val="auto"/>
                <w:szCs w:val="21"/>
                <w:highlight w:val="none"/>
              </w:rPr>
              <w:t>/</w:t>
            </w:r>
          </w:p>
        </w:tc>
        <w:tc>
          <w:tcPr>
            <w:tcW w:w="1541" w:type="dxa"/>
            <w:vAlign w:val="center"/>
          </w:tcPr>
          <w:p>
            <w:pPr>
              <w:widowControl/>
              <w:jc w:val="center"/>
              <w:textAlignment w:val="center"/>
              <w:rPr>
                <w:bCs/>
                <w:color w:val="auto"/>
                <w:szCs w:val="21"/>
                <w:highlight w:val="none"/>
              </w:rPr>
            </w:pPr>
            <w:r>
              <w:rPr>
                <w:color w:val="auto"/>
                <w:kern w:val="0"/>
                <w:szCs w:val="21"/>
                <w:highlight w:val="none"/>
                <w:lang w:bidi="ar"/>
              </w:rPr>
              <w:t xml:space="preserve">0.072 </w:t>
            </w:r>
          </w:p>
        </w:tc>
        <w:tc>
          <w:tcPr>
            <w:tcW w:w="1244" w:type="dxa"/>
            <w:vAlign w:val="center"/>
          </w:tcPr>
          <w:p>
            <w:pPr>
              <w:widowControl/>
              <w:jc w:val="center"/>
              <w:textAlignment w:val="center"/>
              <w:rPr>
                <w:bCs/>
                <w:color w:val="auto"/>
                <w:szCs w:val="21"/>
                <w:highlight w:val="none"/>
              </w:rPr>
            </w:pPr>
            <w:r>
              <w:rPr>
                <w:color w:val="auto"/>
                <w:kern w:val="0"/>
                <w:szCs w:val="21"/>
                <w:highlight w:val="none"/>
                <w:lang w:bidi="ar"/>
              </w:rPr>
              <w:t xml:space="preserve">+0.072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460" w:type="dxa"/>
            <w:vMerge w:val="continue"/>
            <w:vAlign w:val="center"/>
          </w:tcPr>
          <w:p>
            <w:pPr>
              <w:pStyle w:val="36"/>
              <w:spacing w:beforeLines="0" w:afterLines="0" w:line="240" w:lineRule="auto"/>
              <w:rPr>
                <w:rFonts w:ascii="Times New Roman" w:hAnsi="Times New Roman" w:eastAsia="宋体" w:cs="Times New Roman"/>
                <w:snapToGrid w:val="0"/>
                <w:color w:val="auto"/>
                <w:kern w:val="21"/>
                <w:szCs w:val="21"/>
                <w:highlight w:val="none"/>
              </w:rPr>
            </w:pPr>
          </w:p>
        </w:tc>
        <w:tc>
          <w:tcPr>
            <w:tcW w:w="1545" w:type="dxa"/>
            <w:vAlign w:val="center"/>
          </w:tcPr>
          <w:p>
            <w:pPr>
              <w:pStyle w:val="46"/>
              <w:rPr>
                <w:rFonts w:eastAsia="宋体"/>
                <w:color w:val="auto"/>
                <w:highlight w:val="none"/>
              </w:rPr>
            </w:pPr>
            <w:r>
              <w:rPr>
                <w:rFonts w:eastAsia="宋体"/>
                <w:color w:val="auto"/>
                <w:highlight w:val="none"/>
              </w:rPr>
              <w:t>氨氮</w:t>
            </w:r>
          </w:p>
        </w:tc>
        <w:tc>
          <w:tcPr>
            <w:tcW w:w="1701" w:type="dxa"/>
            <w:vAlign w:val="center"/>
          </w:tcPr>
          <w:p>
            <w:pPr>
              <w:jc w:val="center"/>
              <w:rPr>
                <w:bCs/>
                <w:color w:val="auto"/>
                <w:szCs w:val="21"/>
                <w:highlight w:val="none"/>
              </w:rPr>
            </w:pPr>
            <w:r>
              <w:rPr>
                <w:bCs/>
                <w:color w:val="auto"/>
                <w:szCs w:val="21"/>
                <w:highlight w:val="none"/>
              </w:rPr>
              <w:t>/</w:t>
            </w:r>
          </w:p>
        </w:tc>
        <w:tc>
          <w:tcPr>
            <w:tcW w:w="1276" w:type="dxa"/>
            <w:vAlign w:val="center"/>
          </w:tcPr>
          <w:p>
            <w:pPr>
              <w:jc w:val="center"/>
              <w:rPr>
                <w:bCs/>
                <w:color w:val="auto"/>
                <w:szCs w:val="21"/>
                <w:highlight w:val="none"/>
              </w:rPr>
            </w:pPr>
            <w:r>
              <w:rPr>
                <w:bCs/>
                <w:color w:val="auto"/>
                <w:szCs w:val="21"/>
                <w:highlight w:val="none"/>
              </w:rPr>
              <w:t>/</w:t>
            </w:r>
          </w:p>
        </w:tc>
        <w:tc>
          <w:tcPr>
            <w:tcW w:w="1701" w:type="dxa"/>
            <w:vAlign w:val="center"/>
          </w:tcPr>
          <w:p>
            <w:pPr>
              <w:jc w:val="center"/>
              <w:rPr>
                <w:bCs/>
                <w:color w:val="auto"/>
                <w:szCs w:val="21"/>
                <w:highlight w:val="none"/>
              </w:rPr>
            </w:pPr>
            <w:r>
              <w:rPr>
                <w:bCs/>
                <w:color w:val="auto"/>
                <w:szCs w:val="21"/>
                <w:highlight w:val="none"/>
              </w:rPr>
              <w:t>/</w:t>
            </w:r>
          </w:p>
        </w:tc>
        <w:tc>
          <w:tcPr>
            <w:tcW w:w="1559" w:type="dxa"/>
            <w:vAlign w:val="center"/>
          </w:tcPr>
          <w:p>
            <w:pPr>
              <w:widowControl/>
              <w:jc w:val="center"/>
              <w:textAlignment w:val="center"/>
              <w:rPr>
                <w:bCs/>
                <w:color w:val="auto"/>
                <w:szCs w:val="21"/>
                <w:highlight w:val="none"/>
              </w:rPr>
            </w:pPr>
            <w:r>
              <w:rPr>
                <w:color w:val="auto"/>
                <w:kern w:val="0"/>
                <w:szCs w:val="21"/>
                <w:highlight w:val="none"/>
                <w:lang w:bidi="ar"/>
              </w:rPr>
              <w:t>0.0126</w:t>
            </w:r>
          </w:p>
        </w:tc>
        <w:tc>
          <w:tcPr>
            <w:tcW w:w="1761" w:type="dxa"/>
            <w:vAlign w:val="center"/>
          </w:tcPr>
          <w:p>
            <w:pPr>
              <w:jc w:val="center"/>
              <w:rPr>
                <w:bCs/>
                <w:color w:val="auto"/>
                <w:szCs w:val="21"/>
                <w:highlight w:val="none"/>
              </w:rPr>
            </w:pPr>
            <w:r>
              <w:rPr>
                <w:bCs/>
                <w:color w:val="auto"/>
                <w:szCs w:val="21"/>
                <w:highlight w:val="none"/>
              </w:rPr>
              <w:t>/</w:t>
            </w:r>
          </w:p>
        </w:tc>
        <w:tc>
          <w:tcPr>
            <w:tcW w:w="1541" w:type="dxa"/>
            <w:vAlign w:val="center"/>
          </w:tcPr>
          <w:p>
            <w:pPr>
              <w:widowControl/>
              <w:jc w:val="center"/>
              <w:textAlignment w:val="center"/>
              <w:rPr>
                <w:bCs/>
                <w:color w:val="auto"/>
                <w:szCs w:val="21"/>
                <w:highlight w:val="none"/>
              </w:rPr>
            </w:pPr>
            <w:r>
              <w:rPr>
                <w:color w:val="auto"/>
                <w:kern w:val="0"/>
                <w:szCs w:val="21"/>
                <w:highlight w:val="none"/>
                <w:lang w:bidi="ar"/>
              </w:rPr>
              <w:t xml:space="preserve">0.0126 </w:t>
            </w:r>
          </w:p>
        </w:tc>
        <w:tc>
          <w:tcPr>
            <w:tcW w:w="1244" w:type="dxa"/>
            <w:vAlign w:val="center"/>
          </w:tcPr>
          <w:p>
            <w:pPr>
              <w:widowControl/>
              <w:jc w:val="center"/>
              <w:textAlignment w:val="center"/>
              <w:rPr>
                <w:bCs/>
                <w:color w:val="auto"/>
                <w:szCs w:val="21"/>
                <w:highlight w:val="none"/>
              </w:rPr>
            </w:pPr>
            <w:r>
              <w:rPr>
                <w:color w:val="auto"/>
                <w:kern w:val="0"/>
                <w:szCs w:val="21"/>
                <w:highlight w:val="none"/>
                <w:lang w:bidi="ar"/>
              </w:rPr>
              <w:t xml:space="preserve">+0.0126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460" w:type="dxa"/>
            <w:vMerge w:val="continue"/>
            <w:vAlign w:val="center"/>
          </w:tcPr>
          <w:p>
            <w:pPr>
              <w:pStyle w:val="36"/>
              <w:spacing w:beforeLines="0" w:afterLines="0" w:line="240" w:lineRule="auto"/>
              <w:rPr>
                <w:rFonts w:ascii="Times New Roman" w:hAnsi="Times New Roman" w:eastAsia="宋体" w:cs="Times New Roman"/>
                <w:snapToGrid w:val="0"/>
                <w:color w:val="auto"/>
                <w:kern w:val="21"/>
                <w:szCs w:val="21"/>
                <w:highlight w:val="none"/>
              </w:rPr>
            </w:pPr>
          </w:p>
        </w:tc>
        <w:tc>
          <w:tcPr>
            <w:tcW w:w="1545" w:type="dxa"/>
            <w:vAlign w:val="center"/>
          </w:tcPr>
          <w:p>
            <w:pPr>
              <w:pStyle w:val="46"/>
              <w:rPr>
                <w:rFonts w:eastAsia="宋体"/>
                <w:color w:val="auto"/>
                <w:highlight w:val="none"/>
              </w:rPr>
            </w:pPr>
            <w:r>
              <w:rPr>
                <w:rFonts w:eastAsia="宋体"/>
                <w:color w:val="auto"/>
                <w:highlight w:val="none"/>
              </w:rPr>
              <w:t>TP</w:t>
            </w:r>
          </w:p>
        </w:tc>
        <w:tc>
          <w:tcPr>
            <w:tcW w:w="1701" w:type="dxa"/>
            <w:vAlign w:val="center"/>
          </w:tcPr>
          <w:p>
            <w:pPr>
              <w:jc w:val="center"/>
              <w:rPr>
                <w:bCs/>
                <w:color w:val="auto"/>
                <w:szCs w:val="21"/>
                <w:highlight w:val="none"/>
              </w:rPr>
            </w:pPr>
            <w:r>
              <w:rPr>
                <w:bCs/>
                <w:color w:val="auto"/>
                <w:szCs w:val="21"/>
                <w:highlight w:val="none"/>
              </w:rPr>
              <w:t>/</w:t>
            </w:r>
          </w:p>
        </w:tc>
        <w:tc>
          <w:tcPr>
            <w:tcW w:w="1276" w:type="dxa"/>
            <w:vAlign w:val="center"/>
          </w:tcPr>
          <w:p>
            <w:pPr>
              <w:jc w:val="center"/>
              <w:rPr>
                <w:bCs/>
                <w:color w:val="auto"/>
                <w:szCs w:val="21"/>
                <w:highlight w:val="none"/>
              </w:rPr>
            </w:pPr>
            <w:r>
              <w:rPr>
                <w:bCs/>
                <w:color w:val="auto"/>
                <w:szCs w:val="21"/>
                <w:highlight w:val="none"/>
              </w:rPr>
              <w:t>/</w:t>
            </w:r>
          </w:p>
        </w:tc>
        <w:tc>
          <w:tcPr>
            <w:tcW w:w="1701" w:type="dxa"/>
            <w:vAlign w:val="center"/>
          </w:tcPr>
          <w:p>
            <w:pPr>
              <w:jc w:val="center"/>
              <w:rPr>
                <w:bCs/>
                <w:color w:val="auto"/>
                <w:szCs w:val="21"/>
                <w:highlight w:val="none"/>
              </w:rPr>
            </w:pPr>
            <w:r>
              <w:rPr>
                <w:bCs/>
                <w:color w:val="auto"/>
                <w:szCs w:val="21"/>
                <w:highlight w:val="none"/>
              </w:rPr>
              <w:t>/</w:t>
            </w:r>
          </w:p>
        </w:tc>
        <w:tc>
          <w:tcPr>
            <w:tcW w:w="1559" w:type="dxa"/>
            <w:vAlign w:val="center"/>
          </w:tcPr>
          <w:p>
            <w:pPr>
              <w:widowControl/>
              <w:jc w:val="center"/>
              <w:textAlignment w:val="center"/>
              <w:rPr>
                <w:bCs/>
                <w:color w:val="auto"/>
                <w:szCs w:val="21"/>
                <w:highlight w:val="none"/>
              </w:rPr>
            </w:pPr>
            <w:r>
              <w:rPr>
                <w:color w:val="auto"/>
                <w:kern w:val="0"/>
                <w:szCs w:val="21"/>
                <w:highlight w:val="none"/>
                <w:lang w:bidi="ar"/>
              </w:rPr>
              <w:t>0.0011</w:t>
            </w:r>
          </w:p>
        </w:tc>
        <w:tc>
          <w:tcPr>
            <w:tcW w:w="1761" w:type="dxa"/>
            <w:vAlign w:val="center"/>
          </w:tcPr>
          <w:p>
            <w:pPr>
              <w:jc w:val="center"/>
              <w:rPr>
                <w:bCs/>
                <w:color w:val="auto"/>
                <w:szCs w:val="21"/>
                <w:highlight w:val="none"/>
              </w:rPr>
            </w:pPr>
            <w:r>
              <w:rPr>
                <w:bCs/>
                <w:color w:val="auto"/>
                <w:szCs w:val="21"/>
                <w:highlight w:val="none"/>
              </w:rPr>
              <w:t>/</w:t>
            </w:r>
          </w:p>
        </w:tc>
        <w:tc>
          <w:tcPr>
            <w:tcW w:w="1541" w:type="dxa"/>
            <w:vAlign w:val="center"/>
          </w:tcPr>
          <w:p>
            <w:pPr>
              <w:widowControl/>
              <w:jc w:val="center"/>
              <w:textAlignment w:val="center"/>
              <w:rPr>
                <w:bCs/>
                <w:color w:val="auto"/>
                <w:szCs w:val="21"/>
                <w:highlight w:val="none"/>
              </w:rPr>
            </w:pPr>
            <w:r>
              <w:rPr>
                <w:color w:val="auto"/>
                <w:kern w:val="0"/>
                <w:szCs w:val="21"/>
                <w:highlight w:val="none"/>
                <w:lang w:bidi="ar"/>
              </w:rPr>
              <w:t>0.0011</w:t>
            </w:r>
          </w:p>
        </w:tc>
        <w:tc>
          <w:tcPr>
            <w:tcW w:w="1244" w:type="dxa"/>
            <w:vAlign w:val="center"/>
          </w:tcPr>
          <w:p>
            <w:pPr>
              <w:widowControl/>
              <w:jc w:val="center"/>
              <w:textAlignment w:val="center"/>
              <w:rPr>
                <w:bCs/>
                <w:color w:val="auto"/>
                <w:szCs w:val="21"/>
                <w:highlight w:val="none"/>
              </w:rPr>
            </w:pPr>
            <w:r>
              <w:rPr>
                <w:color w:val="auto"/>
                <w:kern w:val="0"/>
                <w:szCs w:val="21"/>
                <w:highlight w:val="none"/>
                <w:lang w:bidi="ar"/>
              </w:rPr>
              <w:t>+0.0011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460" w:type="dxa"/>
            <w:vMerge w:val="continue"/>
            <w:vAlign w:val="center"/>
          </w:tcPr>
          <w:p>
            <w:pPr>
              <w:pStyle w:val="36"/>
              <w:spacing w:beforeLines="0" w:afterLines="0" w:line="240" w:lineRule="auto"/>
              <w:rPr>
                <w:rFonts w:ascii="Times New Roman" w:hAnsi="Times New Roman" w:eastAsia="宋体" w:cs="Times New Roman"/>
                <w:snapToGrid w:val="0"/>
                <w:color w:val="auto"/>
                <w:kern w:val="21"/>
                <w:szCs w:val="21"/>
                <w:highlight w:val="none"/>
              </w:rPr>
            </w:pPr>
          </w:p>
        </w:tc>
        <w:tc>
          <w:tcPr>
            <w:tcW w:w="1545" w:type="dxa"/>
            <w:vAlign w:val="center"/>
          </w:tcPr>
          <w:p>
            <w:pPr>
              <w:pStyle w:val="46"/>
              <w:rPr>
                <w:rFonts w:eastAsia="宋体"/>
                <w:color w:val="auto"/>
                <w:highlight w:val="none"/>
              </w:rPr>
            </w:pPr>
            <w:r>
              <w:rPr>
                <w:rFonts w:eastAsia="宋体"/>
                <w:color w:val="auto"/>
                <w:highlight w:val="none"/>
              </w:rPr>
              <w:t>TN</w:t>
            </w:r>
          </w:p>
        </w:tc>
        <w:tc>
          <w:tcPr>
            <w:tcW w:w="1701" w:type="dxa"/>
            <w:vAlign w:val="center"/>
          </w:tcPr>
          <w:p>
            <w:pPr>
              <w:jc w:val="center"/>
              <w:rPr>
                <w:bCs/>
                <w:color w:val="auto"/>
                <w:szCs w:val="21"/>
                <w:highlight w:val="none"/>
              </w:rPr>
            </w:pPr>
            <w:r>
              <w:rPr>
                <w:bCs/>
                <w:color w:val="auto"/>
                <w:szCs w:val="21"/>
                <w:highlight w:val="none"/>
              </w:rPr>
              <w:t>/</w:t>
            </w:r>
          </w:p>
        </w:tc>
        <w:tc>
          <w:tcPr>
            <w:tcW w:w="1276" w:type="dxa"/>
            <w:vAlign w:val="center"/>
          </w:tcPr>
          <w:p>
            <w:pPr>
              <w:jc w:val="center"/>
              <w:rPr>
                <w:bCs/>
                <w:color w:val="auto"/>
                <w:szCs w:val="21"/>
                <w:highlight w:val="none"/>
              </w:rPr>
            </w:pPr>
            <w:r>
              <w:rPr>
                <w:bCs/>
                <w:color w:val="auto"/>
                <w:szCs w:val="21"/>
                <w:highlight w:val="none"/>
              </w:rPr>
              <w:t>/</w:t>
            </w:r>
          </w:p>
        </w:tc>
        <w:tc>
          <w:tcPr>
            <w:tcW w:w="1701" w:type="dxa"/>
            <w:vAlign w:val="center"/>
          </w:tcPr>
          <w:p>
            <w:pPr>
              <w:jc w:val="center"/>
              <w:rPr>
                <w:bCs/>
                <w:color w:val="auto"/>
                <w:szCs w:val="21"/>
                <w:highlight w:val="none"/>
              </w:rPr>
            </w:pPr>
            <w:r>
              <w:rPr>
                <w:bCs/>
                <w:color w:val="auto"/>
                <w:szCs w:val="21"/>
                <w:highlight w:val="none"/>
              </w:rPr>
              <w:t>/</w:t>
            </w:r>
          </w:p>
        </w:tc>
        <w:tc>
          <w:tcPr>
            <w:tcW w:w="1559" w:type="dxa"/>
            <w:vAlign w:val="center"/>
          </w:tcPr>
          <w:p>
            <w:pPr>
              <w:widowControl/>
              <w:jc w:val="center"/>
              <w:textAlignment w:val="center"/>
              <w:rPr>
                <w:bCs/>
                <w:color w:val="auto"/>
                <w:szCs w:val="21"/>
                <w:highlight w:val="none"/>
              </w:rPr>
            </w:pPr>
            <w:r>
              <w:rPr>
                <w:color w:val="auto"/>
                <w:kern w:val="0"/>
                <w:szCs w:val="21"/>
                <w:highlight w:val="none"/>
                <w:lang w:bidi="ar"/>
              </w:rPr>
              <w:t>0.018</w:t>
            </w:r>
          </w:p>
        </w:tc>
        <w:tc>
          <w:tcPr>
            <w:tcW w:w="1761" w:type="dxa"/>
            <w:vAlign w:val="center"/>
          </w:tcPr>
          <w:p>
            <w:pPr>
              <w:jc w:val="center"/>
              <w:rPr>
                <w:bCs/>
                <w:color w:val="auto"/>
                <w:szCs w:val="21"/>
                <w:highlight w:val="none"/>
              </w:rPr>
            </w:pPr>
            <w:r>
              <w:rPr>
                <w:bCs/>
                <w:color w:val="auto"/>
                <w:szCs w:val="21"/>
                <w:highlight w:val="none"/>
              </w:rPr>
              <w:t>/</w:t>
            </w:r>
          </w:p>
        </w:tc>
        <w:tc>
          <w:tcPr>
            <w:tcW w:w="1541" w:type="dxa"/>
            <w:vAlign w:val="center"/>
          </w:tcPr>
          <w:p>
            <w:pPr>
              <w:widowControl/>
              <w:jc w:val="center"/>
              <w:textAlignment w:val="center"/>
              <w:rPr>
                <w:bCs/>
                <w:color w:val="auto"/>
                <w:szCs w:val="21"/>
                <w:highlight w:val="none"/>
              </w:rPr>
            </w:pPr>
            <w:r>
              <w:rPr>
                <w:color w:val="auto"/>
                <w:kern w:val="0"/>
                <w:szCs w:val="21"/>
                <w:highlight w:val="none"/>
                <w:lang w:bidi="ar"/>
              </w:rPr>
              <w:t xml:space="preserve">0.018 </w:t>
            </w:r>
          </w:p>
        </w:tc>
        <w:tc>
          <w:tcPr>
            <w:tcW w:w="1244" w:type="dxa"/>
            <w:vAlign w:val="center"/>
          </w:tcPr>
          <w:p>
            <w:pPr>
              <w:widowControl/>
              <w:jc w:val="center"/>
              <w:textAlignment w:val="center"/>
              <w:rPr>
                <w:bCs/>
                <w:color w:val="auto"/>
                <w:szCs w:val="21"/>
                <w:highlight w:val="none"/>
              </w:rPr>
            </w:pPr>
            <w:r>
              <w:rPr>
                <w:color w:val="auto"/>
                <w:kern w:val="0"/>
                <w:szCs w:val="21"/>
                <w:highlight w:val="none"/>
                <w:lang w:bidi="ar"/>
              </w:rPr>
              <w:t xml:space="preserve">+0.018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460" w:type="dxa"/>
            <w:vAlign w:val="center"/>
          </w:tcPr>
          <w:p>
            <w:pPr>
              <w:pStyle w:val="36"/>
              <w:spacing w:beforeLines="0" w:afterLines="0" w:line="240" w:lineRule="auto"/>
              <w:rPr>
                <w:rFonts w:ascii="Times New Roman" w:hAnsi="Times New Roman" w:eastAsia="宋体" w:cs="Times New Roman"/>
                <w:snapToGrid w:val="0"/>
                <w:color w:val="auto"/>
                <w:kern w:val="21"/>
                <w:szCs w:val="21"/>
                <w:highlight w:val="none"/>
              </w:rPr>
            </w:pPr>
            <w:r>
              <w:rPr>
                <w:rFonts w:ascii="Times New Roman" w:hAnsi="Times New Roman" w:eastAsia="宋体" w:cs="Times New Roman"/>
                <w:snapToGrid w:val="0"/>
                <w:color w:val="auto"/>
                <w:kern w:val="21"/>
                <w:szCs w:val="21"/>
                <w:highlight w:val="none"/>
              </w:rPr>
              <w:t>一般工业</w:t>
            </w:r>
          </w:p>
          <w:p>
            <w:pPr>
              <w:pStyle w:val="36"/>
              <w:spacing w:beforeLines="0" w:afterLines="0" w:line="240" w:lineRule="auto"/>
              <w:rPr>
                <w:rFonts w:ascii="Times New Roman" w:hAnsi="Times New Roman" w:eastAsia="宋体" w:cs="Times New Roman"/>
                <w:snapToGrid w:val="0"/>
                <w:color w:val="auto"/>
                <w:kern w:val="21"/>
                <w:szCs w:val="21"/>
                <w:highlight w:val="none"/>
              </w:rPr>
            </w:pPr>
            <w:r>
              <w:rPr>
                <w:rFonts w:ascii="Times New Roman" w:hAnsi="Times New Roman" w:eastAsia="宋体" w:cs="Times New Roman"/>
                <w:snapToGrid w:val="0"/>
                <w:color w:val="auto"/>
                <w:kern w:val="21"/>
                <w:szCs w:val="21"/>
                <w:highlight w:val="none"/>
              </w:rPr>
              <w:t>固体废物</w:t>
            </w:r>
          </w:p>
        </w:tc>
        <w:tc>
          <w:tcPr>
            <w:tcW w:w="1545" w:type="dxa"/>
            <w:vAlign w:val="center"/>
          </w:tcPr>
          <w:p>
            <w:pPr>
              <w:pStyle w:val="46"/>
              <w:rPr>
                <w:rFonts w:eastAsia="宋体"/>
                <w:color w:val="auto"/>
                <w:highlight w:val="none"/>
              </w:rPr>
            </w:pPr>
            <w:r>
              <w:rPr>
                <w:rFonts w:eastAsia="宋体"/>
                <w:color w:val="auto"/>
                <w:highlight w:val="none"/>
              </w:rPr>
              <w:t>废</w:t>
            </w:r>
            <w:r>
              <w:rPr>
                <w:rFonts w:hint="eastAsia" w:eastAsia="宋体"/>
                <w:color w:val="auto"/>
                <w:highlight w:val="none"/>
              </w:rPr>
              <w:t>包装袋</w:t>
            </w:r>
          </w:p>
        </w:tc>
        <w:tc>
          <w:tcPr>
            <w:tcW w:w="1701" w:type="dxa"/>
            <w:vAlign w:val="center"/>
          </w:tcPr>
          <w:p>
            <w:pPr>
              <w:jc w:val="center"/>
              <w:rPr>
                <w:bCs/>
                <w:color w:val="auto"/>
                <w:szCs w:val="21"/>
                <w:highlight w:val="none"/>
              </w:rPr>
            </w:pPr>
            <w:r>
              <w:rPr>
                <w:bCs/>
                <w:color w:val="auto"/>
                <w:szCs w:val="21"/>
                <w:highlight w:val="none"/>
              </w:rPr>
              <w:t>/</w:t>
            </w:r>
          </w:p>
        </w:tc>
        <w:tc>
          <w:tcPr>
            <w:tcW w:w="1276" w:type="dxa"/>
            <w:vAlign w:val="center"/>
          </w:tcPr>
          <w:p>
            <w:pPr>
              <w:jc w:val="center"/>
              <w:rPr>
                <w:bCs/>
                <w:color w:val="auto"/>
                <w:szCs w:val="21"/>
                <w:highlight w:val="none"/>
              </w:rPr>
            </w:pPr>
            <w:r>
              <w:rPr>
                <w:bCs/>
                <w:color w:val="auto"/>
                <w:szCs w:val="21"/>
                <w:highlight w:val="none"/>
              </w:rPr>
              <w:t>/</w:t>
            </w:r>
          </w:p>
        </w:tc>
        <w:tc>
          <w:tcPr>
            <w:tcW w:w="1701" w:type="dxa"/>
            <w:vAlign w:val="center"/>
          </w:tcPr>
          <w:p>
            <w:pPr>
              <w:pStyle w:val="36"/>
              <w:spacing w:beforeLines="0" w:afterLines="0" w:line="240" w:lineRule="auto"/>
              <w:rPr>
                <w:rFonts w:ascii="Times New Roman" w:hAnsi="Times New Roman" w:eastAsia="宋体" w:cs="Times New Roman"/>
                <w:bCs/>
                <w:color w:val="auto"/>
                <w:szCs w:val="21"/>
                <w:highlight w:val="none"/>
              </w:rPr>
            </w:pPr>
            <w:r>
              <w:rPr>
                <w:rFonts w:ascii="Times New Roman" w:hAnsi="Times New Roman" w:eastAsia="宋体" w:cs="Times New Roman"/>
                <w:bCs/>
                <w:color w:val="auto"/>
                <w:szCs w:val="21"/>
                <w:highlight w:val="none"/>
              </w:rPr>
              <w:t>/</w:t>
            </w:r>
          </w:p>
        </w:tc>
        <w:tc>
          <w:tcPr>
            <w:tcW w:w="1559" w:type="dxa"/>
            <w:vAlign w:val="center"/>
          </w:tcPr>
          <w:p>
            <w:pPr>
              <w:pStyle w:val="46"/>
              <w:rPr>
                <w:rFonts w:eastAsia="宋体"/>
                <w:color w:val="auto"/>
                <w:highlight w:val="none"/>
              </w:rPr>
            </w:pPr>
            <w:r>
              <w:rPr>
                <w:rFonts w:hint="eastAsia" w:eastAsia="宋体"/>
                <w:color w:val="auto"/>
                <w:highlight w:val="none"/>
              </w:rPr>
              <w:t>2.5</w:t>
            </w:r>
          </w:p>
        </w:tc>
        <w:tc>
          <w:tcPr>
            <w:tcW w:w="1761" w:type="dxa"/>
            <w:vAlign w:val="center"/>
          </w:tcPr>
          <w:p>
            <w:pPr>
              <w:jc w:val="center"/>
              <w:rPr>
                <w:bCs/>
                <w:color w:val="auto"/>
                <w:szCs w:val="21"/>
                <w:highlight w:val="none"/>
              </w:rPr>
            </w:pPr>
            <w:r>
              <w:rPr>
                <w:bCs/>
                <w:color w:val="auto"/>
                <w:szCs w:val="21"/>
                <w:highlight w:val="none"/>
              </w:rPr>
              <w:t>/</w:t>
            </w:r>
          </w:p>
        </w:tc>
        <w:tc>
          <w:tcPr>
            <w:tcW w:w="1541" w:type="dxa"/>
            <w:vAlign w:val="center"/>
          </w:tcPr>
          <w:p>
            <w:pPr>
              <w:pStyle w:val="46"/>
              <w:rPr>
                <w:rFonts w:eastAsia="宋体"/>
                <w:color w:val="auto"/>
                <w:highlight w:val="none"/>
              </w:rPr>
            </w:pPr>
            <w:r>
              <w:rPr>
                <w:rFonts w:hint="eastAsia" w:eastAsia="宋体"/>
                <w:color w:val="auto"/>
                <w:highlight w:val="none"/>
              </w:rPr>
              <w:t>2.5</w:t>
            </w:r>
          </w:p>
        </w:tc>
        <w:tc>
          <w:tcPr>
            <w:tcW w:w="1244" w:type="dxa"/>
            <w:vAlign w:val="center"/>
          </w:tcPr>
          <w:p>
            <w:pPr>
              <w:pStyle w:val="46"/>
              <w:rPr>
                <w:rFonts w:eastAsia="宋体"/>
                <w:color w:val="auto"/>
                <w:highlight w:val="none"/>
              </w:rPr>
            </w:pPr>
            <w:r>
              <w:rPr>
                <w:rFonts w:hint="eastAsia" w:eastAsia="宋体"/>
                <w:color w:val="auto"/>
                <w:highlight w:val="none"/>
              </w:rPr>
              <w:t>+2.5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460" w:type="dxa"/>
            <w:vAlign w:val="center"/>
          </w:tcPr>
          <w:p>
            <w:pPr>
              <w:pStyle w:val="36"/>
              <w:spacing w:beforeLines="0" w:afterLines="0" w:line="240" w:lineRule="auto"/>
              <w:rPr>
                <w:rFonts w:ascii="Times New Roman" w:hAnsi="Times New Roman" w:eastAsia="宋体" w:cs="Times New Roman"/>
                <w:snapToGrid w:val="0"/>
                <w:color w:val="auto"/>
                <w:kern w:val="21"/>
                <w:szCs w:val="21"/>
                <w:highlight w:val="none"/>
              </w:rPr>
            </w:pPr>
            <w:r>
              <w:rPr>
                <w:rFonts w:ascii="Times New Roman" w:hAnsi="Times New Roman" w:eastAsia="宋体" w:cs="Times New Roman"/>
                <w:snapToGrid w:val="0"/>
                <w:color w:val="auto"/>
                <w:kern w:val="21"/>
                <w:szCs w:val="21"/>
                <w:highlight w:val="none"/>
              </w:rPr>
              <w:t>危险废物</w:t>
            </w:r>
          </w:p>
        </w:tc>
        <w:tc>
          <w:tcPr>
            <w:tcW w:w="1545" w:type="dxa"/>
            <w:vAlign w:val="center"/>
          </w:tcPr>
          <w:p>
            <w:pPr>
              <w:pStyle w:val="46"/>
              <w:rPr>
                <w:rFonts w:eastAsia="宋体"/>
                <w:color w:val="auto"/>
                <w:highlight w:val="none"/>
              </w:rPr>
            </w:pPr>
            <w:r>
              <w:rPr>
                <w:rFonts w:hint="eastAsia" w:eastAsia="宋体"/>
                <w:color w:val="auto"/>
                <w:highlight w:val="none"/>
              </w:rPr>
              <w:t>废活性炭</w:t>
            </w:r>
          </w:p>
        </w:tc>
        <w:tc>
          <w:tcPr>
            <w:tcW w:w="1701" w:type="dxa"/>
            <w:vAlign w:val="center"/>
          </w:tcPr>
          <w:p>
            <w:pPr>
              <w:pStyle w:val="46"/>
              <w:rPr>
                <w:rFonts w:eastAsia="宋体"/>
                <w:color w:val="auto"/>
                <w:highlight w:val="none"/>
              </w:rPr>
            </w:pPr>
            <w:r>
              <w:rPr>
                <w:rFonts w:eastAsia="宋体"/>
                <w:color w:val="auto"/>
                <w:highlight w:val="none"/>
              </w:rPr>
              <w:t>/</w:t>
            </w:r>
          </w:p>
        </w:tc>
        <w:tc>
          <w:tcPr>
            <w:tcW w:w="1276" w:type="dxa"/>
            <w:vAlign w:val="center"/>
          </w:tcPr>
          <w:p>
            <w:pPr>
              <w:jc w:val="center"/>
              <w:rPr>
                <w:bCs/>
                <w:color w:val="auto"/>
                <w:szCs w:val="21"/>
                <w:highlight w:val="none"/>
              </w:rPr>
            </w:pPr>
            <w:r>
              <w:rPr>
                <w:bCs/>
                <w:color w:val="auto"/>
                <w:szCs w:val="21"/>
                <w:highlight w:val="none"/>
              </w:rPr>
              <w:t>/</w:t>
            </w:r>
          </w:p>
        </w:tc>
        <w:tc>
          <w:tcPr>
            <w:tcW w:w="1701" w:type="dxa"/>
            <w:vAlign w:val="center"/>
          </w:tcPr>
          <w:p>
            <w:pPr>
              <w:jc w:val="center"/>
              <w:rPr>
                <w:bCs/>
                <w:color w:val="auto"/>
                <w:szCs w:val="21"/>
                <w:highlight w:val="none"/>
              </w:rPr>
            </w:pPr>
            <w:r>
              <w:rPr>
                <w:bCs/>
                <w:color w:val="auto"/>
                <w:szCs w:val="21"/>
                <w:highlight w:val="none"/>
              </w:rPr>
              <w:t>/</w:t>
            </w:r>
          </w:p>
        </w:tc>
        <w:tc>
          <w:tcPr>
            <w:tcW w:w="1559" w:type="dxa"/>
            <w:vAlign w:val="center"/>
          </w:tcPr>
          <w:p>
            <w:pPr>
              <w:pStyle w:val="46"/>
              <w:rPr>
                <w:rFonts w:hint="default" w:eastAsia="宋体"/>
                <w:color w:val="auto"/>
                <w:kern w:val="0"/>
                <w:highlight w:val="none"/>
                <w:lang w:val="en-US" w:eastAsia="zh-CN"/>
              </w:rPr>
            </w:pPr>
            <w:r>
              <w:rPr>
                <w:rFonts w:hint="eastAsia" w:eastAsia="宋体"/>
                <w:color w:val="auto"/>
                <w:kern w:val="0"/>
                <w:sz w:val="21"/>
                <w:szCs w:val="21"/>
                <w:highlight w:val="none"/>
                <w:lang w:val="en-US" w:eastAsia="zh-CN"/>
              </w:rPr>
              <w:t>2.748</w:t>
            </w:r>
          </w:p>
        </w:tc>
        <w:tc>
          <w:tcPr>
            <w:tcW w:w="1761" w:type="dxa"/>
            <w:vAlign w:val="center"/>
          </w:tcPr>
          <w:p>
            <w:pPr>
              <w:jc w:val="center"/>
              <w:rPr>
                <w:bCs/>
                <w:color w:val="auto"/>
                <w:szCs w:val="21"/>
                <w:highlight w:val="none"/>
              </w:rPr>
            </w:pPr>
            <w:r>
              <w:rPr>
                <w:bCs/>
                <w:color w:val="auto"/>
                <w:szCs w:val="21"/>
                <w:highlight w:val="none"/>
              </w:rPr>
              <w:t>/</w:t>
            </w:r>
          </w:p>
        </w:tc>
        <w:tc>
          <w:tcPr>
            <w:tcW w:w="1541" w:type="dxa"/>
            <w:vAlign w:val="center"/>
          </w:tcPr>
          <w:p>
            <w:pPr>
              <w:jc w:val="center"/>
              <w:rPr>
                <w:rFonts w:hint="default" w:eastAsia="宋体"/>
                <w:color w:val="auto"/>
                <w:kern w:val="0"/>
                <w:highlight w:val="none"/>
                <w:lang w:val="en-US" w:eastAsia="zh-CN"/>
              </w:rPr>
            </w:pPr>
            <w:r>
              <w:rPr>
                <w:rFonts w:hint="eastAsia" w:eastAsia="宋体"/>
                <w:color w:val="auto"/>
                <w:kern w:val="0"/>
                <w:sz w:val="21"/>
                <w:szCs w:val="21"/>
                <w:highlight w:val="none"/>
                <w:lang w:val="en-US" w:eastAsia="zh-CN"/>
              </w:rPr>
              <w:t>2.748</w:t>
            </w:r>
          </w:p>
        </w:tc>
        <w:tc>
          <w:tcPr>
            <w:tcW w:w="1244" w:type="dxa"/>
            <w:vAlign w:val="center"/>
          </w:tcPr>
          <w:p>
            <w:pPr>
              <w:jc w:val="center"/>
              <w:rPr>
                <w:rFonts w:hint="default" w:eastAsia="宋体"/>
                <w:color w:val="auto"/>
                <w:kern w:val="0"/>
                <w:highlight w:val="none"/>
                <w:lang w:val="en-US" w:eastAsia="zh-CN"/>
              </w:rPr>
            </w:pPr>
            <w:r>
              <w:rPr>
                <w:rFonts w:hint="eastAsia"/>
                <w:color w:val="auto"/>
                <w:kern w:val="0"/>
                <w:sz w:val="21"/>
                <w:szCs w:val="21"/>
                <w:highlight w:val="none"/>
                <w:lang w:val="en-US" w:eastAsia="zh-CN"/>
              </w:rPr>
              <w:t>+</w:t>
            </w:r>
            <w:r>
              <w:rPr>
                <w:rFonts w:hint="eastAsia" w:eastAsia="宋体"/>
                <w:color w:val="auto"/>
                <w:kern w:val="0"/>
                <w:sz w:val="21"/>
                <w:szCs w:val="21"/>
                <w:highlight w:val="none"/>
                <w:lang w:val="en-US" w:eastAsia="zh-CN"/>
              </w:rPr>
              <w:t>2.748</w:t>
            </w:r>
          </w:p>
        </w:tc>
      </w:tr>
    </w:tbl>
    <w:p>
      <w:pPr>
        <w:pStyle w:val="36"/>
        <w:spacing w:beforeLines="0" w:afterLines="0" w:line="240" w:lineRule="auto"/>
        <w:jc w:val="left"/>
        <w:rPr>
          <w:rFonts w:ascii="Times New Roman" w:hAnsi="Times New Roman" w:eastAsia="宋体" w:cs="Times New Roman"/>
          <w:snapToGrid w:val="0"/>
          <w:color w:val="auto"/>
          <w:spacing w:val="-6"/>
          <w:kern w:val="21"/>
          <w:szCs w:val="21"/>
          <w:highlight w:val="none"/>
        </w:rPr>
      </w:pPr>
      <w:r>
        <w:rPr>
          <w:rFonts w:ascii="Times New Roman" w:hAnsi="Times New Roman" w:eastAsia="宋体" w:cs="Times New Roman"/>
          <w:snapToGrid w:val="0"/>
          <w:color w:val="auto"/>
          <w:kern w:val="21"/>
          <w:szCs w:val="21"/>
          <w:highlight w:val="none"/>
        </w:rPr>
        <w:t>注：</w:t>
      </w:r>
      <w:r>
        <w:rPr>
          <w:rFonts w:ascii="Times New Roman" w:hAnsi="Times New Roman" w:eastAsia="宋体" w:cs="Times New Roman"/>
          <w:snapToGrid w:val="0"/>
          <w:color w:val="auto"/>
          <w:spacing w:val="-16"/>
          <w:kern w:val="21"/>
          <w:szCs w:val="21"/>
          <w:highlight w:val="none"/>
        </w:rPr>
        <w:fldChar w:fldCharType="begin"/>
      </w:r>
      <w:r>
        <w:rPr>
          <w:rFonts w:ascii="Times New Roman" w:hAnsi="Times New Roman" w:eastAsia="宋体" w:cs="Times New Roman"/>
          <w:snapToGrid w:val="0"/>
          <w:color w:val="auto"/>
          <w:spacing w:val="-16"/>
          <w:kern w:val="21"/>
          <w:szCs w:val="21"/>
          <w:highlight w:val="none"/>
        </w:rPr>
        <w:instrText xml:space="preserve"> = 6 \* GB3 \* MERGEFORMAT </w:instrText>
      </w:r>
      <w:r>
        <w:rPr>
          <w:rFonts w:ascii="Times New Roman" w:hAnsi="Times New Roman" w:eastAsia="宋体" w:cs="Times New Roman"/>
          <w:snapToGrid w:val="0"/>
          <w:color w:val="auto"/>
          <w:spacing w:val="-16"/>
          <w:kern w:val="21"/>
          <w:szCs w:val="21"/>
          <w:highlight w:val="none"/>
        </w:rPr>
        <w:fldChar w:fldCharType="separate"/>
      </w:r>
      <w:r>
        <w:rPr>
          <w:rFonts w:ascii="Times New Roman" w:hAnsi="Times New Roman" w:eastAsia="宋体" w:cs="Times New Roman"/>
          <w:color w:val="auto"/>
          <w:szCs w:val="21"/>
          <w:highlight w:val="none"/>
        </w:rPr>
        <w:t>⑥</w:t>
      </w:r>
      <w:r>
        <w:rPr>
          <w:rFonts w:ascii="Times New Roman" w:hAnsi="Times New Roman" w:eastAsia="宋体" w:cs="Times New Roman"/>
          <w:snapToGrid w:val="0"/>
          <w:color w:val="auto"/>
          <w:spacing w:val="-16"/>
          <w:kern w:val="21"/>
          <w:szCs w:val="21"/>
          <w:highlight w:val="none"/>
        </w:rPr>
        <w:fldChar w:fldCharType="end"/>
      </w:r>
      <w:r>
        <w:rPr>
          <w:rFonts w:ascii="Times New Roman" w:hAnsi="Times New Roman" w:eastAsia="宋体" w:cs="Times New Roman"/>
          <w:snapToGrid w:val="0"/>
          <w:color w:val="auto"/>
          <w:spacing w:val="-16"/>
          <w:kern w:val="21"/>
          <w:szCs w:val="21"/>
          <w:highlight w:val="none"/>
        </w:rPr>
        <w:t>=</w:t>
      </w:r>
      <w:r>
        <w:rPr>
          <w:rFonts w:ascii="Times New Roman" w:hAnsi="Times New Roman" w:eastAsia="宋体" w:cs="Times New Roman"/>
          <w:snapToGrid w:val="0"/>
          <w:color w:val="auto"/>
          <w:spacing w:val="-6"/>
          <w:kern w:val="21"/>
          <w:szCs w:val="21"/>
          <w:highlight w:val="none"/>
        </w:rPr>
        <w:fldChar w:fldCharType="begin"/>
      </w:r>
      <w:r>
        <w:rPr>
          <w:rFonts w:ascii="Times New Roman" w:hAnsi="Times New Roman" w:eastAsia="宋体" w:cs="Times New Roman"/>
          <w:snapToGrid w:val="0"/>
          <w:color w:val="auto"/>
          <w:spacing w:val="-6"/>
          <w:kern w:val="21"/>
          <w:szCs w:val="21"/>
          <w:highlight w:val="none"/>
        </w:rPr>
        <w:instrText xml:space="preserve"> = 1 \* GB3 \* MERGEFORMAT </w:instrText>
      </w:r>
      <w:r>
        <w:rPr>
          <w:rFonts w:ascii="Times New Roman" w:hAnsi="Times New Roman" w:eastAsia="宋体" w:cs="Times New Roman"/>
          <w:snapToGrid w:val="0"/>
          <w:color w:val="auto"/>
          <w:spacing w:val="-6"/>
          <w:kern w:val="21"/>
          <w:szCs w:val="21"/>
          <w:highlight w:val="none"/>
        </w:rPr>
        <w:fldChar w:fldCharType="separate"/>
      </w:r>
      <w:r>
        <w:rPr>
          <w:rFonts w:ascii="Times New Roman" w:hAnsi="Times New Roman" w:eastAsia="宋体" w:cs="Times New Roman"/>
          <w:color w:val="auto"/>
          <w:szCs w:val="21"/>
          <w:highlight w:val="none"/>
        </w:rPr>
        <w:t>①</w:t>
      </w:r>
      <w:r>
        <w:rPr>
          <w:rFonts w:ascii="Times New Roman" w:hAnsi="Times New Roman" w:eastAsia="宋体" w:cs="Times New Roman"/>
          <w:snapToGrid w:val="0"/>
          <w:color w:val="auto"/>
          <w:spacing w:val="-6"/>
          <w:kern w:val="21"/>
          <w:szCs w:val="21"/>
          <w:highlight w:val="none"/>
        </w:rPr>
        <w:fldChar w:fldCharType="end"/>
      </w:r>
      <w:r>
        <w:rPr>
          <w:rFonts w:ascii="Times New Roman" w:hAnsi="Times New Roman" w:eastAsia="宋体" w:cs="Times New Roman"/>
          <w:snapToGrid w:val="0"/>
          <w:color w:val="auto"/>
          <w:spacing w:val="-6"/>
          <w:kern w:val="21"/>
          <w:szCs w:val="21"/>
          <w:highlight w:val="none"/>
        </w:rPr>
        <w:t>+</w:t>
      </w:r>
      <w:r>
        <w:rPr>
          <w:rFonts w:ascii="Times New Roman" w:hAnsi="Times New Roman" w:eastAsia="宋体" w:cs="Times New Roman"/>
          <w:snapToGrid w:val="0"/>
          <w:color w:val="auto"/>
          <w:spacing w:val="-6"/>
          <w:kern w:val="21"/>
          <w:szCs w:val="21"/>
          <w:highlight w:val="none"/>
        </w:rPr>
        <w:fldChar w:fldCharType="begin"/>
      </w:r>
      <w:r>
        <w:rPr>
          <w:rFonts w:ascii="Times New Roman" w:hAnsi="Times New Roman" w:eastAsia="宋体" w:cs="Times New Roman"/>
          <w:snapToGrid w:val="0"/>
          <w:color w:val="auto"/>
          <w:spacing w:val="-6"/>
          <w:kern w:val="21"/>
          <w:szCs w:val="21"/>
          <w:highlight w:val="none"/>
        </w:rPr>
        <w:instrText xml:space="preserve"> = 3 \* GB3 \* MERGEFORMAT </w:instrText>
      </w:r>
      <w:r>
        <w:rPr>
          <w:rFonts w:ascii="Times New Roman" w:hAnsi="Times New Roman" w:eastAsia="宋体" w:cs="Times New Roman"/>
          <w:snapToGrid w:val="0"/>
          <w:color w:val="auto"/>
          <w:spacing w:val="-6"/>
          <w:kern w:val="21"/>
          <w:szCs w:val="21"/>
          <w:highlight w:val="none"/>
        </w:rPr>
        <w:fldChar w:fldCharType="separate"/>
      </w:r>
      <w:r>
        <w:rPr>
          <w:rFonts w:ascii="Times New Roman" w:hAnsi="Times New Roman" w:eastAsia="宋体" w:cs="Times New Roman"/>
          <w:color w:val="auto"/>
          <w:szCs w:val="21"/>
          <w:highlight w:val="none"/>
        </w:rPr>
        <w:t>③</w:t>
      </w:r>
      <w:r>
        <w:rPr>
          <w:rFonts w:ascii="Times New Roman" w:hAnsi="Times New Roman" w:eastAsia="宋体" w:cs="Times New Roman"/>
          <w:snapToGrid w:val="0"/>
          <w:color w:val="auto"/>
          <w:spacing w:val="-6"/>
          <w:kern w:val="21"/>
          <w:szCs w:val="21"/>
          <w:highlight w:val="none"/>
        </w:rPr>
        <w:fldChar w:fldCharType="end"/>
      </w:r>
      <w:r>
        <w:rPr>
          <w:rFonts w:ascii="Times New Roman" w:hAnsi="Times New Roman" w:eastAsia="宋体" w:cs="Times New Roman"/>
          <w:snapToGrid w:val="0"/>
          <w:color w:val="auto"/>
          <w:spacing w:val="-6"/>
          <w:kern w:val="21"/>
          <w:szCs w:val="21"/>
          <w:highlight w:val="none"/>
        </w:rPr>
        <w:t>+</w:t>
      </w:r>
      <w:r>
        <w:rPr>
          <w:rFonts w:ascii="Times New Roman" w:hAnsi="Times New Roman" w:eastAsia="宋体" w:cs="Times New Roman"/>
          <w:snapToGrid w:val="0"/>
          <w:color w:val="auto"/>
          <w:spacing w:val="-6"/>
          <w:kern w:val="21"/>
          <w:szCs w:val="21"/>
          <w:highlight w:val="none"/>
        </w:rPr>
        <w:fldChar w:fldCharType="begin"/>
      </w:r>
      <w:r>
        <w:rPr>
          <w:rFonts w:ascii="Times New Roman" w:hAnsi="Times New Roman" w:eastAsia="宋体" w:cs="Times New Roman"/>
          <w:snapToGrid w:val="0"/>
          <w:color w:val="auto"/>
          <w:spacing w:val="-6"/>
          <w:kern w:val="21"/>
          <w:szCs w:val="21"/>
          <w:highlight w:val="none"/>
        </w:rPr>
        <w:instrText xml:space="preserve"> = 4 \* GB3 \* MERGEFORMAT </w:instrText>
      </w:r>
      <w:r>
        <w:rPr>
          <w:rFonts w:ascii="Times New Roman" w:hAnsi="Times New Roman" w:eastAsia="宋体" w:cs="Times New Roman"/>
          <w:snapToGrid w:val="0"/>
          <w:color w:val="auto"/>
          <w:spacing w:val="-6"/>
          <w:kern w:val="21"/>
          <w:szCs w:val="21"/>
          <w:highlight w:val="none"/>
        </w:rPr>
        <w:fldChar w:fldCharType="separate"/>
      </w:r>
      <w:r>
        <w:rPr>
          <w:rFonts w:ascii="Times New Roman" w:hAnsi="Times New Roman" w:eastAsia="宋体" w:cs="Times New Roman"/>
          <w:color w:val="auto"/>
          <w:szCs w:val="21"/>
          <w:highlight w:val="none"/>
        </w:rPr>
        <w:t>④</w:t>
      </w:r>
      <w:r>
        <w:rPr>
          <w:rFonts w:ascii="Times New Roman" w:hAnsi="Times New Roman" w:eastAsia="宋体" w:cs="Times New Roman"/>
          <w:snapToGrid w:val="0"/>
          <w:color w:val="auto"/>
          <w:spacing w:val="-6"/>
          <w:kern w:val="21"/>
          <w:szCs w:val="21"/>
          <w:highlight w:val="none"/>
        </w:rPr>
        <w:fldChar w:fldCharType="end"/>
      </w:r>
      <w:r>
        <w:rPr>
          <w:rFonts w:ascii="Times New Roman" w:hAnsi="Times New Roman" w:eastAsia="宋体" w:cs="Times New Roman"/>
          <w:snapToGrid w:val="0"/>
          <w:color w:val="auto"/>
          <w:spacing w:val="-6"/>
          <w:kern w:val="21"/>
          <w:szCs w:val="21"/>
          <w:highlight w:val="none"/>
        </w:rPr>
        <w:t>-</w:t>
      </w:r>
      <w:r>
        <w:rPr>
          <w:rFonts w:ascii="Times New Roman" w:hAnsi="Times New Roman" w:eastAsia="宋体" w:cs="Times New Roman"/>
          <w:snapToGrid w:val="0"/>
          <w:color w:val="auto"/>
          <w:spacing w:val="-16"/>
          <w:kern w:val="21"/>
          <w:szCs w:val="21"/>
          <w:highlight w:val="none"/>
        </w:rPr>
        <w:fldChar w:fldCharType="begin"/>
      </w:r>
      <w:r>
        <w:rPr>
          <w:rFonts w:ascii="Times New Roman" w:hAnsi="Times New Roman" w:eastAsia="宋体" w:cs="Times New Roman"/>
          <w:snapToGrid w:val="0"/>
          <w:color w:val="auto"/>
          <w:spacing w:val="-16"/>
          <w:kern w:val="21"/>
          <w:szCs w:val="21"/>
          <w:highlight w:val="none"/>
        </w:rPr>
        <w:instrText xml:space="preserve"> = 5 \* GB3 \* MERGEFORMAT </w:instrText>
      </w:r>
      <w:r>
        <w:rPr>
          <w:rFonts w:ascii="Times New Roman" w:hAnsi="Times New Roman" w:eastAsia="宋体" w:cs="Times New Roman"/>
          <w:snapToGrid w:val="0"/>
          <w:color w:val="auto"/>
          <w:spacing w:val="-16"/>
          <w:kern w:val="21"/>
          <w:szCs w:val="21"/>
          <w:highlight w:val="none"/>
        </w:rPr>
        <w:fldChar w:fldCharType="separate"/>
      </w:r>
      <w:r>
        <w:rPr>
          <w:rFonts w:ascii="Times New Roman" w:hAnsi="Times New Roman" w:eastAsia="宋体" w:cs="Times New Roman"/>
          <w:color w:val="auto"/>
          <w:szCs w:val="21"/>
          <w:highlight w:val="none"/>
        </w:rPr>
        <w:t>⑤</w:t>
      </w:r>
      <w:r>
        <w:rPr>
          <w:rFonts w:ascii="Times New Roman" w:hAnsi="Times New Roman" w:eastAsia="宋体" w:cs="Times New Roman"/>
          <w:snapToGrid w:val="0"/>
          <w:color w:val="auto"/>
          <w:spacing w:val="-16"/>
          <w:kern w:val="21"/>
          <w:szCs w:val="21"/>
          <w:highlight w:val="none"/>
        </w:rPr>
        <w:fldChar w:fldCharType="end"/>
      </w:r>
      <w:r>
        <w:rPr>
          <w:rFonts w:ascii="Times New Roman" w:hAnsi="Times New Roman" w:eastAsia="宋体" w:cs="Times New Roman"/>
          <w:snapToGrid w:val="0"/>
          <w:color w:val="auto"/>
          <w:spacing w:val="-16"/>
          <w:kern w:val="21"/>
          <w:szCs w:val="21"/>
          <w:highlight w:val="none"/>
        </w:rPr>
        <w:t>；</w:t>
      </w:r>
      <w:r>
        <w:rPr>
          <w:rFonts w:ascii="Times New Roman" w:hAnsi="Times New Roman" w:eastAsia="宋体" w:cs="Times New Roman"/>
          <w:snapToGrid w:val="0"/>
          <w:color w:val="auto"/>
          <w:spacing w:val="-6"/>
          <w:kern w:val="21"/>
          <w:szCs w:val="21"/>
          <w:highlight w:val="none"/>
        </w:rPr>
        <w:fldChar w:fldCharType="begin"/>
      </w:r>
      <w:r>
        <w:rPr>
          <w:rFonts w:ascii="Times New Roman" w:hAnsi="Times New Roman" w:eastAsia="宋体" w:cs="Times New Roman"/>
          <w:snapToGrid w:val="0"/>
          <w:color w:val="auto"/>
          <w:spacing w:val="-6"/>
          <w:kern w:val="21"/>
          <w:szCs w:val="21"/>
          <w:highlight w:val="none"/>
        </w:rPr>
        <w:instrText xml:space="preserve"> = 7 \* GB3 \* MERGEFORMAT </w:instrText>
      </w:r>
      <w:r>
        <w:rPr>
          <w:rFonts w:ascii="Times New Roman" w:hAnsi="Times New Roman" w:eastAsia="宋体" w:cs="Times New Roman"/>
          <w:snapToGrid w:val="0"/>
          <w:color w:val="auto"/>
          <w:spacing w:val="-6"/>
          <w:kern w:val="21"/>
          <w:szCs w:val="21"/>
          <w:highlight w:val="none"/>
        </w:rPr>
        <w:fldChar w:fldCharType="separate"/>
      </w:r>
      <w:r>
        <w:rPr>
          <w:rFonts w:ascii="Times New Roman" w:hAnsi="Times New Roman" w:eastAsia="宋体" w:cs="Times New Roman"/>
          <w:color w:val="auto"/>
          <w:szCs w:val="21"/>
          <w:highlight w:val="none"/>
        </w:rPr>
        <w:t>⑦</w:t>
      </w:r>
      <w:r>
        <w:rPr>
          <w:rFonts w:ascii="Times New Roman" w:hAnsi="Times New Roman" w:eastAsia="宋体" w:cs="Times New Roman"/>
          <w:snapToGrid w:val="0"/>
          <w:color w:val="auto"/>
          <w:spacing w:val="-6"/>
          <w:kern w:val="21"/>
          <w:szCs w:val="21"/>
          <w:highlight w:val="none"/>
        </w:rPr>
        <w:fldChar w:fldCharType="end"/>
      </w:r>
      <w:r>
        <w:rPr>
          <w:rFonts w:ascii="Times New Roman" w:hAnsi="Times New Roman" w:eastAsia="宋体" w:cs="Times New Roman"/>
          <w:snapToGrid w:val="0"/>
          <w:color w:val="auto"/>
          <w:spacing w:val="-6"/>
          <w:kern w:val="21"/>
          <w:szCs w:val="21"/>
          <w:highlight w:val="none"/>
        </w:rPr>
        <w:t>=</w:t>
      </w:r>
      <w:r>
        <w:rPr>
          <w:rFonts w:ascii="Times New Roman" w:hAnsi="Times New Roman" w:eastAsia="宋体" w:cs="Times New Roman"/>
          <w:snapToGrid w:val="0"/>
          <w:color w:val="auto"/>
          <w:spacing w:val="-16"/>
          <w:kern w:val="21"/>
          <w:szCs w:val="21"/>
          <w:highlight w:val="none"/>
        </w:rPr>
        <w:fldChar w:fldCharType="begin"/>
      </w:r>
      <w:r>
        <w:rPr>
          <w:rFonts w:ascii="Times New Roman" w:hAnsi="Times New Roman" w:eastAsia="宋体" w:cs="Times New Roman"/>
          <w:snapToGrid w:val="0"/>
          <w:color w:val="auto"/>
          <w:spacing w:val="-16"/>
          <w:kern w:val="21"/>
          <w:szCs w:val="21"/>
          <w:highlight w:val="none"/>
        </w:rPr>
        <w:instrText xml:space="preserve"> = 6 \* GB3 \* MERGEFORMAT </w:instrText>
      </w:r>
      <w:r>
        <w:rPr>
          <w:rFonts w:ascii="Times New Roman" w:hAnsi="Times New Roman" w:eastAsia="宋体" w:cs="Times New Roman"/>
          <w:snapToGrid w:val="0"/>
          <w:color w:val="auto"/>
          <w:spacing w:val="-16"/>
          <w:kern w:val="21"/>
          <w:szCs w:val="21"/>
          <w:highlight w:val="none"/>
        </w:rPr>
        <w:fldChar w:fldCharType="separate"/>
      </w:r>
      <w:r>
        <w:rPr>
          <w:rFonts w:ascii="Times New Roman" w:hAnsi="Times New Roman" w:eastAsia="宋体" w:cs="Times New Roman"/>
          <w:color w:val="auto"/>
          <w:szCs w:val="21"/>
          <w:highlight w:val="none"/>
        </w:rPr>
        <w:t>⑥</w:t>
      </w:r>
      <w:r>
        <w:rPr>
          <w:rFonts w:ascii="Times New Roman" w:hAnsi="Times New Roman" w:eastAsia="宋体" w:cs="Times New Roman"/>
          <w:snapToGrid w:val="0"/>
          <w:color w:val="auto"/>
          <w:spacing w:val="-16"/>
          <w:kern w:val="21"/>
          <w:szCs w:val="21"/>
          <w:highlight w:val="none"/>
        </w:rPr>
        <w:fldChar w:fldCharType="end"/>
      </w:r>
      <w:r>
        <w:rPr>
          <w:rFonts w:ascii="Times New Roman" w:hAnsi="Times New Roman" w:eastAsia="宋体" w:cs="Times New Roman"/>
          <w:snapToGrid w:val="0"/>
          <w:color w:val="auto"/>
          <w:spacing w:val="-16"/>
          <w:kern w:val="21"/>
          <w:szCs w:val="21"/>
          <w:highlight w:val="none"/>
        </w:rPr>
        <w:t>-</w:t>
      </w:r>
      <w:r>
        <w:rPr>
          <w:rFonts w:ascii="Times New Roman" w:hAnsi="Times New Roman" w:eastAsia="宋体" w:cs="Times New Roman"/>
          <w:snapToGrid w:val="0"/>
          <w:color w:val="auto"/>
          <w:spacing w:val="-6"/>
          <w:kern w:val="21"/>
          <w:szCs w:val="21"/>
          <w:highlight w:val="none"/>
        </w:rPr>
        <w:fldChar w:fldCharType="begin"/>
      </w:r>
      <w:r>
        <w:rPr>
          <w:rFonts w:ascii="Times New Roman" w:hAnsi="Times New Roman" w:eastAsia="宋体" w:cs="Times New Roman"/>
          <w:snapToGrid w:val="0"/>
          <w:color w:val="auto"/>
          <w:spacing w:val="-6"/>
          <w:kern w:val="21"/>
          <w:szCs w:val="21"/>
          <w:highlight w:val="none"/>
        </w:rPr>
        <w:instrText xml:space="preserve"> = 1 \* GB3 \* MERGEFORMAT </w:instrText>
      </w:r>
      <w:r>
        <w:rPr>
          <w:rFonts w:ascii="Times New Roman" w:hAnsi="Times New Roman" w:eastAsia="宋体" w:cs="Times New Roman"/>
          <w:snapToGrid w:val="0"/>
          <w:color w:val="auto"/>
          <w:spacing w:val="-6"/>
          <w:kern w:val="21"/>
          <w:szCs w:val="21"/>
          <w:highlight w:val="none"/>
        </w:rPr>
        <w:fldChar w:fldCharType="separate"/>
      </w:r>
      <w:r>
        <w:rPr>
          <w:rFonts w:ascii="Times New Roman" w:hAnsi="Times New Roman" w:eastAsia="宋体" w:cs="Times New Roman"/>
          <w:color w:val="auto"/>
          <w:szCs w:val="21"/>
          <w:highlight w:val="none"/>
        </w:rPr>
        <w:t>①</w:t>
      </w:r>
      <w:r>
        <w:rPr>
          <w:rFonts w:ascii="Times New Roman" w:hAnsi="Times New Roman" w:eastAsia="宋体" w:cs="Times New Roman"/>
          <w:snapToGrid w:val="0"/>
          <w:color w:val="auto"/>
          <w:spacing w:val="-6"/>
          <w:kern w:val="21"/>
          <w:szCs w:val="21"/>
          <w:highlight w:val="none"/>
        </w:rPr>
        <w:fldChar w:fldCharType="end"/>
      </w:r>
    </w:p>
    <w:sectPr>
      <w:footerReference r:id="rId5" w:type="default"/>
      <w:pgSz w:w="16838" w:h="11906" w:orient="landscape"/>
      <w:pgMar w:top="1531" w:right="1701" w:bottom="1531" w:left="1701" w:header="851" w:footer="85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Arial Black">
    <w:panose1 w:val="020B0A04020102020204"/>
    <w:charset w:val="00"/>
    <w:family w:val="swiss"/>
    <w:pitch w:val="default"/>
    <w:sig w:usb0="A00002AF" w:usb1="400078FB" w:usb2="00000000" w:usb3="00000000" w:csb0="6000009F" w:csb1="DFD70000"/>
  </w:font>
  <w:font w:name="方正仿宋_GBK">
    <w:altName w:val="宋体"/>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firstLine="36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6"/>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rPr>
                              <w:rStyle w:val="28"/>
                              <w:rFonts w:ascii="宋体" w:hAnsi="宋体"/>
                              <w:sz w:val="28"/>
                              <w:szCs w:val="28"/>
                            </w:rPr>
                          </w:pPr>
                          <w:r>
                            <w:rPr>
                              <w:rStyle w:val="28"/>
                              <w:rFonts w:ascii="宋体" w:hAnsi="宋体"/>
                              <w:sz w:val="28"/>
                              <w:szCs w:val="28"/>
                            </w:rPr>
                            <w:t xml:space="preserve">— </w:t>
                          </w:r>
                          <w:r>
                            <w:rPr>
                              <w:rStyle w:val="28"/>
                              <w:rFonts w:ascii="宋体" w:hAnsi="宋体"/>
                              <w:sz w:val="28"/>
                              <w:szCs w:val="28"/>
                            </w:rPr>
                            <w:fldChar w:fldCharType="begin"/>
                          </w:r>
                          <w:r>
                            <w:rPr>
                              <w:rStyle w:val="28"/>
                              <w:rFonts w:ascii="宋体" w:hAnsi="宋体"/>
                              <w:sz w:val="28"/>
                              <w:szCs w:val="28"/>
                            </w:rPr>
                            <w:instrText xml:space="preserve"> PAGE  \* MERGEFORMAT </w:instrText>
                          </w:r>
                          <w:r>
                            <w:rPr>
                              <w:rStyle w:val="28"/>
                              <w:rFonts w:ascii="宋体" w:hAnsi="宋体"/>
                              <w:sz w:val="28"/>
                              <w:szCs w:val="28"/>
                            </w:rPr>
                            <w:fldChar w:fldCharType="separate"/>
                          </w:r>
                          <w:r>
                            <w:rPr>
                              <w:rStyle w:val="28"/>
                              <w:rFonts w:ascii="宋体" w:hAnsi="宋体"/>
                              <w:sz w:val="28"/>
                              <w:szCs w:val="28"/>
                            </w:rPr>
                            <w:t>60</w:t>
                          </w:r>
                          <w:r>
                            <w:rPr>
                              <w:rStyle w:val="28"/>
                              <w:rFonts w:ascii="宋体" w:hAnsi="宋体"/>
                              <w:sz w:val="28"/>
                              <w:szCs w:val="28"/>
                            </w:rPr>
                            <w:fldChar w:fldCharType="end"/>
                          </w:r>
                          <w:r>
                            <w:rPr>
                              <w:rStyle w:val="28"/>
                              <w:rFonts w:ascii="宋体" w:hAnsi="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6"/>
                      <w:rPr>
                        <w:rStyle w:val="28"/>
                        <w:rFonts w:ascii="宋体" w:hAnsi="宋体"/>
                        <w:sz w:val="28"/>
                        <w:szCs w:val="28"/>
                      </w:rPr>
                    </w:pPr>
                    <w:r>
                      <w:rPr>
                        <w:rStyle w:val="28"/>
                        <w:rFonts w:ascii="宋体" w:hAnsi="宋体"/>
                        <w:sz w:val="28"/>
                        <w:szCs w:val="28"/>
                      </w:rPr>
                      <w:t xml:space="preserve">— </w:t>
                    </w:r>
                    <w:r>
                      <w:rPr>
                        <w:rStyle w:val="28"/>
                        <w:rFonts w:ascii="宋体" w:hAnsi="宋体"/>
                        <w:sz w:val="28"/>
                        <w:szCs w:val="28"/>
                      </w:rPr>
                      <w:fldChar w:fldCharType="begin"/>
                    </w:r>
                    <w:r>
                      <w:rPr>
                        <w:rStyle w:val="28"/>
                        <w:rFonts w:ascii="宋体" w:hAnsi="宋体"/>
                        <w:sz w:val="28"/>
                        <w:szCs w:val="28"/>
                      </w:rPr>
                      <w:instrText xml:space="preserve"> PAGE  \* MERGEFORMAT </w:instrText>
                    </w:r>
                    <w:r>
                      <w:rPr>
                        <w:rStyle w:val="28"/>
                        <w:rFonts w:ascii="宋体" w:hAnsi="宋体"/>
                        <w:sz w:val="28"/>
                        <w:szCs w:val="28"/>
                      </w:rPr>
                      <w:fldChar w:fldCharType="separate"/>
                    </w:r>
                    <w:r>
                      <w:rPr>
                        <w:rStyle w:val="28"/>
                        <w:rFonts w:ascii="宋体" w:hAnsi="宋体"/>
                        <w:sz w:val="28"/>
                        <w:szCs w:val="28"/>
                      </w:rPr>
                      <w:t>60</w:t>
                    </w:r>
                    <w:r>
                      <w:rPr>
                        <w:rStyle w:val="28"/>
                        <w:rFonts w:ascii="宋体" w:hAnsi="宋体"/>
                        <w:sz w:val="28"/>
                        <w:szCs w:val="28"/>
                      </w:rPr>
                      <w:fldChar w:fldCharType="end"/>
                    </w:r>
                    <w:r>
                      <w:rPr>
                        <w:rStyle w:val="28"/>
                        <w:rFonts w:ascii="宋体" w:hAnsi="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6C8C88"/>
    <w:multiLevelType w:val="singleLevel"/>
    <w:tmpl w:val="966C8C88"/>
    <w:lvl w:ilvl="0" w:tentative="0">
      <w:start w:val="3"/>
      <w:numFmt w:val="decimal"/>
      <w:suff w:val="nothing"/>
      <w:lvlText w:val="%1、"/>
      <w:lvlJc w:val="left"/>
    </w:lvl>
  </w:abstractNum>
  <w:abstractNum w:abstractNumId="1">
    <w:nsid w:val="9758DF4E"/>
    <w:multiLevelType w:val="singleLevel"/>
    <w:tmpl w:val="9758DF4E"/>
    <w:lvl w:ilvl="0" w:tentative="0">
      <w:start w:val="2"/>
      <w:numFmt w:val="decimal"/>
      <w:suff w:val="nothing"/>
      <w:lvlText w:val="%1）"/>
      <w:lvlJc w:val="left"/>
    </w:lvl>
  </w:abstractNum>
  <w:abstractNum w:abstractNumId="2">
    <w:nsid w:val="9FA79559"/>
    <w:multiLevelType w:val="singleLevel"/>
    <w:tmpl w:val="9FA79559"/>
    <w:lvl w:ilvl="0" w:tentative="0">
      <w:start w:val="5"/>
      <w:numFmt w:val="decimal"/>
      <w:suff w:val="nothing"/>
      <w:lvlText w:val="%1、"/>
      <w:lvlJc w:val="left"/>
    </w:lvl>
  </w:abstractNum>
  <w:abstractNum w:abstractNumId="3">
    <w:nsid w:val="A6E30975"/>
    <w:multiLevelType w:val="singleLevel"/>
    <w:tmpl w:val="A6E30975"/>
    <w:lvl w:ilvl="0" w:tentative="0">
      <w:start w:val="5"/>
      <w:numFmt w:val="decimal"/>
      <w:suff w:val="nothing"/>
      <w:lvlText w:val="%1、"/>
      <w:lvlJc w:val="left"/>
    </w:lvl>
  </w:abstractNum>
  <w:abstractNum w:abstractNumId="4">
    <w:nsid w:val="D0F1C066"/>
    <w:multiLevelType w:val="singleLevel"/>
    <w:tmpl w:val="D0F1C066"/>
    <w:lvl w:ilvl="0" w:tentative="0">
      <w:start w:val="1"/>
      <w:numFmt w:val="upperLetter"/>
      <w:suff w:val="nothing"/>
      <w:lvlText w:val="%1、"/>
      <w:lvlJc w:val="left"/>
    </w:lvl>
  </w:abstractNum>
  <w:abstractNum w:abstractNumId="5">
    <w:nsid w:val="00000004"/>
    <w:multiLevelType w:val="multilevel"/>
    <w:tmpl w:val="00000004"/>
    <w:lvl w:ilvl="0" w:tentative="0">
      <w:start w:val="1"/>
      <w:numFmt w:val="upperRoman"/>
      <w:lvlText w:val="%1."/>
      <w:lvlJc w:val="left"/>
      <w:pPr>
        <w:tabs>
          <w:tab w:val="left" w:pos="425"/>
        </w:tabs>
        <w:ind w:left="0" w:firstLine="0"/>
      </w:pPr>
    </w:lvl>
    <w:lvl w:ilvl="1" w:tentative="0">
      <w:start w:val="1"/>
      <w:numFmt w:val="upperLetter"/>
      <w:lvlText w:val="%2."/>
      <w:lvlJc w:val="left"/>
      <w:pPr>
        <w:tabs>
          <w:tab w:val="left" w:pos="1276"/>
        </w:tabs>
        <w:ind w:left="851" w:firstLine="0"/>
      </w:pPr>
    </w:lvl>
    <w:lvl w:ilvl="2" w:tentative="0">
      <w:start w:val="1"/>
      <w:numFmt w:val="decimal"/>
      <w:pStyle w:val="5"/>
      <w:lvlText w:val="%3."/>
      <w:lvlJc w:val="left"/>
      <w:pPr>
        <w:tabs>
          <w:tab w:val="left" w:pos="2126"/>
        </w:tabs>
        <w:ind w:left="1701" w:firstLine="0"/>
      </w:pPr>
    </w:lvl>
    <w:lvl w:ilvl="3" w:tentative="0">
      <w:start w:val="1"/>
      <w:numFmt w:val="lowerLetter"/>
      <w:lvlText w:val="%4)"/>
      <w:lvlJc w:val="left"/>
      <w:pPr>
        <w:tabs>
          <w:tab w:val="left" w:pos="2976"/>
        </w:tabs>
        <w:ind w:left="2551" w:firstLine="0"/>
      </w:pPr>
    </w:lvl>
    <w:lvl w:ilvl="4" w:tentative="0">
      <w:start w:val="1"/>
      <w:numFmt w:val="decimal"/>
      <w:lvlText w:val="(%5)"/>
      <w:lvlJc w:val="left"/>
      <w:pPr>
        <w:tabs>
          <w:tab w:val="left" w:pos="3827"/>
        </w:tabs>
        <w:ind w:left="3402" w:firstLine="0"/>
      </w:pPr>
    </w:lvl>
    <w:lvl w:ilvl="5" w:tentative="0">
      <w:start w:val="1"/>
      <w:numFmt w:val="lowerLetter"/>
      <w:lvlText w:val="(%6)"/>
      <w:lvlJc w:val="left"/>
      <w:pPr>
        <w:tabs>
          <w:tab w:val="left" w:pos="4677"/>
        </w:tabs>
        <w:ind w:left="4252" w:firstLine="0"/>
      </w:p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6">
    <w:nsid w:val="0A448FCA"/>
    <w:multiLevelType w:val="singleLevel"/>
    <w:tmpl w:val="0A448FCA"/>
    <w:lvl w:ilvl="0" w:tentative="0">
      <w:start w:val="2"/>
      <w:numFmt w:val="decimal"/>
      <w:suff w:val="nothing"/>
      <w:lvlText w:val="%1、"/>
      <w:lvlJc w:val="left"/>
      <w:pPr>
        <w:ind w:left="600" w:firstLine="0"/>
      </w:pPr>
    </w:lvl>
  </w:abstractNum>
  <w:abstractNum w:abstractNumId="7">
    <w:nsid w:val="33D106B7"/>
    <w:multiLevelType w:val="singleLevel"/>
    <w:tmpl w:val="33D106B7"/>
    <w:lvl w:ilvl="0" w:tentative="0">
      <w:start w:val="1"/>
      <w:numFmt w:val="bullet"/>
      <w:pStyle w:val="14"/>
      <w:lvlText w:val=""/>
      <w:lvlJc w:val="left"/>
      <w:pPr>
        <w:tabs>
          <w:tab w:val="left" w:pos="2040"/>
        </w:tabs>
        <w:ind w:left="2040" w:hanging="360"/>
      </w:pPr>
      <w:rPr>
        <w:rFonts w:hint="default" w:ascii="Wingdings" w:hAnsi="Wingdings"/>
      </w:rPr>
    </w:lvl>
  </w:abstractNum>
  <w:abstractNum w:abstractNumId="8">
    <w:nsid w:val="54735D6F"/>
    <w:multiLevelType w:val="singleLevel"/>
    <w:tmpl w:val="54735D6F"/>
    <w:lvl w:ilvl="0" w:tentative="0">
      <w:start w:val="1"/>
      <w:numFmt w:val="decimal"/>
      <w:suff w:val="nothing"/>
      <w:lvlText w:val="（%1）"/>
      <w:lvlJc w:val="left"/>
    </w:lvl>
  </w:abstractNum>
  <w:abstractNum w:abstractNumId="9">
    <w:nsid w:val="571BE45E"/>
    <w:multiLevelType w:val="singleLevel"/>
    <w:tmpl w:val="571BE45E"/>
    <w:lvl w:ilvl="0" w:tentative="0">
      <w:start w:val="1"/>
      <w:numFmt w:val="decimal"/>
      <w:suff w:val="nothing"/>
      <w:lvlText w:val="%1、"/>
      <w:lvlJc w:val="left"/>
    </w:lvl>
  </w:abstractNum>
  <w:abstractNum w:abstractNumId="10">
    <w:nsid w:val="5FAB8F4B"/>
    <w:multiLevelType w:val="singleLevel"/>
    <w:tmpl w:val="5FAB8F4B"/>
    <w:lvl w:ilvl="0" w:tentative="0">
      <w:start w:val="2"/>
      <w:numFmt w:val="decimal"/>
      <w:suff w:val="nothing"/>
      <w:lvlText w:val="（%1）"/>
      <w:lvlJc w:val="left"/>
      <w:pPr>
        <w:ind w:left="420" w:leftChars="0" w:firstLine="0" w:firstLineChars="0"/>
      </w:pPr>
    </w:lvl>
  </w:abstractNum>
  <w:num w:numId="1">
    <w:abstractNumId w:val="5"/>
  </w:num>
  <w:num w:numId="2">
    <w:abstractNumId w:val="7"/>
  </w:num>
  <w:num w:numId="3">
    <w:abstractNumId w:val="3"/>
  </w:num>
  <w:num w:numId="4">
    <w:abstractNumId w:val="1"/>
  </w:num>
  <w:num w:numId="5">
    <w:abstractNumId w:val="10"/>
  </w:num>
  <w:num w:numId="6">
    <w:abstractNumId w:val="2"/>
  </w:num>
  <w:num w:numId="7">
    <w:abstractNumId w:val="0"/>
  </w:num>
  <w:num w:numId="8">
    <w:abstractNumId w:val="8"/>
  </w:num>
  <w:num w:numId="9">
    <w:abstractNumId w:val="9"/>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lZGY1MzRlZTI1Njg5YTk1MDRhYWEzMWU1YzkwYWMifQ=="/>
  </w:docVars>
  <w:rsids>
    <w:rsidRoot w:val="00172A27"/>
    <w:rsid w:val="0002117A"/>
    <w:rsid w:val="0002561E"/>
    <w:rsid w:val="00033F8C"/>
    <w:rsid w:val="000454E6"/>
    <w:rsid w:val="00066EBC"/>
    <w:rsid w:val="00073035"/>
    <w:rsid w:val="000842B9"/>
    <w:rsid w:val="000879F0"/>
    <w:rsid w:val="0009190B"/>
    <w:rsid w:val="00092509"/>
    <w:rsid w:val="000C60B9"/>
    <w:rsid w:val="000E3FC3"/>
    <w:rsid w:val="0011000E"/>
    <w:rsid w:val="00114AD7"/>
    <w:rsid w:val="00116791"/>
    <w:rsid w:val="00172A27"/>
    <w:rsid w:val="00174926"/>
    <w:rsid w:val="00175E35"/>
    <w:rsid w:val="00181149"/>
    <w:rsid w:val="00196FE3"/>
    <w:rsid w:val="001B519C"/>
    <w:rsid w:val="001D7AD4"/>
    <w:rsid w:val="001E2778"/>
    <w:rsid w:val="00204C36"/>
    <w:rsid w:val="00252BA8"/>
    <w:rsid w:val="00254083"/>
    <w:rsid w:val="002B2984"/>
    <w:rsid w:val="002C7597"/>
    <w:rsid w:val="002D6181"/>
    <w:rsid w:val="002E55B6"/>
    <w:rsid w:val="002F727B"/>
    <w:rsid w:val="00302469"/>
    <w:rsid w:val="00327888"/>
    <w:rsid w:val="00337586"/>
    <w:rsid w:val="003C049E"/>
    <w:rsid w:val="003D2CAF"/>
    <w:rsid w:val="003E09B4"/>
    <w:rsid w:val="003F23CE"/>
    <w:rsid w:val="003F71F1"/>
    <w:rsid w:val="00456339"/>
    <w:rsid w:val="004573D6"/>
    <w:rsid w:val="00484841"/>
    <w:rsid w:val="004934B0"/>
    <w:rsid w:val="004A1E42"/>
    <w:rsid w:val="004C01CD"/>
    <w:rsid w:val="004F015F"/>
    <w:rsid w:val="00524BFD"/>
    <w:rsid w:val="005334F9"/>
    <w:rsid w:val="00535720"/>
    <w:rsid w:val="0058591B"/>
    <w:rsid w:val="0059499F"/>
    <w:rsid w:val="005C25AA"/>
    <w:rsid w:val="00604D6E"/>
    <w:rsid w:val="00613244"/>
    <w:rsid w:val="00627E6B"/>
    <w:rsid w:val="006401CA"/>
    <w:rsid w:val="00674ED6"/>
    <w:rsid w:val="006872BD"/>
    <w:rsid w:val="006908C1"/>
    <w:rsid w:val="006A7A28"/>
    <w:rsid w:val="006E05BE"/>
    <w:rsid w:val="006E6F32"/>
    <w:rsid w:val="006F7DD1"/>
    <w:rsid w:val="007264B6"/>
    <w:rsid w:val="00760D7E"/>
    <w:rsid w:val="00774BA1"/>
    <w:rsid w:val="00784C70"/>
    <w:rsid w:val="007908E4"/>
    <w:rsid w:val="00801E30"/>
    <w:rsid w:val="00813768"/>
    <w:rsid w:val="00826231"/>
    <w:rsid w:val="00841929"/>
    <w:rsid w:val="00893649"/>
    <w:rsid w:val="008A1D7C"/>
    <w:rsid w:val="008B7D2A"/>
    <w:rsid w:val="008E38AF"/>
    <w:rsid w:val="008F408F"/>
    <w:rsid w:val="009028EB"/>
    <w:rsid w:val="00905E16"/>
    <w:rsid w:val="00916763"/>
    <w:rsid w:val="00917EAC"/>
    <w:rsid w:val="00922ECA"/>
    <w:rsid w:val="0093263C"/>
    <w:rsid w:val="0094681D"/>
    <w:rsid w:val="00950DB4"/>
    <w:rsid w:val="00960052"/>
    <w:rsid w:val="00970895"/>
    <w:rsid w:val="009B1C45"/>
    <w:rsid w:val="00A11C9A"/>
    <w:rsid w:val="00A152FD"/>
    <w:rsid w:val="00A32E5D"/>
    <w:rsid w:val="00A816C3"/>
    <w:rsid w:val="00A85516"/>
    <w:rsid w:val="00AB3452"/>
    <w:rsid w:val="00AC0C54"/>
    <w:rsid w:val="00AC74F0"/>
    <w:rsid w:val="00AF09DB"/>
    <w:rsid w:val="00B114C0"/>
    <w:rsid w:val="00B15F11"/>
    <w:rsid w:val="00B16F73"/>
    <w:rsid w:val="00B32B28"/>
    <w:rsid w:val="00B35724"/>
    <w:rsid w:val="00B46493"/>
    <w:rsid w:val="00B47037"/>
    <w:rsid w:val="00B62A0A"/>
    <w:rsid w:val="00B82CF3"/>
    <w:rsid w:val="00B908CC"/>
    <w:rsid w:val="00B92181"/>
    <w:rsid w:val="00BA30E4"/>
    <w:rsid w:val="00BC24C7"/>
    <w:rsid w:val="00BE506B"/>
    <w:rsid w:val="00BE7C9F"/>
    <w:rsid w:val="00BF2D25"/>
    <w:rsid w:val="00C32571"/>
    <w:rsid w:val="00C70731"/>
    <w:rsid w:val="00C758CC"/>
    <w:rsid w:val="00C909C9"/>
    <w:rsid w:val="00CC3C1F"/>
    <w:rsid w:val="00CC4481"/>
    <w:rsid w:val="00CE5D51"/>
    <w:rsid w:val="00CF0CF4"/>
    <w:rsid w:val="00D060C0"/>
    <w:rsid w:val="00D5345E"/>
    <w:rsid w:val="00D54601"/>
    <w:rsid w:val="00D90106"/>
    <w:rsid w:val="00D913C1"/>
    <w:rsid w:val="00D92C91"/>
    <w:rsid w:val="00DB2BE4"/>
    <w:rsid w:val="00DC7A54"/>
    <w:rsid w:val="00DC7C61"/>
    <w:rsid w:val="00DF0BCF"/>
    <w:rsid w:val="00E05E6D"/>
    <w:rsid w:val="00E2257C"/>
    <w:rsid w:val="00E25F0B"/>
    <w:rsid w:val="00E57AE5"/>
    <w:rsid w:val="00E755A4"/>
    <w:rsid w:val="00E85BEF"/>
    <w:rsid w:val="00EB40AC"/>
    <w:rsid w:val="00EC6526"/>
    <w:rsid w:val="00F16101"/>
    <w:rsid w:val="00F32A18"/>
    <w:rsid w:val="00F3550E"/>
    <w:rsid w:val="00F37418"/>
    <w:rsid w:val="00F429F4"/>
    <w:rsid w:val="00F538F5"/>
    <w:rsid w:val="00F55B88"/>
    <w:rsid w:val="00F71927"/>
    <w:rsid w:val="00F84653"/>
    <w:rsid w:val="00FE7ED4"/>
    <w:rsid w:val="01027FD7"/>
    <w:rsid w:val="01057174"/>
    <w:rsid w:val="010C68E2"/>
    <w:rsid w:val="011C0208"/>
    <w:rsid w:val="011E7841"/>
    <w:rsid w:val="013637D1"/>
    <w:rsid w:val="015200EF"/>
    <w:rsid w:val="015761D9"/>
    <w:rsid w:val="015772A4"/>
    <w:rsid w:val="016025FC"/>
    <w:rsid w:val="016320EC"/>
    <w:rsid w:val="01674863"/>
    <w:rsid w:val="016D6E27"/>
    <w:rsid w:val="01726299"/>
    <w:rsid w:val="0173611A"/>
    <w:rsid w:val="01736F5E"/>
    <w:rsid w:val="01745BC9"/>
    <w:rsid w:val="017B429C"/>
    <w:rsid w:val="01822154"/>
    <w:rsid w:val="018314F7"/>
    <w:rsid w:val="01837814"/>
    <w:rsid w:val="0187193F"/>
    <w:rsid w:val="018777ED"/>
    <w:rsid w:val="018C1643"/>
    <w:rsid w:val="01901C31"/>
    <w:rsid w:val="01973B44"/>
    <w:rsid w:val="01A7022B"/>
    <w:rsid w:val="01AF1E59"/>
    <w:rsid w:val="01C165E5"/>
    <w:rsid w:val="01C30AFD"/>
    <w:rsid w:val="01C40DDD"/>
    <w:rsid w:val="01C71945"/>
    <w:rsid w:val="01C94F17"/>
    <w:rsid w:val="01CA5DA6"/>
    <w:rsid w:val="01D129DD"/>
    <w:rsid w:val="01D46B46"/>
    <w:rsid w:val="01DB6127"/>
    <w:rsid w:val="01E54E65"/>
    <w:rsid w:val="01E943A0"/>
    <w:rsid w:val="01ED7F60"/>
    <w:rsid w:val="01EE7C08"/>
    <w:rsid w:val="01FD26C6"/>
    <w:rsid w:val="02022A15"/>
    <w:rsid w:val="02062685"/>
    <w:rsid w:val="020B410D"/>
    <w:rsid w:val="020D1518"/>
    <w:rsid w:val="02184C85"/>
    <w:rsid w:val="02220647"/>
    <w:rsid w:val="02274EC8"/>
    <w:rsid w:val="022A5B77"/>
    <w:rsid w:val="022D3909"/>
    <w:rsid w:val="022E26FA"/>
    <w:rsid w:val="022E545B"/>
    <w:rsid w:val="02315D47"/>
    <w:rsid w:val="023B6E3B"/>
    <w:rsid w:val="023E696D"/>
    <w:rsid w:val="023F0464"/>
    <w:rsid w:val="02441F1E"/>
    <w:rsid w:val="02464EB4"/>
    <w:rsid w:val="024A5E03"/>
    <w:rsid w:val="024D24FC"/>
    <w:rsid w:val="025739FF"/>
    <w:rsid w:val="026223A4"/>
    <w:rsid w:val="026F09C5"/>
    <w:rsid w:val="02783CAF"/>
    <w:rsid w:val="027D02C2"/>
    <w:rsid w:val="02810A7C"/>
    <w:rsid w:val="02842CE9"/>
    <w:rsid w:val="029307AF"/>
    <w:rsid w:val="02936A01"/>
    <w:rsid w:val="02960C22"/>
    <w:rsid w:val="029C1412"/>
    <w:rsid w:val="02A16212"/>
    <w:rsid w:val="02AA5749"/>
    <w:rsid w:val="02B26159"/>
    <w:rsid w:val="02BB74E5"/>
    <w:rsid w:val="02C13975"/>
    <w:rsid w:val="02D934C2"/>
    <w:rsid w:val="02E01C47"/>
    <w:rsid w:val="02E33464"/>
    <w:rsid w:val="02E35293"/>
    <w:rsid w:val="03031491"/>
    <w:rsid w:val="030729E9"/>
    <w:rsid w:val="030B27C9"/>
    <w:rsid w:val="03157416"/>
    <w:rsid w:val="03194D2B"/>
    <w:rsid w:val="033A2522"/>
    <w:rsid w:val="033B50CF"/>
    <w:rsid w:val="03444E33"/>
    <w:rsid w:val="03541CED"/>
    <w:rsid w:val="03555A65"/>
    <w:rsid w:val="035937A7"/>
    <w:rsid w:val="036304D8"/>
    <w:rsid w:val="03655A3E"/>
    <w:rsid w:val="03700244"/>
    <w:rsid w:val="039279C0"/>
    <w:rsid w:val="0393061A"/>
    <w:rsid w:val="039B5B6E"/>
    <w:rsid w:val="039C57C0"/>
    <w:rsid w:val="03A4539A"/>
    <w:rsid w:val="03A70337"/>
    <w:rsid w:val="03A762C0"/>
    <w:rsid w:val="03B24E15"/>
    <w:rsid w:val="03B66504"/>
    <w:rsid w:val="03B95FF4"/>
    <w:rsid w:val="03C079CE"/>
    <w:rsid w:val="03C46C60"/>
    <w:rsid w:val="03C47B39"/>
    <w:rsid w:val="03D03378"/>
    <w:rsid w:val="03D177E1"/>
    <w:rsid w:val="03D45008"/>
    <w:rsid w:val="03D56A09"/>
    <w:rsid w:val="03D96696"/>
    <w:rsid w:val="03E017D2"/>
    <w:rsid w:val="03E73D66"/>
    <w:rsid w:val="03EA6449"/>
    <w:rsid w:val="03EA6E5D"/>
    <w:rsid w:val="03EF7C67"/>
    <w:rsid w:val="04066AEC"/>
    <w:rsid w:val="04090D29"/>
    <w:rsid w:val="041816A7"/>
    <w:rsid w:val="041F585D"/>
    <w:rsid w:val="04207E21"/>
    <w:rsid w:val="04216232"/>
    <w:rsid w:val="042B202D"/>
    <w:rsid w:val="042B5143"/>
    <w:rsid w:val="045C1834"/>
    <w:rsid w:val="04652B0C"/>
    <w:rsid w:val="04685FD3"/>
    <w:rsid w:val="04730C2E"/>
    <w:rsid w:val="047563BF"/>
    <w:rsid w:val="047D34C5"/>
    <w:rsid w:val="04815C0A"/>
    <w:rsid w:val="048F2693"/>
    <w:rsid w:val="04926F71"/>
    <w:rsid w:val="04957FE5"/>
    <w:rsid w:val="04983177"/>
    <w:rsid w:val="04993E34"/>
    <w:rsid w:val="04A2625C"/>
    <w:rsid w:val="04BD1FD2"/>
    <w:rsid w:val="04C410F4"/>
    <w:rsid w:val="04C735F7"/>
    <w:rsid w:val="04C7405C"/>
    <w:rsid w:val="04C82350"/>
    <w:rsid w:val="04D55A8D"/>
    <w:rsid w:val="04D56F5C"/>
    <w:rsid w:val="04D57F4C"/>
    <w:rsid w:val="04D96EE6"/>
    <w:rsid w:val="04EA1B96"/>
    <w:rsid w:val="04F70279"/>
    <w:rsid w:val="04FC6BD2"/>
    <w:rsid w:val="04FF3EDA"/>
    <w:rsid w:val="05053B00"/>
    <w:rsid w:val="05126C96"/>
    <w:rsid w:val="051915BE"/>
    <w:rsid w:val="051C7A20"/>
    <w:rsid w:val="05201461"/>
    <w:rsid w:val="05217E87"/>
    <w:rsid w:val="0525564C"/>
    <w:rsid w:val="05283431"/>
    <w:rsid w:val="0531303F"/>
    <w:rsid w:val="053D043C"/>
    <w:rsid w:val="054008DA"/>
    <w:rsid w:val="05467A28"/>
    <w:rsid w:val="054740E0"/>
    <w:rsid w:val="05483AD3"/>
    <w:rsid w:val="05490DD4"/>
    <w:rsid w:val="05595CE0"/>
    <w:rsid w:val="055C3E64"/>
    <w:rsid w:val="055F45A5"/>
    <w:rsid w:val="056A1C9B"/>
    <w:rsid w:val="0571302A"/>
    <w:rsid w:val="0580326D"/>
    <w:rsid w:val="05850242"/>
    <w:rsid w:val="059371A7"/>
    <w:rsid w:val="05981969"/>
    <w:rsid w:val="05AD7DDA"/>
    <w:rsid w:val="05AF1DBA"/>
    <w:rsid w:val="05B50853"/>
    <w:rsid w:val="05B64EE1"/>
    <w:rsid w:val="05CF1150"/>
    <w:rsid w:val="05D11D1B"/>
    <w:rsid w:val="05E40E09"/>
    <w:rsid w:val="05E80E12"/>
    <w:rsid w:val="05F45A09"/>
    <w:rsid w:val="05F515E8"/>
    <w:rsid w:val="05F62EDC"/>
    <w:rsid w:val="06043451"/>
    <w:rsid w:val="0608134E"/>
    <w:rsid w:val="060E5145"/>
    <w:rsid w:val="060F19C1"/>
    <w:rsid w:val="0612623D"/>
    <w:rsid w:val="06185ABE"/>
    <w:rsid w:val="062942AD"/>
    <w:rsid w:val="062B0382"/>
    <w:rsid w:val="063022EA"/>
    <w:rsid w:val="06331310"/>
    <w:rsid w:val="06363491"/>
    <w:rsid w:val="064222D0"/>
    <w:rsid w:val="06453B94"/>
    <w:rsid w:val="064918B1"/>
    <w:rsid w:val="065663FB"/>
    <w:rsid w:val="066C37F1"/>
    <w:rsid w:val="066E7431"/>
    <w:rsid w:val="06742C36"/>
    <w:rsid w:val="068925E8"/>
    <w:rsid w:val="06892817"/>
    <w:rsid w:val="068D109E"/>
    <w:rsid w:val="069E25D9"/>
    <w:rsid w:val="06A232C1"/>
    <w:rsid w:val="06AC0092"/>
    <w:rsid w:val="06AE6A66"/>
    <w:rsid w:val="06AF2033"/>
    <w:rsid w:val="06B630BC"/>
    <w:rsid w:val="06B86A37"/>
    <w:rsid w:val="06BF72AF"/>
    <w:rsid w:val="06CB62A4"/>
    <w:rsid w:val="06D41A55"/>
    <w:rsid w:val="06D7684F"/>
    <w:rsid w:val="06EE7E3E"/>
    <w:rsid w:val="06F35CC1"/>
    <w:rsid w:val="06FC6923"/>
    <w:rsid w:val="07057767"/>
    <w:rsid w:val="07225256"/>
    <w:rsid w:val="07235607"/>
    <w:rsid w:val="07462994"/>
    <w:rsid w:val="074B2DCD"/>
    <w:rsid w:val="074D4E4E"/>
    <w:rsid w:val="074E471E"/>
    <w:rsid w:val="077E3A21"/>
    <w:rsid w:val="07832BA1"/>
    <w:rsid w:val="07862942"/>
    <w:rsid w:val="078828AD"/>
    <w:rsid w:val="078D3874"/>
    <w:rsid w:val="078D3A1F"/>
    <w:rsid w:val="07A0163F"/>
    <w:rsid w:val="07B0770E"/>
    <w:rsid w:val="07B52E7C"/>
    <w:rsid w:val="07C66F31"/>
    <w:rsid w:val="07CE5A00"/>
    <w:rsid w:val="07CF4038"/>
    <w:rsid w:val="07DE427B"/>
    <w:rsid w:val="07E624E0"/>
    <w:rsid w:val="07FA451A"/>
    <w:rsid w:val="08012ABE"/>
    <w:rsid w:val="080143BB"/>
    <w:rsid w:val="08070A87"/>
    <w:rsid w:val="080D338D"/>
    <w:rsid w:val="080F4C49"/>
    <w:rsid w:val="08174783"/>
    <w:rsid w:val="08193A3D"/>
    <w:rsid w:val="08217135"/>
    <w:rsid w:val="0831775A"/>
    <w:rsid w:val="083D4E69"/>
    <w:rsid w:val="08457301"/>
    <w:rsid w:val="084A265F"/>
    <w:rsid w:val="085104E0"/>
    <w:rsid w:val="08634780"/>
    <w:rsid w:val="0863779F"/>
    <w:rsid w:val="08674270"/>
    <w:rsid w:val="086B3224"/>
    <w:rsid w:val="08740015"/>
    <w:rsid w:val="08775B32"/>
    <w:rsid w:val="0879127D"/>
    <w:rsid w:val="087D1CE6"/>
    <w:rsid w:val="08805332"/>
    <w:rsid w:val="088860AA"/>
    <w:rsid w:val="088C1F29"/>
    <w:rsid w:val="0897047A"/>
    <w:rsid w:val="08A35E7B"/>
    <w:rsid w:val="08B0218E"/>
    <w:rsid w:val="08C373D9"/>
    <w:rsid w:val="08C461D1"/>
    <w:rsid w:val="08CA02D0"/>
    <w:rsid w:val="08D613F6"/>
    <w:rsid w:val="08F7586D"/>
    <w:rsid w:val="08FC1879"/>
    <w:rsid w:val="091268D2"/>
    <w:rsid w:val="09132327"/>
    <w:rsid w:val="09191057"/>
    <w:rsid w:val="092108C3"/>
    <w:rsid w:val="09214DEC"/>
    <w:rsid w:val="092164F6"/>
    <w:rsid w:val="09245061"/>
    <w:rsid w:val="09282618"/>
    <w:rsid w:val="092A3C3E"/>
    <w:rsid w:val="0935611C"/>
    <w:rsid w:val="09391870"/>
    <w:rsid w:val="093B4B98"/>
    <w:rsid w:val="093D3223"/>
    <w:rsid w:val="09410F65"/>
    <w:rsid w:val="094D16B8"/>
    <w:rsid w:val="095A2027"/>
    <w:rsid w:val="095E1B17"/>
    <w:rsid w:val="09713E3C"/>
    <w:rsid w:val="097529BD"/>
    <w:rsid w:val="09761B17"/>
    <w:rsid w:val="097A4477"/>
    <w:rsid w:val="097B6524"/>
    <w:rsid w:val="097C01EF"/>
    <w:rsid w:val="09880A6B"/>
    <w:rsid w:val="098A1DD7"/>
    <w:rsid w:val="098D7D07"/>
    <w:rsid w:val="099866AB"/>
    <w:rsid w:val="09AD2157"/>
    <w:rsid w:val="09B23D31"/>
    <w:rsid w:val="09B41A1F"/>
    <w:rsid w:val="09B442C6"/>
    <w:rsid w:val="09B71227"/>
    <w:rsid w:val="09BA4874"/>
    <w:rsid w:val="09BC5EBB"/>
    <w:rsid w:val="09BF1E8A"/>
    <w:rsid w:val="09C0272D"/>
    <w:rsid w:val="09D661DB"/>
    <w:rsid w:val="09DA5409"/>
    <w:rsid w:val="09E0252C"/>
    <w:rsid w:val="09E13C08"/>
    <w:rsid w:val="09E152DA"/>
    <w:rsid w:val="09E212C8"/>
    <w:rsid w:val="09E8463F"/>
    <w:rsid w:val="09EA5159"/>
    <w:rsid w:val="09EA6F07"/>
    <w:rsid w:val="09EF3EC1"/>
    <w:rsid w:val="09F62622"/>
    <w:rsid w:val="0A06666D"/>
    <w:rsid w:val="0A1A4DAD"/>
    <w:rsid w:val="0A1B7A08"/>
    <w:rsid w:val="0A1C52DC"/>
    <w:rsid w:val="0A38067D"/>
    <w:rsid w:val="0A3D4649"/>
    <w:rsid w:val="0A402FCB"/>
    <w:rsid w:val="0A414FF9"/>
    <w:rsid w:val="0A426D43"/>
    <w:rsid w:val="0A4C6688"/>
    <w:rsid w:val="0A55211F"/>
    <w:rsid w:val="0A604FF7"/>
    <w:rsid w:val="0A6F565E"/>
    <w:rsid w:val="0A735B07"/>
    <w:rsid w:val="0A786C09"/>
    <w:rsid w:val="0A7C7480"/>
    <w:rsid w:val="0A856C30"/>
    <w:rsid w:val="0AA417AC"/>
    <w:rsid w:val="0AA96DC2"/>
    <w:rsid w:val="0AAC5F35"/>
    <w:rsid w:val="0ABC445B"/>
    <w:rsid w:val="0AC260D6"/>
    <w:rsid w:val="0AC41E4E"/>
    <w:rsid w:val="0AC5179F"/>
    <w:rsid w:val="0AC54906"/>
    <w:rsid w:val="0AE04FBF"/>
    <w:rsid w:val="0AE20526"/>
    <w:rsid w:val="0AE235A4"/>
    <w:rsid w:val="0AE620BB"/>
    <w:rsid w:val="0AF63AB4"/>
    <w:rsid w:val="0AFF48CA"/>
    <w:rsid w:val="0B037D49"/>
    <w:rsid w:val="0B0770F6"/>
    <w:rsid w:val="0B097861"/>
    <w:rsid w:val="0B0C55A3"/>
    <w:rsid w:val="0B0E546C"/>
    <w:rsid w:val="0B0F730D"/>
    <w:rsid w:val="0B183C1D"/>
    <w:rsid w:val="0B1B770A"/>
    <w:rsid w:val="0B21104E"/>
    <w:rsid w:val="0B260413"/>
    <w:rsid w:val="0B36617C"/>
    <w:rsid w:val="0B4105EA"/>
    <w:rsid w:val="0B490221"/>
    <w:rsid w:val="0B613507"/>
    <w:rsid w:val="0B7218AA"/>
    <w:rsid w:val="0B7613F9"/>
    <w:rsid w:val="0B7D1A64"/>
    <w:rsid w:val="0B873060"/>
    <w:rsid w:val="0B8A12E6"/>
    <w:rsid w:val="0B8A6917"/>
    <w:rsid w:val="0B907F82"/>
    <w:rsid w:val="0BA34325"/>
    <w:rsid w:val="0BA70EE8"/>
    <w:rsid w:val="0BB04286"/>
    <w:rsid w:val="0BB141B3"/>
    <w:rsid w:val="0BB174EC"/>
    <w:rsid w:val="0BB27EF8"/>
    <w:rsid w:val="0BBB016C"/>
    <w:rsid w:val="0BBF43C3"/>
    <w:rsid w:val="0BC43CD2"/>
    <w:rsid w:val="0BC75C34"/>
    <w:rsid w:val="0BC85536"/>
    <w:rsid w:val="0BDA3295"/>
    <w:rsid w:val="0BED5E13"/>
    <w:rsid w:val="0BED5ED7"/>
    <w:rsid w:val="0BF00A21"/>
    <w:rsid w:val="0BF665E1"/>
    <w:rsid w:val="0C084CD0"/>
    <w:rsid w:val="0C107495"/>
    <w:rsid w:val="0C1B3CF0"/>
    <w:rsid w:val="0C234952"/>
    <w:rsid w:val="0C31427E"/>
    <w:rsid w:val="0C3721AC"/>
    <w:rsid w:val="0C3951F6"/>
    <w:rsid w:val="0C443D4C"/>
    <w:rsid w:val="0C450F95"/>
    <w:rsid w:val="0C542D5E"/>
    <w:rsid w:val="0C5710BE"/>
    <w:rsid w:val="0C58239B"/>
    <w:rsid w:val="0C5B233E"/>
    <w:rsid w:val="0C5B5C7B"/>
    <w:rsid w:val="0C5F4169"/>
    <w:rsid w:val="0C601702"/>
    <w:rsid w:val="0C637445"/>
    <w:rsid w:val="0C6A7D2E"/>
    <w:rsid w:val="0C6D153E"/>
    <w:rsid w:val="0C711B61"/>
    <w:rsid w:val="0C767178"/>
    <w:rsid w:val="0C796AFD"/>
    <w:rsid w:val="0C842BDB"/>
    <w:rsid w:val="0C8D626F"/>
    <w:rsid w:val="0C8F3D96"/>
    <w:rsid w:val="0C9605A0"/>
    <w:rsid w:val="0C9F3A12"/>
    <w:rsid w:val="0CA05E62"/>
    <w:rsid w:val="0CA27F6D"/>
    <w:rsid w:val="0CB03CBE"/>
    <w:rsid w:val="0CBD4BDC"/>
    <w:rsid w:val="0CC2686C"/>
    <w:rsid w:val="0CCB478B"/>
    <w:rsid w:val="0CD44244"/>
    <w:rsid w:val="0CD93263"/>
    <w:rsid w:val="0CDE41F3"/>
    <w:rsid w:val="0CE66EDA"/>
    <w:rsid w:val="0CF008FF"/>
    <w:rsid w:val="0CFA1EC7"/>
    <w:rsid w:val="0D0221E1"/>
    <w:rsid w:val="0D054058"/>
    <w:rsid w:val="0D0A78C0"/>
    <w:rsid w:val="0D2E2CEB"/>
    <w:rsid w:val="0D3B4742"/>
    <w:rsid w:val="0D3F6730"/>
    <w:rsid w:val="0D414AE0"/>
    <w:rsid w:val="0D473781"/>
    <w:rsid w:val="0D49459C"/>
    <w:rsid w:val="0D4963D4"/>
    <w:rsid w:val="0D592EEF"/>
    <w:rsid w:val="0D5958E6"/>
    <w:rsid w:val="0D657685"/>
    <w:rsid w:val="0D660F9A"/>
    <w:rsid w:val="0D676AC1"/>
    <w:rsid w:val="0D69176B"/>
    <w:rsid w:val="0D6E60A1"/>
    <w:rsid w:val="0D8A1ADD"/>
    <w:rsid w:val="0D8A245E"/>
    <w:rsid w:val="0D8A3926"/>
    <w:rsid w:val="0D8A7C4E"/>
    <w:rsid w:val="0D9B4220"/>
    <w:rsid w:val="0DAE5F61"/>
    <w:rsid w:val="0DAE649D"/>
    <w:rsid w:val="0DB35603"/>
    <w:rsid w:val="0DC30037"/>
    <w:rsid w:val="0DD3512D"/>
    <w:rsid w:val="0DD56120"/>
    <w:rsid w:val="0DD759F4"/>
    <w:rsid w:val="0DDA24FE"/>
    <w:rsid w:val="0DEB5944"/>
    <w:rsid w:val="0DF63CF6"/>
    <w:rsid w:val="0DFB5831"/>
    <w:rsid w:val="0E0276C8"/>
    <w:rsid w:val="0E0A401C"/>
    <w:rsid w:val="0E1A2709"/>
    <w:rsid w:val="0E1A5B1B"/>
    <w:rsid w:val="0E2665E1"/>
    <w:rsid w:val="0E2C21E4"/>
    <w:rsid w:val="0E3A0AB2"/>
    <w:rsid w:val="0E3B6D9A"/>
    <w:rsid w:val="0E4868F2"/>
    <w:rsid w:val="0E5408E4"/>
    <w:rsid w:val="0E576B35"/>
    <w:rsid w:val="0E660315"/>
    <w:rsid w:val="0E706F6F"/>
    <w:rsid w:val="0E736CD5"/>
    <w:rsid w:val="0E7A0181"/>
    <w:rsid w:val="0E7A7EC7"/>
    <w:rsid w:val="0E820056"/>
    <w:rsid w:val="0E9E2DFD"/>
    <w:rsid w:val="0EAD49A7"/>
    <w:rsid w:val="0EB14497"/>
    <w:rsid w:val="0EBA3D0F"/>
    <w:rsid w:val="0EC00B7E"/>
    <w:rsid w:val="0EC3241C"/>
    <w:rsid w:val="0EC92F8A"/>
    <w:rsid w:val="0ED4462A"/>
    <w:rsid w:val="0ED815B0"/>
    <w:rsid w:val="0EE81D5F"/>
    <w:rsid w:val="0EEA6571"/>
    <w:rsid w:val="0EED229A"/>
    <w:rsid w:val="0EF3685E"/>
    <w:rsid w:val="0EFA6181"/>
    <w:rsid w:val="0EFB3964"/>
    <w:rsid w:val="0EFB513A"/>
    <w:rsid w:val="0EFF1496"/>
    <w:rsid w:val="0F056913"/>
    <w:rsid w:val="0F0E3698"/>
    <w:rsid w:val="0F0F7410"/>
    <w:rsid w:val="0F144A26"/>
    <w:rsid w:val="0F145DE4"/>
    <w:rsid w:val="0F151EC6"/>
    <w:rsid w:val="0F20050F"/>
    <w:rsid w:val="0F2509E1"/>
    <w:rsid w:val="0F2F7334"/>
    <w:rsid w:val="0F3876C0"/>
    <w:rsid w:val="0F3B6457"/>
    <w:rsid w:val="0F403C2B"/>
    <w:rsid w:val="0F4B669A"/>
    <w:rsid w:val="0F570340"/>
    <w:rsid w:val="0F601A19"/>
    <w:rsid w:val="0F697AF2"/>
    <w:rsid w:val="0F6A48A4"/>
    <w:rsid w:val="0F6E311F"/>
    <w:rsid w:val="0F721081"/>
    <w:rsid w:val="0F73799F"/>
    <w:rsid w:val="0F786D63"/>
    <w:rsid w:val="0FA2132C"/>
    <w:rsid w:val="0FA7589A"/>
    <w:rsid w:val="0FA923E3"/>
    <w:rsid w:val="0FAC53B1"/>
    <w:rsid w:val="0FB91E5F"/>
    <w:rsid w:val="0FC65D20"/>
    <w:rsid w:val="0FC71B19"/>
    <w:rsid w:val="0FD62572"/>
    <w:rsid w:val="0FE13F61"/>
    <w:rsid w:val="0FE73E82"/>
    <w:rsid w:val="0FF06AEB"/>
    <w:rsid w:val="0FFE195E"/>
    <w:rsid w:val="1011024F"/>
    <w:rsid w:val="10144DBE"/>
    <w:rsid w:val="10156CA8"/>
    <w:rsid w:val="101A2F61"/>
    <w:rsid w:val="101A6F98"/>
    <w:rsid w:val="101E00BB"/>
    <w:rsid w:val="102A64CE"/>
    <w:rsid w:val="102D2243"/>
    <w:rsid w:val="10322FD0"/>
    <w:rsid w:val="103C4234"/>
    <w:rsid w:val="103D44D2"/>
    <w:rsid w:val="104D3F77"/>
    <w:rsid w:val="10501A8E"/>
    <w:rsid w:val="105D681E"/>
    <w:rsid w:val="105F0804"/>
    <w:rsid w:val="10667503"/>
    <w:rsid w:val="106B412D"/>
    <w:rsid w:val="106F579B"/>
    <w:rsid w:val="108616C4"/>
    <w:rsid w:val="108C3023"/>
    <w:rsid w:val="10975378"/>
    <w:rsid w:val="109951E3"/>
    <w:rsid w:val="109A098D"/>
    <w:rsid w:val="109C266A"/>
    <w:rsid w:val="109C418B"/>
    <w:rsid w:val="10A3069A"/>
    <w:rsid w:val="10A65B52"/>
    <w:rsid w:val="10AA3894"/>
    <w:rsid w:val="10AE33DE"/>
    <w:rsid w:val="10B55BD2"/>
    <w:rsid w:val="10C32586"/>
    <w:rsid w:val="10CA5CE4"/>
    <w:rsid w:val="10D929B7"/>
    <w:rsid w:val="10D97CD5"/>
    <w:rsid w:val="10DD651F"/>
    <w:rsid w:val="10E20EC3"/>
    <w:rsid w:val="10E2302E"/>
    <w:rsid w:val="10E373E6"/>
    <w:rsid w:val="10E861B7"/>
    <w:rsid w:val="10F57345"/>
    <w:rsid w:val="111725AC"/>
    <w:rsid w:val="11203B56"/>
    <w:rsid w:val="1122167C"/>
    <w:rsid w:val="1124713C"/>
    <w:rsid w:val="11252F1A"/>
    <w:rsid w:val="112E102D"/>
    <w:rsid w:val="112F4685"/>
    <w:rsid w:val="113967B5"/>
    <w:rsid w:val="11406D4B"/>
    <w:rsid w:val="1145536B"/>
    <w:rsid w:val="11494223"/>
    <w:rsid w:val="114958B1"/>
    <w:rsid w:val="11561ED6"/>
    <w:rsid w:val="11765560"/>
    <w:rsid w:val="11773341"/>
    <w:rsid w:val="117C31CF"/>
    <w:rsid w:val="118045F5"/>
    <w:rsid w:val="1182036D"/>
    <w:rsid w:val="11842869"/>
    <w:rsid w:val="118E637D"/>
    <w:rsid w:val="11916802"/>
    <w:rsid w:val="1197443F"/>
    <w:rsid w:val="119F0F1F"/>
    <w:rsid w:val="11A11EB2"/>
    <w:rsid w:val="11AA0F6F"/>
    <w:rsid w:val="11AA3420"/>
    <w:rsid w:val="11AF10BC"/>
    <w:rsid w:val="11BA7B07"/>
    <w:rsid w:val="11C16636"/>
    <w:rsid w:val="11C8679C"/>
    <w:rsid w:val="11D2113A"/>
    <w:rsid w:val="11E22BBA"/>
    <w:rsid w:val="11E51939"/>
    <w:rsid w:val="11EE3FC9"/>
    <w:rsid w:val="11F12DFD"/>
    <w:rsid w:val="11F76665"/>
    <w:rsid w:val="12006B7E"/>
    <w:rsid w:val="12062D4C"/>
    <w:rsid w:val="12127CA7"/>
    <w:rsid w:val="121363F2"/>
    <w:rsid w:val="121E4683"/>
    <w:rsid w:val="122E5DFF"/>
    <w:rsid w:val="12355792"/>
    <w:rsid w:val="12432055"/>
    <w:rsid w:val="124C253A"/>
    <w:rsid w:val="126A343E"/>
    <w:rsid w:val="128B6873"/>
    <w:rsid w:val="12977E48"/>
    <w:rsid w:val="12A06CFD"/>
    <w:rsid w:val="12A35FC9"/>
    <w:rsid w:val="12B730A9"/>
    <w:rsid w:val="12B7564A"/>
    <w:rsid w:val="12C06A14"/>
    <w:rsid w:val="12C26495"/>
    <w:rsid w:val="12C77BEA"/>
    <w:rsid w:val="12D8397F"/>
    <w:rsid w:val="12E36BAA"/>
    <w:rsid w:val="12EC2E1B"/>
    <w:rsid w:val="12EF02E8"/>
    <w:rsid w:val="12F6691D"/>
    <w:rsid w:val="130C25E4"/>
    <w:rsid w:val="130D010A"/>
    <w:rsid w:val="131103EA"/>
    <w:rsid w:val="13280AA0"/>
    <w:rsid w:val="13347445"/>
    <w:rsid w:val="133502A5"/>
    <w:rsid w:val="134A310C"/>
    <w:rsid w:val="134C29E0"/>
    <w:rsid w:val="13541895"/>
    <w:rsid w:val="135B0E75"/>
    <w:rsid w:val="135B45A2"/>
    <w:rsid w:val="136046DE"/>
    <w:rsid w:val="137234FE"/>
    <w:rsid w:val="138661D5"/>
    <w:rsid w:val="13873B0A"/>
    <w:rsid w:val="13892D6F"/>
    <w:rsid w:val="138A2C8B"/>
    <w:rsid w:val="138D4BE9"/>
    <w:rsid w:val="13A13E31"/>
    <w:rsid w:val="13A54F56"/>
    <w:rsid w:val="13A8479E"/>
    <w:rsid w:val="13B14663"/>
    <w:rsid w:val="13B5085F"/>
    <w:rsid w:val="13B80076"/>
    <w:rsid w:val="13BE2C3D"/>
    <w:rsid w:val="13D334C9"/>
    <w:rsid w:val="13D6277E"/>
    <w:rsid w:val="13D80718"/>
    <w:rsid w:val="13DA182D"/>
    <w:rsid w:val="13E40189"/>
    <w:rsid w:val="13EC6499"/>
    <w:rsid w:val="13F015BE"/>
    <w:rsid w:val="14044A9A"/>
    <w:rsid w:val="14045069"/>
    <w:rsid w:val="141134F5"/>
    <w:rsid w:val="142B4CEC"/>
    <w:rsid w:val="14305E5E"/>
    <w:rsid w:val="1438100F"/>
    <w:rsid w:val="143A231E"/>
    <w:rsid w:val="14465682"/>
    <w:rsid w:val="144B0EEA"/>
    <w:rsid w:val="14515DD5"/>
    <w:rsid w:val="14643A73"/>
    <w:rsid w:val="14685272"/>
    <w:rsid w:val="147246C9"/>
    <w:rsid w:val="14726477"/>
    <w:rsid w:val="14757D15"/>
    <w:rsid w:val="148075AE"/>
    <w:rsid w:val="148B512D"/>
    <w:rsid w:val="14AB7BDB"/>
    <w:rsid w:val="14AF4ABD"/>
    <w:rsid w:val="14B7657F"/>
    <w:rsid w:val="14B82A25"/>
    <w:rsid w:val="14CF7214"/>
    <w:rsid w:val="14D0316C"/>
    <w:rsid w:val="14D46923"/>
    <w:rsid w:val="14E44DD4"/>
    <w:rsid w:val="14EA094F"/>
    <w:rsid w:val="14EB154F"/>
    <w:rsid w:val="14EE710C"/>
    <w:rsid w:val="14EF4ED5"/>
    <w:rsid w:val="14F313C5"/>
    <w:rsid w:val="14F56B63"/>
    <w:rsid w:val="14FD7BF5"/>
    <w:rsid w:val="1505475D"/>
    <w:rsid w:val="151612A0"/>
    <w:rsid w:val="15254CD2"/>
    <w:rsid w:val="15371FEF"/>
    <w:rsid w:val="154222ED"/>
    <w:rsid w:val="1548367B"/>
    <w:rsid w:val="15483721"/>
    <w:rsid w:val="155913E5"/>
    <w:rsid w:val="155967AE"/>
    <w:rsid w:val="155F11AF"/>
    <w:rsid w:val="15621E17"/>
    <w:rsid w:val="1574621E"/>
    <w:rsid w:val="159D7523"/>
    <w:rsid w:val="159F6641"/>
    <w:rsid w:val="15B11221"/>
    <w:rsid w:val="15B25D5A"/>
    <w:rsid w:val="15B43F4C"/>
    <w:rsid w:val="15B825AF"/>
    <w:rsid w:val="15C51BDE"/>
    <w:rsid w:val="15C6452A"/>
    <w:rsid w:val="15C947BC"/>
    <w:rsid w:val="15D53161"/>
    <w:rsid w:val="15E3304D"/>
    <w:rsid w:val="15E949F4"/>
    <w:rsid w:val="15F43E40"/>
    <w:rsid w:val="15F450BE"/>
    <w:rsid w:val="160019FD"/>
    <w:rsid w:val="16021A7C"/>
    <w:rsid w:val="160475A2"/>
    <w:rsid w:val="16111CBF"/>
    <w:rsid w:val="16135A37"/>
    <w:rsid w:val="161377E5"/>
    <w:rsid w:val="161861F5"/>
    <w:rsid w:val="1625599C"/>
    <w:rsid w:val="162972E3"/>
    <w:rsid w:val="162B5850"/>
    <w:rsid w:val="162D644C"/>
    <w:rsid w:val="16344EEE"/>
    <w:rsid w:val="16370C3B"/>
    <w:rsid w:val="163B1DFC"/>
    <w:rsid w:val="163B6C3B"/>
    <w:rsid w:val="16443C66"/>
    <w:rsid w:val="16491459"/>
    <w:rsid w:val="164976AB"/>
    <w:rsid w:val="164D56C4"/>
    <w:rsid w:val="16505F75"/>
    <w:rsid w:val="16511E5F"/>
    <w:rsid w:val="16525EC6"/>
    <w:rsid w:val="16551BAC"/>
    <w:rsid w:val="16566B6E"/>
    <w:rsid w:val="166604BC"/>
    <w:rsid w:val="166D7DFE"/>
    <w:rsid w:val="16717081"/>
    <w:rsid w:val="16774407"/>
    <w:rsid w:val="16777D74"/>
    <w:rsid w:val="167B11E1"/>
    <w:rsid w:val="168801D3"/>
    <w:rsid w:val="168A2EA6"/>
    <w:rsid w:val="168E50BE"/>
    <w:rsid w:val="169D3553"/>
    <w:rsid w:val="16A61EAA"/>
    <w:rsid w:val="16A82843"/>
    <w:rsid w:val="16AE5F94"/>
    <w:rsid w:val="16AE61FB"/>
    <w:rsid w:val="16C4756E"/>
    <w:rsid w:val="16CA07EC"/>
    <w:rsid w:val="16CA6F07"/>
    <w:rsid w:val="16CD55C0"/>
    <w:rsid w:val="16D056D6"/>
    <w:rsid w:val="16D52CED"/>
    <w:rsid w:val="16DC22CD"/>
    <w:rsid w:val="16E3540A"/>
    <w:rsid w:val="16F01CA5"/>
    <w:rsid w:val="16F5338F"/>
    <w:rsid w:val="16F5513D"/>
    <w:rsid w:val="16F56BAE"/>
    <w:rsid w:val="16F86CDC"/>
    <w:rsid w:val="17201528"/>
    <w:rsid w:val="172566BF"/>
    <w:rsid w:val="17334085"/>
    <w:rsid w:val="1735073B"/>
    <w:rsid w:val="1735306D"/>
    <w:rsid w:val="173619DD"/>
    <w:rsid w:val="173A61CF"/>
    <w:rsid w:val="17465999"/>
    <w:rsid w:val="174D24DD"/>
    <w:rsid w:val="174D31CB"/>
    <w:rsid w:val="17544559"/>
    <w:rsid w:val="176627F5"/>
    <w:rsid w:val="176927F0"/>
    <w:rsid w:val="17712BD5"/>
    <w:rsid w:val="177C142C"/>
    <w:rsid w:val="177E0D75"/>
    <w:rsid w:val="177F42C5"/>
    <w:rsid w:val="17857079"/>
    <w:rsid w:val="17865270"/>
    <w:rsid w:val="178A1656"/>
    <w:rsid w:val="178A4066"/>
    <w:rsid w:val="1797408F"/>
    <w:rsid w:val="179C2E01"/>
    <w:rsid w:val="179F7B14"/>
    <w:rsid w:val="17A821AF"/>
    <w:rsid w:val="17B14FA2"/>
    <w:rsid w:val="17C92852"/>
    <w:rsid w:val="17CE0CD4"/>
    <w:rsid w:val="17E014BC"/>
    <w:rsid w:val="17EE0DF9"/>
    <w:rsid w:val="17F17FFA"/>
    <w:rsid w:val="17F51899"/>
    <w:rsid w:val="17F57F70"/>
    <w:rsid w:val="17F673BF"/>
    <w:rsid w:val="17FD074D"/>
    <w:rsid w:val="18057602"/>
    <w:rsid w:val="18075128"/>
    <w:rsid w:val="180E2810"/>
    <w:rsid w:val="1814050E"/>
    <w:rsid w:val="181A358A"/>
    <w:rsid w:val="181E2472"/>
    <w:rsid w:val="18296D63"/>
    <w:rsid w:val="18355624"/>
    <w:rsid w:val="183A54FD"/>
    <w:rsid w:val="183D0CD8"/>
    <w:rsid w:val="183D5D39"/>
    <w:rsid w:val="184436BF"/>
    <w:rsid w:val="18552337"/>
    <w:rsid w:val="18626802"/>
    <w:rsid w:val="186D0371"/>
    <w:rsid w:val="186E33F9"/>
    <w:rsid w:val="186F026C"/>
    <w:rsid w:val="18722C56"/>
    <w:rsid w:val="188306CA"/>
    <w:rsid w:val="18842C1C"/>
    <w:rsid w:val="18846779"/>
    <w:rsid w:val="188D4CE1"/>
    <w:rsid w:val="188D6BE7"/>
    <w:rsid w:val="18987ABC"/>
    <w:rsid w:val="18A73D6E"/>
    <w:rsid w:val="18AB01A9"/>
    <w:rsid w:val="18CF6479"/>
    <w:rsid w:val="18DD75F2"/>
    <w:rsid w:val="18E348A6"/>
    <w:rsid w:val="18EC27F2"/>
    <w:rsid w:val="18F349D1"/>
    <w:rsid w:val="18F71640"/>
    <w:rsid w:val="18FB68AA"/>
    <w:rsid w:val="19055FA5"/>
    <w:rsid w:val="190873AA"/>
    <w:rsid w:val="190C67AE"/>
    <w:rsid w:val="19163ECA"/>
    <w:rsid w:val="191B532F"/>
    <w:rsid w:val="191E4E1F"/>
    <w:rsid w:val="191E6BCD"/>
    <w:rsid w:val="192329E9"/>
    <w:rsid w:val="192945FB"/>
    <w:rsid w:val="192C1235"/>
    <w:rsid w:val="192D38C8"/>
    <w:rsid w:val="19341F4D"/>
    <w:rsid w:val="19355CC5"/>
    <w:rsid w:val="193E101D"/>
    <w:rsid w:val="19460C23"/>
    <w:rsid w:val="19595E57"/>
    <w:rsid w:val="195B35A1"/>
    <w:rsid w:val="195B45FE"/>
    <w:rsid w:val="195C2702"/>
    <w:rsid w:val="195F7E08"/>
    <w:rsid w:val="19605446"/>
    <w:rsid w:val="19672B2D"/>
    <w:rsid w:val="196C5B8A"/>
    <w:rsid w:val="19701ADA"/>
    <w:rsid w:val="19722A75"/>
    <w:rsid w:val="19755432"/>
    <w:rsid w:val="19784182"/>
    <w:rsid w:val="197E141A"/>
    <w:rsid w:val="197F56D1"/>
    <w:rsid w:val="197F7673"/>
    <w:rsid w:val="198A7247"/>
    <w:rsid w:val="198B7ED4"/>
    <w:rsid w:val="19947044"/>
    <w:rsid w:val="199604E6"/>
    <w:rsid w:val="19960E59"/>
    <w:rsid w:val="19963255"/>
    <w:rsid w:val="19AE5AFF"/>
    <w:rsid w:val="19B17A41"/>
    <w:rsid w:val="19B300A8"/>
    <w:rsid w:val="19BA72A1"/>
    <w:rsid w:val="19D159ED"/>
    <w:rsid w:val="19D542C1"/>
    <w:rsid w:val="19DA189D"/>
    <w:rsid w:val="19E80F89"/>
    <w:rsid w:val="19EC0A79"/>
    <w:rsid w:val="1A036E3F"/>
    <w:rsid w:val="1A070440"/>
    <w:rsid w:val="1A093F64"/>
    <w:rsid w:val="1A09414C"/>
    <w:rsid w:val="1A0F19C1"/>
    <w:rsid w:val="1A163D48"/>
    <w:rsid w:val="1A1A55E6"/>
    <w:rsid w:val="1A1A6BA0"/>
    <w:rsid w:val="1A1B310D"/>
    <w:rsid w:val="1A2F6BB8"/>
    <w:rsid w:val="1A313033"/>
    <w:rsid w:val="1A330456"/>
    <w:rsid w:val="1A3C5156"/>
    <w:rsid w:val="1A46462D"/>
    <w:rsid w:val="1A5251AD"/>
    <w:rsid w:val="1A5403CD"/>
    <w:rsid w:val="1A57775F"/>
    <w:rsid w:val="1A631D20"/>
    <w:rsid w:val="1A633975"/>
    <w:rsid w:val="1A70240B"/>
    <w:rsid w:val="1A727340"/>
    <w:rsid w:val="1A7C004F"/>
    <w:rsid w:val="1A7D0B54"/>
    <w:rsid w:val="1A7D5B75"/>
    <w:rsid w:val="1A7F48CC"/>
    <w:rsid w:val="1A8353BC"/>
    <w:rsid w:val="1A8B65F8"/>
    <w:rsid w:val="1A907657"/>
    <w:rsid w:val="1A931FC5"/>
    <w:rsid w:val="1A952EBF"/>
    <w:rsid w:val="1A9D0E28"/>
    <w:rsid w:val="1AA650CC"/>
    <w:rsid w:val="1AAA5171"/>
    <w:rsid w:val="1AB37758"/>
    <w:rsid w:val="1ACC4407"/>
    <w:rsid w:val="1AE45BF4"/>
    <w:rsid w:val="1AE637FF"/>
    <w:rsid w:val="1AE75001"/>
    <w:rsid w:val="1AFA0F74"/>
    <w:rsid w:val="1AFC0863"/>
    <w:rsid w:val="1B0246D5"/>
    <w:rsid w:val="1B03673C"/>
    <w:rsid w:val="1B0D1E81"/>
    <w:rsid w:val="1B0E6CB6"/>
    <w:rsid w:val="1B252495"/>
    <w:rsid w:val="1B313749"/>
    <w:rsid w:val="1B3501FE"/>
    <w:rsid w:val="1B385CCB"/>
    <w:rsid w:val="1B3C072A"/>
    <w:rsid w:val="1B41388C"/>
    <w:rsid w:val="1B433CB7"/>
    <w:rsid w:val="1B4A1EFB"/>
    <w:rsid w:val="1B505038"/>
    <w:rsid w:val="1B593EEC"/>
    <w:rsid w:val="1B5A5F99"/>
    <w:rsid w:val="1B674630"/>
    <w:rsid w:val="1B701236"/>
    <w:rsid w:val="1B931350"/>
    <w:rsid w:val="1B9746C1"/>
    <w:rsid w:val="1B974A15"/>
    <w:rsid w:val="1B981B1D"/>
    <w:rsid w:val="1B9C1031"/>
    <w:rsid w:val="1B9E4B18"/>
    <w:rsid w:val="1B9F1385"/>
    <w:rsid w:val="1BA15893"/>
    <w:rsid w:val="1BA90727"/>
    <w:rsid w:val="1BAD4238"/>
    <w:rsid w:val="1BB7577E"/>
    <w:rsid w:val="1BBA40E5"/>
    <w:rsid w:val="1BBC26CD"/>
    <w:rsid w:val="1BC11A92"/>
    <w:rsid w:val="1BCC705B"/>
    <w:rsid w:val="1BD32A75"/>
    <w:rsid w:val="1BDC09CA"/>
    <w:rsid w:val="1BDC61BE"/>
    <w:rsid w:val="1BE13EE2"/>
    <w:rsid w:val="1BE20782"/>
    <w:rsid w:val="1C026332"/>
    <w:rsid w:val="1C044D0A"/>
    <w:rsid w:val="1C0B1B49"/>
    <w:rsid w:val="1C0D0760"/>
    <w:rsid w:val="1C1E67C8"/>
    <w:rsid w:val="1C202C5C"/>
    <w:rsid w:val="1C25283A"/>
    <w:rsid w:val="1C2564C4"/>
    <w:rsid w:val="1C275E99"/>
    <w:rsid w:val="1C29338A"/>
    <w:rsid w:val="1C3E1334"/>
    <w:rsid w:val="1C417326"/>
    <w:rsid w:val="1C463784"/>
    <w:rsid w:val="1C492974"/>
    <w:rsid w:val="1C4B4E99"/>
    <w:rsid w:val="1C4C1CA3"/>
    <w:rsid w:val="1C4F6411"/>
    <w:rsid w:val="1C60574F"/>
    <w:rsid w:val="1C741416"/>
    <w:rsid w:val="1C7444A0"/>
    <w:rsid w:val="1C7660D4"/>
    <w:rsid w:val="1C7B4373"/>
    <w:rsid w:val="1C7F2DB8"/>
    <w:rsid w:val="1C86634E"/>
    <w:rsid w:val="1CA1608E"/>
    <w:rsid w:val="1CAD31CB"/>
    <w:rsid w:val="1CAE603D"/>
    <w:rsid w:val="1CBB4D73"/>
    <w:rsid w:val="1CBD494F"/>
    <w:rsid w:val="1CD04682"/>
    <w:rsid w:val="1CD04E42"/>
    <w:rsid w:val="1CD13F56"/>
    <w:rsid w:val="1CD33353"/>
    <w:rsid w:val="1CEE68B6"/>
    <w:rsid w:val="1CF77E61"/>
    <w:rsid w:val="1CFD4E6A"/>
    <w:rsid w:val="1D0E2A74"/>
    <w:rsid w:val="1D170CCE"/>
    <w:rsid w:val="1D2B18B9"/>
    <w:rsid w:val="1D445D2D"/>
    <w:rsid w:val="1D481A82"/>
    <w:rsid w:val="1D5568CB"/>
    <w:rsid w:val="1D646B79"/>
    <w:rsid w:val="1D6E79F7"/>
    <w:rsid w:val="1D7414B2"/>
    <w:rsid w:val="1D772D50"/>
    <w:rsid w:val="1D856C72"/>
    <w:rsid w:val="1D86497A"/>
    <w:rsid w:val="1D8D2573"/>
    <w:rsid w:val="1D951428"/>
    <w:rsid w:val="1DA166C8"/>
    <w:rsid w:val="1DAE5824"/>
    <w:rsid w:val="1DAF24EA"/>
    <w:rsid w:val="1DB02EC3"/>
    <w:rsid w:val="1DBC7230"/>
    <w:rsid w:val="1DC247F4"/>
    <w:rsid w:val="1DC8058D"/>
    <w:rsid w:val="1DC85359"/>
    <w:rsid w:val="1DCB1D1A"/>
    <w:rsid w:val="1DD12460"/>
    <w:rsid w:val="1DD84282"/>
    <w:rsid w:val="1DD957B9"/>
    <w:rsid w:val="1DDD5593"/>
    <w:rsid w:val="1DE75013"/>
    <w:rsid w:val="1DE9461A"/>
    <w:rsid w:val="1DEA7DBD"/>
    <w:rsid w:val="1DF35319"/>
    <w:rsid w:val="1DF95513"/>
    <w:rsid w:val="1DFC1B98"/>
    <w:rsid w:val="1DFC71C2"/>
    <w:rsid w:val="1E01086B"/>
    <w:rsid w:val="1E0208EF"/>
    <w:rsid w:val="1E032C51"/>
    <w:rsid w:val="1E0516F2"/>
    <w:rsid w:val="1E0C44F9"/>
    <w:rsid w:val="1E131A20"/>
    <w:rsid w:val="1E1774E0"/>
    <w:rsid w:val="1E196C02"/>
    <w:rsid w:val="1E2376B8"/>
    <w:rsid w:val="1E2A1C38"/>
    <w:rsid w:val="1E2D7A70"/>
    <w:rsid w:val="1E2E44E7"/>
    <w:rsid w:val="1E2E4FC5"/>
    <w:rsid w:val="1E30452D"/>
    <w:rsid w:val="1E370CF6"/>
    <w:rsid w:val="1E370D15"/>
    <w:rsid w:val="1E3D3D9C"/>
    <w:rsid w:val="1E4252FE"/>
    <w:rsid w:val="1E4470D6"/>
    <w:rsid w:val="1E4B00AD"/>
    <w:rsid w:val="1E51534F"/>
    <w:rsid w:val="1E5903AB"/>
    <w:rsid w:val="1E65586D"/>
    <w:rsid w:val="1E676920"/>
    <w:rsid w:val="1E731769"/>
    <w:rsid w:val="1E790629"/>
    <w:rsid w:val="1E7A3059"/>
    <w:rsid w:val="1E7D63C4"/>
    <w:rsid w:val="1E7E1EBC"/>
    <w:rsid w:val="1E845724"/>
    <w:rsid w:val="1E911BEF"/>
    <w:rsid w:val="1E935967"/>
    <w:rsid w:val="1EA72F90"/>
    <w:rsid w:val="1EAC07D7"/>
    <w:rsid w:val="1EB84798"/>
    <w:rsid w:val="1EB8717C"/>
    <w:rsid w:val="1EC10726"/>
    <w:rsid w:val="1EC51899"/>
    <w:rsid w:val="1ECA1EDD"/>
    <w:rsid w:val="1ECE7794"/>
    <w:rsid w:val="1ECF30AA"/>
    <w:rsid w:val="1ED16490"/>
    <w:rsid w:val="1EDA62F1"/>
    <w:rsid w:val="1EE967AF"/>
    <w:rsid w:val="1EEB3AD4"/>
    <w:rsid w:val="1EF028C2"/>
    <w:rsid w:val="1EFA7794"/>
    <w:rsid w:val="1F022AED"/>
    <w:rsid w:val="1F0D55AE"/>
    <w:rsid w:val="1F114ADE"/>
    <w:rsid w:val="1F130A24"/>
    <w:rsid w:val="1F165B61"/>
    <w:rsid w:val="1F1840BF"/>
    <w:rsid w:val="1F185E1F"/>
    <w:rsid w:val="1F1E09AB"/>
    <w:rsid w:val="1F292AA5"/>
    <w:rsid w:val="1F2952CA"/>
    <w:rsid w:val="1F334A54"/>
    <w:rsid w:val="1F3742AE"/>
    <w:rsid w:val="1F470B86"/>
    <w:rsid w:val="1F4B34DC"/>
    <w:rsid w:val="1F570348"/>
    <w:rsid w:val="1F5C361B"/>
    <w:rsid w:val="1F63002C"/>
    <w:rsid w:val="1F654024"/>
    <w:rsid w:val="1F68226A"/>
    <w:rsid w:val="1F707A57"/>
    <w:rsid w:val="1F8654CC"/>
    <w:rsid w:val="1F882FF2"/>
    <w:rsid w:val="1F971487"/>
    <w:rsid w:val="1F97411C"/>
    <w:rsid w:val="1FA60A9C"/>
    <w:rsid w:val="1FA63478"/>
    <w:rsid w:val="1FBE6A14"/>
    <w:rsid w:val="1FBF296D"/>
    <w:rsid w:val="1FC35DD8"/>
    <w:rsid w:val="1FC54F74"/>
    <w:rsid w:val="1FC87893"/>
    <w:rsid w:val="1FCB4CA7"/>
    <w:rsid w:val="1FCF0C21"/>
    <w:rsid w:val="1FD360CA"/>
    <w:rsid w:val="1FD37A1C"/>
    <w:rsid w:val="1FD47FE6"/>
    <w:rsid w:val="1FD80E1C"/>
    <w:rsid w:val="1FDA23C9"/>
    <w:rsid w:val="1FDC333E"/>
    <w:rsid w:val="1FE3647B"/>
    <w:rsid w:val="1FEE77DE"/>
    <w:rsid w:val="1FFC4EDB"/>
    <w:rsid w:val="20017029"/>
    <w:rsid w:val="2011123A"/>
    <w:rsid w:val="2017589C"/>
    <w:rsid w:val="2018389D"/>
    <w:rsid w:val="202763A1"/>
    <w:rsid w:val="20336B1C"/>
    <w:rsid w:val="20362A4E"/>
    <w:rsid w:val="20372B17"/>
    <w:rsid w:val="203E55CD"/>
    <w:rsid w:val="20586F07"/>
    <w:rsid w:val="206D7F29"/>
    <w:rsid w:val="207307E2"/>
    <w:rsid w:val="20865510"/>
    <w:rsid w:val="208A5637"/>
    <w:rsid w:val="20967991"/>
    <w:rsid w:val="209B4FA7"/>
    <w:rsid w:val="209D487B"/>
    <w:rsid w:val="20A26336"/>
    <w:rsid w:val="20AE4CDA"/>
    <w:rsid w:val="20AF2801"/>
    <w:rsid w:val="20B322F1"/>
    <w:rsid w:val="20B33611"/>
    <w:rsid w:val="20C1014A"/>
    <w:rsid w:val="20C1377B"/>
    <w:rsid w:val="20C31E08"/>
    <w:rsid w:val="20D06B71"/>
    <w:rsid w:val="20D61F11"/>
    <w:rsid w:val="20E00C0C"/>
    <w:rsid w:val="20F54C3A"/>
    <w:rsid w:val="20FF3782"/>
    <w:rsid w:val="21050555"/>
    <w:rsid w:val="210756A8"/>
    <w:rsid w:val="210A7A37"/>
    <w:rsid w:val="210E01DE"/>
    <w:rsid w:val="2115656D"/>
    <w:rsid w:val="211C60E8"/>
    <w:rsid w:val="21250BC3"/>
    <w:rsid w:val="212C2E46"/>
    <w:rsid w:val="212F1707"/>
    <w:rsid w:val="21366BB7"/>
    <w:rsid w:val="21407875"/>
    <w:rsid w:val="21466A15"/>
    <w:rsid w:val="214C62A1"/>
    <w:rsid w:val="21507EF7"/>
    <w:rsid w:val="215A6C10"/>
    <w:rsid w:val="217A4BBD"/>
    <w:rsid w:val="217C7E65"/>
    <w:rsid w:val="2188120A"/>
    <w:rsid w:val="21A12390"/>
    <w:rsid w:val="21A4626C"/>
    <w:rsid w:val="21A63C04"/>
    <w:rsid w:val="21A97250"/>
    <w:rsid w:val="21B207FA"/>
    <w:rsid w:val="21B335DB"/>
    <w:rsid w:val="21B53EE6"/>
    <w:rsid w:val="21BF184B"/>
    <w:rsid w:val="21C4293B"/>
    <w:rsid w:val="21CD1190"/>
    <w:rsid w:val="21CD57DB"/>
    <w:rsid w:val="21D544E9"/>
    <w:rsid w:val="21D94C8D"/>
    <w:rsid w:val="21F34FD4"/>
    <w:rsid w:val="21F93D33"/>
    <w:rsid w:val="21FC7CC7"/>
    <w:rsid w:val="22097880"/>
    <w:rsid w:val="2211693D"/>
    <w:rsid w:val="221A488D"/>
    <w:rsid w:val="2221772E"/>
    <w:rsid w:val="222473F9"/>
    <w:rsid w:val="222F70F0"/>
    <w:rsid w:val="2230171F"/>
    <w:rsid w:val="22377569"/>
    <w:rsid w:val="2250591D"/>
    <w:rsid w:val="225063AF"/>
    <w:rsid w:val="225455BD"/>
    <w:rsid w:val="226351E4"/>
    <w:rsid w:val="22675CD2"/>
    <w:rsid w:val="226C6BFB"/>
    <w:rsid w:val="22717FDB"/>
    <w:rsid w:val="22731D52"/>
    <w:rsid w:val="22881DBE"/>
    <w:rsid w:val="228837EE"/>
    <w:rsid w:val="228A0E2F"/>
    <w:rsid w:val="228F31DD"/>
    <w:rsid w:val="229D6DB5"/>
    <w:rsid w:val="22B45EAC"/>
    <w:rsid w:val="22B70B00"/>
    <w:rsid w:val="22B91715"/>
    <w:rsid w:val="22BB723B"/>
    <w:rsid w:val="22C5630B"/>
    <w:rsid w:val="22C8672D"/>
    <w:rsid w:val="22CF617B"/>
    <w:rsid w:val="22D60519"/>
    <w:rsid w:val="22DE4819"/>
    <w:rsid w:val="22E36792"/>
    <w:rsid w:val="22F10A8A"/>
    <w:rsid w:val="22F62969"/>
    <w:rsid w:val="22F91025"/>
    <w:rsid w:val="22F92CB4"/>
    <w:rsid w:val="23005AEA"/>
    <w:rsid w:val="2301326B"/>
    <w:rsid w:val="23024E6A"/>
    <w:rsid w:val="23084D76"/>
    <w:rsid w:val="23190988"/>
    <w:rsid w:val="231A6BA0"/>
    <w:rsid w:val="231D2D4B"/>
    <w:rsid w:val="23256B98"/>
    <w:rsid w:val="232D0F36"/>
    <w:rsid w:val="23323D1C"/>
    <w:rsid w:val="23384349"/>
    <w:rsid w:val="23384D2F"/>
    <w:rsid w:val="23426EE9"/>
    <w:rsid w:val="23582FA0"/>
    <w:rsid w:val="23696C97"/>
    <w:rsid w:val="23735220"/>
    <w:rsid w:val="2375388E"/>
    <w:rsid w:val="237A70F6"/>
    <w:rsid w:val="23817044"/>
    <w:rsid w:val="238D507B"/>
    <w:rsid w:val="23925DBD"/>
    <w:rsid w:val="239370F4"/>
    <w:rsid w:val="239F6CC9"/>
    <w:rsid w:val="23BA3996"/>
    <w:rsid w:val="23BD7D1A"/>
    <w:rsid w:val="23C452E4"/>
    <w:rsid w:val="23C56FDF"/>
    <w:rsid w:val="23D34A58"/>
    <w:rsid w:val="23D507D0"/>
    <w:rsid w:val="23E31CAA"/>
    <w:rsid w:val="23ED6BF0"/>
    <w:rsid w:val="23F01166"/>
    <w:rsid w:val="23F1559C"/>
    <w:rsid w:val="242429A1"/>
    <w:rsid w:val="2424701F"/>
    <w:rsid w:val="24254515"/>
    <w:rsid w:val="24294B86"/>
    <w:rsid w:val="242B6642"/>
    <w:rsid w:val="242C65EF"/>
    <w:rsid w:val="243533CD"/>
    <w:rsid w:val="24390D5F"/>
    <w:rsid w:val="2446522A"/>
    <w:rsid w:val="244B1E69"/>
    <w:rsid w:val="244F484B"/>
    <w:rsid w:val="24545C4C"/>
    <w:rsid w:val="246C7E90"/>
    <w:rsid w:val="246D5B28"/>
    <w:rsid w:val="24705167"/>
    <w:rsid w:val="24740880"/>
    <w:rsid w:val="247B70E0"/>
    <w:rsid w:val="248144B4"/>
    <w:rsid w:val="24840C0E"/>
    <w:rsid w:val="24997A50"/>
    <w:rsid w:val="24A96F54"/>
    <w:rsid w:val="24AA517E"/>
    <w:rsid w:val="24AA6089"/>
    <w:rsid w:val="24AC2F46"/>
    <w:rsid w:val="24B108F5"/>
    <w:rsid w:val="24C820E3"/>
    <w:rsid w:val="24CA778F"/>
    <w:rsid w:val="24D665AE"/>
    <w:rsid w:val="24E84D3C"/>
    <w:rsid w:val="24EE0E83"/>
    <w:rsid w:val="24F44C86"/>
    <w:rsid w:val="2503311B"/>
    <w:rsid w:val="25034EC9"/>
    <w:rsid w:val="25096983"/>
    <w:rsid w:val="250F1CF5"/>
    <w:rsid w:val="251B0465"/>
    <w:rsid w:val="25227D32"/>
    <w:rsid w:val="25255841"/>
    <w:rsid w:val="25315EDA"/>
    <w:rsid w:val="2533755C"/>
    <w:rsid w:val="25535E50"/>
    <w:rsid w:val="25575658"/>
    <w:rsid w:val="25663CBD"/>
    <w:rsid w:val="257858B7"/>
    <w:rsid w:val="257B7155"/>
    <w:rsid w:val="257E35F2"/>
    <w:rsid w:val="257E4A9D"/>
    <w:rsid w:val="257F09F3"/>
    <w:rsid w:val="257F631F"/>
    <w:rsid w:val="2584425C"/>
    <w:rsid w:val="258C52AE"/>
    <w:rsid w:val="259057E9"/>
    <w:rsid w:val="25A46830"/>
    <w:rsid w:val="25A95A70"/>
    <w:rsid w:val="25B37610"/>
    <w:rsid w:val="25BC57A4"/>
    <w:rsid w:val="25D24FC7"/>
    <w:rsid w:val="25D32133"/>
    <w:rsid w:val="25D6467E"/>
    <w:rsid w:val="25D66AED"/>
    <w:rsid w:val="25DA0320"/>
    <w:rsid w:val="25DE65E6"/>
    <w:rsid w:val="25F15F83"/>
    <w:rsid w:val="25F55DB9"/>
    <w:rsid w:val="25FD7B6A"/>
    <w:rsid w:val="26012885"/>
    <w:rsid w:val="2607705C"/>
    <w:rsid w:val="26143C99"/>
    <w:rsid w:val="26185305"/>
    <w:rsid w:val="261A696E"/>
    <w:rsid w:val="26296BB1"/>
    <w:rsid w:val="26301CEE"/>
    <w:rsid w:val="26410213"/>
    <w:rsid w:val="264834DB"/>
    <w:rsid w:val="264D464E"/>
    <w:rsid w:val="26502390"/>
    <w:rsid w:val="265A6F42"/>
    <w:rsid w:val="2661459D"/>
    <w:rsid w:val="26650EEC"/>
    <w:rsid w:val="26722978"/>
    <w:rsid w:val="267970F1"/>
    <w:rsid w:val="267A69CF"/>
    <w:rsid w:val="26806E9F"/>
    <w:rsid w:val="268A7650"/>
    <w:rsid w:val="26997893"/>
    <w:rsid w:val="269D73C5"/>
    <w:rsid w:val="269F18C5"/>
    <w:rsid w:val="26A22886"/>
    <w:rsid w:val="26A5419F"/>
    <w:rsid w:val="26AC3A6A"/>
    <w:rsid w:val="26AE3531"/>
    <w:rsid w:val="26B406D3"/>
    <w:rsid w:val="26C17181"/>
    <w:rsid w:val="26DA2DB4"/>
    <w:rsid w:val="26E7686B"/>
    <w:rsid w:val="26EB4F82"/>
    <w:rsid w:val="26F37213"/>
    <w:rsid w:val="26F61189"/>
    <w:rsid w:val="26FB45C4"/>
    <w:rsid w:val="27005B64"/>
    <w:rsid w:val="270C62B7"/>
    <w:rsid w:val="270F7B55"/>
    <w:rsid w:val="271A1BC3"/>
    <w:rsid w:val="27351CB2"/>
    <w:rsid w:val="274062AF"/>
    <w:rsid w:val="27435A51"/>
    <w:rsid w:val="2753038A"/>
    <w:rsid w:val="27563B08"/>
    <w:rsid w:val="275669DE"/>
    <w:rsid w:val="275859A0"/>
    <w:rsid w:val="275A1DE5"/>
    <w:rsid w:val="276460F3"/>
    <w:rsid w:val="276E51C4"/>
    <w:rsid w:val="27822207"/>
    <w:rsid w:val="27871DE1"/>
    <w:rsid w:val="279048C7"/>
    <w:rsid w:val="27932534"/>
    <w:rsid w:val="27A842FD"/>
    <w:rsid w:val="27B7194D"/>
    <w:rsid w:val="27CC34C7"/>
    <w:rsid w:val="27DD40F7"/>
    <w:rsid w:val="27DF5D00"/>
    <w:rsid w:val="27EF6F8B"/>
    <w:rsid w:val="27FD3793"/>
    <w:rsid w:val="27FF406E"/>
    <w:rsid w:val="28096C9A"/>
    <w:rsid w:val="281E2746"/>
    <w:rsid w:val="282F02A2"/>
    <w:rsid w:val="285C00DF"/>
    <w:rsid w:val="287D2559"/>
    <w:rsid w:val="28907B7B"/>
    <w:rsid w:val="28951B41"/>
    <w:rsid w:val="289522DC"/>
    <w:rsid w:val="289A5E4A"/>
    <w:rsid w:val="28AC67B2"/>
    <w:rsid w:val="28B16765"/>
    <w:rsid w:val="28B206E5"/>
    <w:rsid w:val="28B32BF9"/>
    <w:rsid w:val="28B906C0"/>
    <w:rsid w:val="28C54A49"/>
    <w:rsid w:val="28CB6394"/>
    <w:rsid w:val="28CF7F07"/>
    <w:rsid w:val="28D04EA7"/>
    <w:rsid w:val="28D36255"/>
    <w:rsid w:val="28DA1CCE"/>
    <w:rsid w:val="28E72E42"/>
    <w:rsid w:val="28ED2B49"/>
    <w:rsid w:val="28ED3EC6"/>
    <w:rsid w:val="28F01BE3"/>
    <w:rsid w:val="28F11C08"/>
    <w:rsid w:val="290A4A78"/>
    <w:rsid w:val="291122AA"/>
    <w:rsid w:val="29183F3E"/>
    <w:rsid w:val="29251666"/>
    <w:rsid w:val="29330BC2"/>
    <w:rsid w:val="2942641F"/>
    <w:rsid w:val="294C5091"/>
    <w:rsid w:val="29550435"/>
    <w:rsid w:val="29567CBD"/>
    <w:rsid w:val="2959155B"/>
    <w:rsid w:val="295D53D3"/>
    <w:rsid w:val="29695C42"/>
    <w:rsid w:val="296B7436"/>
    <w:rsid w:val="297245B9"/>
    <w:rsid w:val="2973261D"/>
    <w:rsid w:val="29813C58"/>
    <w:rsid w:val="2992138D"/>
    <w:rsid w:val="29954C89"/>
    <w:rsid w:val="299B7DC6"/>
    <w:rsid w:val="29A24CB1"/>
    <w:rsid w:val="29A54E91"/>
    <w:rsid w:val="29AA0009"/>
    <w:rsid w:val="29B34659"/>
    <w:rsid w:val="29CC61D1"/>
    <w:rsid w:val="29D46E34"/>
    <w:rsid w:val="29E057D9"/>
    <w:rsid w:val="29E15474"/>
    <w:rsid w:val="29E7300B"/>
    <w:rsid w:val="29EC3501"/>
    <w:rsid w:val="29F97C59"/>
    <w:rsid w:val="29FC1816"/>
    <w:rsid w:val="2A0239A1"/>
    <w:rsid w:val="2A067935"/>
    <w:rsid w:val="2A087631"/>
    <w:rsid w:val="2A0A3428"/>
    <w:rsid w:val="2A1130C9"/>
    <w:rsid w:val="2A120567"/>
    <w:rsid w:val="2A136ED0"/>
    <w:rsid w:val="2A1405F4"/>
    <w:rsid w:val="2A164F5A"/>
    <w:rsid w:val="2A1A65A7"/>
    <w:rsid w:val="2A1C2CB5"/>
    <w:rsid w:val="2A1C3EF8"/>
    <w:rsid w:val="2A1E10CF"/>
    <w:rsid w:val="2A206080"/>
    <w:rsid w:val="2A21651D"/>
    <w:rsid w:val="2A225242"/>
    <w:rsid w:val="2A245BC5"/>
    <w:rsid w:val="2A24600D"/>
    <w:rsid w:val="2A5818B2"/>
    <w:rsid w:val="2A5D507B"/>
    <w:rsid w:val="2A641AB9"/>
    <w:rsid w:val="2A6952D3"/>
    <w:rsid w:val="2A6E7289"/>
    <w:rsid w:val="2A6F69E9"/>
    <w:rsid w:val="2A74563E"/>
    <w:rsid w:val="2A7C19A5"/>
    <w:rsid w:val="2A83296D"/>
    <w:rsid w:val="2A842484"/>
    <w:rsid w:val="2A846AAC"/>
    <w:rsid w:val="2A873116"/>
    <w:rsid w:val="2A8E3973"/>
    <w:rsid w:val="2A8F321F"/>
    <w:rsid w:val="2A8F64A0"/>
    <w:rsid w:val="2A920AF0"/>
    <w:rsid w:val="2A926BBE"/>
    <w:rsid w:val="2A9767DF"/>
    <w:rsid w:val="2A9814D8"/>
    <w:rsid w:val="2AAD6003"/>
    <w:rsid w:val="2AB56C65"/>
    <w:rsid w:val="2AB90C6D"/>
    <w:rsid w:val="2ABB4823"/>
    <w:rsid w:val="2ABE0022"/>
    <w:rsid w:val="2ACB4670"/>
    <w:rsid w:val="2AD14502"/>
    <w:rsid w:val="2AD80C27"/>
    <w:rsid w:val="2ADD46F7"/>
    <w:rsid w:val="2ADF07C0"/>
    <w:rsid w:val="2AE131E0"/>
    <w:rsid w:val="2AE250EA"/>
    <w:rsid w:val="2AE47B0A"/>
    <w:rsid w:val="2AE5754B"/>
    <w:rsid w:val="2AF459E0"/>
    <w:rsid w:val="2AFD1AC3"/>
    <w:rsid w:val="2AFD1E3D"/>
    <w:rsid w:val="2AFE685E"/>
    <w:rsid w:val="2B053DF1"/>
    <w:rsid w:val="2B0B5F56"/>
    <w:rsid w:val="2B0E58B3"/>
    <w:rsid w:val="2B140D0F"/>
    <w:rsid w:val="2B166C16"/>
    <w:rsid w:val="2B1C4F36"/>
    <w:rsid w:val="2B2154CC"/>
    <w:rsid w:val="2B2D1524"/>
    <w:rsid w:val="2B2D4A4E"/>
    <w:rsid w:val="2B3C518E"/>
    <w:rsid w:val="2B3F444F"/>
    <w:rsid w:val="2B494B55"/>
    <w:rsid w:val="2B4C06A9"/>
    <w:rsid w:val="2B4C1378"/>
    <w:rsid w:val="2B5073AD"/>
    <w:rsid w:val="2B516861"/>
    <w:rsid w:val="2B5350C0"/>
    <w:rsid w:val="2B6F2DD8"/>
    <w:rsid w:val="2B7B1020"/>
    <w:rsid w:val="2B852ADC"/>
    <w:rsid w:val="2B8C6D4D"/>
    <w:rsid w:val="2BA4462A"/>
    <w:rsid w:val="2BB577B3"/>
    <w:rsid w:val="2BDF167E"/>
    <w:rsid w:val="2BED7796"/>
    <w:rsid w:val="2BF832AE"/>
    <w:rsid w:val="2C0576B6"/>
    <w:rsid w:val="2C2422F5"/>
    <w:rsid w:val="2C255C8F"/>
    <w:rsid w:val="2C3B319A"/>
    <w:rsid w:val="2C5524AE"/>
    <w:rsid w:val="2C6A13C0"/>
    <w:rsid w:val="2C730869"/>
    <w:rsid w:val="2C742F07"/>
    <w:rsid w:val="2C746F50"/>
    <w:rsid w:val="2C78619D"/>
    <w:rsid w:val="2C7A0167"/>
    <w:rsid w:val="2C7E3B72"/>
    <w:rsid w:val="2C845606"/>
    <w:rsid w:val="2C850784"/>
    <w:rsid w:val="2C8637B6"/>
    <w:rsid w:val="2C8B2374"/>
    <w:rsid w:val="2C8D2021"/>
    <w:rsid w:val="2C9B4CEF"/>
    <w:rsid w:val="2C9D1056"/>
    <w:rsid w:val="2CAD7767"/>
    <w:rsid w:val="2CB01D16"/>
    <w:rsid w:val="2CB61C31"/>
    <w:rsid w:val="2CB82A3D"/>
    <w:rsid w:val="2CC2386D"/>
    <w:rsid w:val="2CD04BAC"/>
    <w:rsid w:val="2CD07D87"/>
    <w:rsid w:val="2CD539D3"/>
    <w:rsid w:val="2CDA79DE"/>
    <w:rsid w:val="2CE850D0"/>
    <w:rsid w:val="2CEB686A"/>
    <w:rsid w:val="2CF52AD7"/>
    <w:rsid w:val="2CF81578"/>
    <w:rsid w:val="2D082579"/>
    <w:rsid w:val="2D0A13DA"/>
    <w:rsid w:val="2D0B7011"/>
    <w:rsid w:val="2D0C4F7B"/>
    <w:rsid w:val="2D156FBD"/>
    <w:rsid w:val="2D1660E1"/>
    <w:rsid w:val="2D1759B5"/>
    <w:rsid w:val="2D2A5DE1"/>
    <w:rsid w:val="2D2F2CFF"/>
    <w:rsid w:val="2D306A77"/>
    <w:rsid w:val="2D314CC9"/>
    <w:rsid w:val="2D32459D"/>
    <w:rsid w:val="2D364B93"/>
    <w:rsid w:val="2D3C71CA"/>
    <w:rsid w:val="2D3E2A96"/>
    <w:rsid w:val="2D3E4355"/>
    <w:rsid w:val="2D402215"/>
    <w:rsid w:val="2D40645A"/>
    <w:rsid w:val="2D4175B7"/>
    <w:rsid w:val="2D5B1D46"/>
    <w:rsid w:val="2D6A3D37"/>
    <w:rsid w:val="2D6D7CCB"/>
    <w:rsid w:val="2D812430"/>
    <w:rsid w:val="2D824120"/>
    <w:rsid w:val="2D9E7E85"/>
    <w:rsid w:val="2D9F122A"/>
    <w:rsid w:val="2DA00DC4"/>
    <w:rsid w:val="2DA97277"/>
    <w:rsid w:val="2DAA05D8"/>
    <w:rsid w:val="2DAA4A7C"/>
    <w:rsid w:val="2DAE426C"/>
    <w:rsid w:val="2DB37590"/>
    <w:rsid w:val="2DBC07B4"/>
    <w:rsid w:val="2DBE7DD0"/>
    <w:rsid w:val="2DC46FE5"/>
    <w:rsid w:val="2DCF63A8"/>
    <w:rsid w:val="2DD1370D"/>
    <w:rsid w:val="2DD438A6"/>
    <w:rsid w:val="2DDE6388"/>
    <w:rsid w:val="2DE133A7"/>
    <w:rsid w:val="2DE670C3"/>
    <w:rsid w:val="2DEE30FF"/>
    <w:rsid w:val="2DF14458"/>
    <w:rsid w:val="2DF819AE"/>
    <w:rsid w:val="2DF82C56"/>
    <w:rsid w:val="2DFF3137"/>
    <w:rsid w:val="2E00469C"/>
    <w:rsid w:val="2E04531D"/>
    <w:rsid w:val="2E053A60"/>
    <w:rsid w:val="2E0E473D"/>
    <w:rsid w:val="2E0F2B31"/>
    <w:rsid w:val="2E1078B5"/>
    <w:rsid w:val="2E1C30B5"/>
    <w:rsid w:val="2E2A1718"/>
    <w:rsid w:val="2E2F018A"/>
    <w:rsid w:val="2E2F6D2F"/>
    <w:rsid w:val="2E383E35"/>
    <w:rsid w:val="2E3B507A"/>
    <w:rsid w:val="2E3D3071"/>
    <w:rsid w:val="2E511664"/>
    <w:rsid w:val="2E5A0537"/>
    <w:rsid w:val="2E6B5FB9"/>
    <w:rsid w:val="2E6E0F52"/>
    <w:rsid w:val="2E7B1F74"/>
    <w:rsid w:val="2E7C6418"/>
    <w:rsid w:val="2E855278"/>
    <w:rsid w:val="2E9179EF"/>
    <w:rsid w:val="2E9A0EF4"/>
    <w:rsid w:val="2E9C3F73"/>
    <w:rsid w:val="2EA145D0"/>
    <w:rsid w:val="2EA45944"/>
    <w:rsid w:val="2EB11F36"/>
    <w:rsid w:val="2EB40E48"/>
    <w:rsid w:val="2EB53C1B"/>
    <w:rsid w:val="2EBE7776"/>
    <w:rsid w:val="2ED33B5E"/>
    <w:rsid w:val="2ED67F7C"/>
    <w:rsid w:val="2ED731EC"/>
    <w:rsid w:val="2ED96CCE"/>
    <w:rsid w:val="2EDD427F"/>
    <w:rsid w:val="2EE4512D"/>
    <w:rsid w:val="2EE45D6B"/>
    <w:rsid w:val="2EF626EA"/>
    <w:rsid w:val="2F013FB4"/>
    <w:rsid w:val="2F030433"/>
    <w:rsid w:val="2F0748DF"/>
    <w:rsid w:val="2F115F90"/>
    <w:rsid w:val="2F2820FC"/>
    <w:rsid w:val="2F2919D0"/>
    <w:rsid w:val="2F2B5748"/>
    <w:rsid w:val="2F2D326E"/>
    <w:rsid w:val="2F336759"/>
    <w:rsid w:val="2F36563D"/>
    <w:rsid w:val="2F3C1703"/>
    <w:rsid w:val="2F4405B8"/>
    <w:rsid w:val="2F462582"/>
    <w:rsid w:val="2F515A51"/>
    <w:rsid w:val="2F526CA4"/>
    <w:rsid w:val="2F5A59F8"/>
    <w:rsid w:val="2F5B427F"/>
    <w:rsid w:val="2F6375D8"/>
    <w:rsid w:val="2F662C24"/>
    <w:rsid w:val="2F6649D2"/>
    <w:rsid w:val="2F665E23"/>
    <w:rsid w:val="2F667AD4"/>
    <w:rsid w:val="2F6F0031"/>
    <w:rsid w:val="2F7112CC"/>
    <w:rsid w:val="2F794705"/>
    <w:rsid w:val="2F8044C8"/>
    <w:rsid w:val="2F8B146B"/>
    <w:rsid w:val="2F8D1883"/>
    <w:rsid w:val="2F8D7A55"/>
    <w:rsid w:val="2F8E19E9"/>
    <w:rsid w:val="2F8F1C90"/>
    <w:rsid w:val="2F972DDE"/>
    <w:rsid w:val="2FA13B36"/>
    <w:rsid w:val="2FBF6E64"/>
    <w:rsid w:val="2FC647D1"/>
    <w:rsid w:val="2FCD67FF"/>
    <w:rsid w:val="2FCF07C9"/>
    <w:rsid w:val="2FDB53C0"/>
    <w:rsid w:val="2FE75B13"/>
    <w:rsid w:val="2FF208C7"/>
    <w:rsid w:val="2FF24910"/>
    <w:rsid w:val="2FF479A2"/>
    <w:rsid w:val="2FFA5F04"/>
    <w:rsid w:val="2FFF1E0C"/>
    <w:rsid w:val="3002722B"/>
    <w:rsid w:val="30051815"/>
    <w:rsid w:val="300D65D8"/>
    <w:rsid w:val="300E12F2"/>
    <w:rsid w:val="302537E4"/>
    <w:rsid w:val="302607B2"/>
    <w:rsid w:val="30270E56"/>
    <w:rsid w:val="303164FF"/>
    <w:rsid w:val="30355AEB"/>
    <w:rsid w:val="303837B5"/>
    <w:rsid w:val="303952D6"/>
    <w:rsid w:val="303A1C53"/>
    <w:rsid w:val="303A47C4"/>
    <w:rsid w:val="303D2BFC"/>
    <w:rsid w:val="303F76FD"/>
    <w:rsid w:val="305245DE"/>
    <w:rsid w:val="305619E6"/>
    <w:rsid w:val="305A318B"/>
    <w:rsid w:val="307915F7"/>
    <w:rsid w:val="307A24E3"/>
    <w:rsid w:val="309474CA"/>
    <w:rsid w:val="309D2223"/>
    <w:rsid w:val="30A77050"/>
    <w:rsid w:val="30B30F92"/>
    <w:rsid w:val="30BB54CD"/>
    <w:rsid w:val="30C1133C"/>
    <w:rsid w:val="30C97DD0"/>
    <w:rsid w:val="30CB436B"/>
    <w:rsid w:val="30D24AF6"/>
    <w:rsid w:val="30DF5DFB"/>
    <w:rsid w:val="30E06EBA"/>
    <w:rsid w:val="30E43E01"/>
    <w:rsid w:val="30EA3919"/>
    <w:rsid w:val="30F2386A"/>
    <w:rsid w:val="30F62743"/>
    <w:rsid w:val="30FF0C3A"/>
    <w:rsid w:val="31007280"/>
    <w:rsid w:val="310821E5"/>
    <w:rsid w:val="31097D0B"/>
    <w:rsid w:val="311C64BD"/>
    <w:rsid w:val="31232B7B"/>
    <w:rsid w:val="31240917"/>
    <w:rsid w:val="31245B1A"/>
    <w:rsid w:val="312608BD"/>
    <w:rsid w:val="312E1520"/>
    <w:rsid w:val="312E732D"/>
    <w:rsid w:val="312F0C69"/>
    <w:rsid w:val="31334567"/>
    <w:rsid w:val="31336B36"/>
    <w:rsid w:val="31372713"/>
    <w:rsid w:val="313E0E0C"/>
    <w:rsid w:val="313F54DB"/>
    <w:rsid w:val="314174A5"/>
    <w:rsid w:val="314D19A6"/>
    <w:rsid w:val="31552F50"/>
    <w:rsid w:val="315E709A"/>
    <w:rsid w:val="316177D1"/>
    <w:rsid w:val="3163566D"/>
    <w:rsid w:val="3163596C"/>
    <w:rsid w:val="31684A32"/>
    <w:rsid w:val="316D58CB"/>
    <w:rsid w:val="31711940"/>
    <w:rsid w:val="31750EFD"/>
    <w:rsid w:val="31795DC0"/>
    <w:rsid w:val="3183186B"/>
    <w:rsid w:val="318407F2"/>
    <w:rsid w:val="318E7C04"/>
    <w:rsid w:val="31975317"/>
    <w:rsid w:val="31A032AA"/>
    <w:rsid w:val="31AA5322"/>
    <w:rsid w:val="31BA03E2"/>
    <w:rsid w:val="31DA4154"/>
    <w:rsid w:val="31DB42F6"/>
    <w:rsid w:val="31E22A36"/>
    <w:rsid w:val="31E247E4"/>
    <w:rsid w:val="31E83DC4"/>
    <w:rsid w:val="31E87920"/>
    <w:rsid w:val="31F167D5"/>
    <w:rsid w:val="31F90508"/>
    <w:rsid w:val="31FD5A66"/>
    <w:rsid w:val="320606E6"/>
    <w:rsid w:val="320D154F"/>
    <w:rsid w:val="321150C9"/>
    <w:rsid w:val="32117DAA"/>
    <w:rsid w:val="32146967"/>
    <w:rsid w:val="3218159B"/>
    <w:rsid w:val="322F3A97"/>
    <w:rsid w:val="32476B26"/>
    <w:rsid w:val="324C1127"/>
    <w:rsid w:val="32516C52"/>
    <w:rsid w:val="325A22A3"/>
    <w:rsid w:val="326B6713"/>
    <w:rsid w:val="326C0B57"/>
    <w:rsid w:val="327B02A1"/>
    <w:rsid w:val="328E101B"/>
    <w:rsid w:val="32957AA8"/>
    <w:rsid w:val="32A10934"/>
    <w:rsid w:val="32A258C6"/>
    <w:rsid w:val="32A544E2"/>
    <w:rsid w:val="32A777DC"/>
    <w:rsid w:val="32AC7001"/>
    <w:rsid w:val="32B06690"/>
    <w:rsid w:val="32C71C2C"/>
    <w:rsid w:val="32CD696F"/>
    <w:rsid w:val="32DB3C89"/>
    <w:rsid w:val="32DE750E"/>
    <w:rsid w:val="32E516DD"/>
    <w:rsid w:val="32E53E60"/>
    <w:rsid w:val="32E56598"/>
    <w:rsid w:val="32FA4F0A"/>
    <w:rsid w:val="32FF1198"/>
    <w:rsid w:val="330D68E9"/>
    <w:rsid w:val="33136C1F"/>
    <w:rsid w:val="331A4831"/>
    <w:rsid w:val="331A61FF"/>
    <w:rsid w:val="331C252D"/>
    <w:rsid w:val="331D1032"/>
    <w:rsid w:val="33244988"/>
    <w:rsid w:val="33274478"/>
    <w:rsid w:val="334B63B9"/>
    <w:rsid w:val="334F40FB"/>
    <w:rsid w:val="33544725"/>
    <w:rsid w:val="33565A57"/>
    <w:rsid w:val="33707BCD"/>
    <w:rsid w:val="33791178"/>
    <w:rsid w:val="337D5D2A"/>
    <w:rsid w:val="33811DDB"/>
    <w:rsid w:val="338329AE"/>
    <w:rsid w:val="33942DB9"/>
    <w:rsid w:val="33973A33"/>
    <w:rsid w:val="33997124"/>
    <w:rsid w:val="33A361F5"/>
    <w:rsid w:val="33AE06F6"/>
    <w:rsid w:val="33B10912"/>
    <w:rsid w:val="33B74356"/>
    <w:rsid w:val="33CC262E"/>
    <w:rsid w:val="33DA58E8"/>
    <w:rsid w:val="33DF7A96"/>
    <w:rsid w:val="33E926A1"/>
    <w:rsid w:val="33EA3E24"/>
    <w:rsid w:val="33F32164"/>
    <w:rsid w:val="33F56325"/>
    <w:rsid w:val="34020AC1"/>
    <w:rsid w:val="340266AE"/>
    <w:rsid w:val="340547BA"/>
    <w:rsid w:val="34110C26"/>
    <w:rsid w:val="34222A8F"/>
    <w:rsid w:val="34321327"/>
    <w:rsid w:val="34386A4F"/>
    <w:rsid w:val="34403A44"/>
    <w:rsid w:val="34485199"/>
    <w:rsid w:val="344F75D9"/>
    <w:rsid w:val="346B56F4"/>
    <w:rsid w:val="347100A1"/>
    <w:rsid w:val="34727975"/>
    <w:rsid w:val="34736E70"/>
    <w:rsid w:val="347528E2"/>
    <w:rsid w:val="347C6D15"/>
    <w:rsid w:val="348F2B43"/>
    <w:rsid w:val="34967A51"/>
    <w:rsid w:val="349E363C"/>
    <w:rsid w:val="349F297B"/>
    <w:rsid w:val="34A83397"/>
    <w:rsid w:val="34AA571F"/>
    <w:rsid w:val="34B00BC9"/>
    <w:rsid w:val="34B1049E"/>
    <w:rsid w:val="34B42578"/>
    <w:rsid w:val="34BB756E"/>
    <w:rsid w:val="34C32D7E"/>
    <w:rsid w:val="34C77CC1"/>
    <w:rsid w:val="34CE79DE"/>
    <w:rsid w:val="34D328B1"/>
    <w:rsid w:val="34DB4B29"/>
    <w:rsid w:val="34ED7013"/>
    <w:rsid w:val="34F43D78"/>
    <w:rsid w:val="34F605A6"/>
    <w:rsid w:val="34F94E10"/>
    <w:rsid w:val="34FE39F8"/>
    <w:rsid w:val="35011425"/>
    <w:rsid w:val="35055160"/>
    <w:rsid w:val="351519AC"/>
    <w:rsid w:val="35154772"/>
    <w:rsid w:val="351849C1"/>
    <w:rsid w:val="35223149"/>
    <w:rsid w:val="35241FB8"/>
    <w:rsid w:val="3529272A"/>
    <w:rsid w:val="352D221A"/>
    <w:rsid w:val="352E0675"/>
    <w:rsid w:val="35366BF5"/>
    <w:rsid w:val="353D771E"/>
    <w:rsid w:val="3542559A"/>
    <w:rsid w:val="354B444E"/>
    <w:rsid w:val="355239A5"/>
    <w:rsid w:val="35675000"/>
    <w:rsid w:val="356B18E7"/>
    <w:rsid w:val="356C7562"/>
    <w:rsid w:val="357F059C"/>
    <w:rsid w:val="358D6E84"/>
    <w:rsid w:val="35937732"/>
    <w:rsid w:val="35940FAC"/>
    <w:rsid w:val="3598326C"/>
    <w:rsid w:val="3599165E"/>
    <w:rsid w:val="359B768F"/>
    <w:rsid w:val="35A31ACA"/>
    <w:rsid w:val="35B768E2"/>
    <w:rsid w:val="35B77D36"/>
    <w:rsid w:val="35BF4E3C"/>
    <w:rsid w:val="35C1223A"/>
    <w:rsid w:val="35C13115"/>
    <w:rsid w:val="35C97A69"/>
    <w:rsid w:val="35CD1307"/>
    <w:rsid w:val="35D302AC"/>
    <w:rsid w:val="35D67777"/>
    <w:rsid w:val="35E0728C"/>
    <w:rsid w:val="35EE15AA"/>
    <w:rsid w:val="35EF5186"/>
    <w:rsid w:val="35FC005D"/>
    <w:rsid w:val="360B26C2"/>
    <w:rsid w:val="36147E72"/>
    <w:rsid w:val="36176A26"/>
    <w:rsid w:val="3619454C"/>
    <w:rsid w:val="361D2668"/>
    <w:rsid w:val="361D5A70"/>
    <w:rsid w:val="362367E6"/>
    <w:rsid w:val="3627310D"/>
    <w:rsid w:val="362B6E49"/>
    <w:rsid w:val="364000C3"/>
    <w:rsid w:val="36426B0D"/>
    <w:rsid w:val="36444A56"/>
    <w:rsid w:val="36462F9D"/>
    <w:rsid w:val="3647730B"/>
    <w:rsid w:val="36594AB1"/>
    <w:rsid w:val="365D6B2F"/>
    <w:rsid w:val="36625EF3"/>
    <w:rsid w:val="36685234"/>
    <w:rsid w:val="366D6BF5"/>
    <w:rsid w:val="36730100"/>
    <w:rsid w:val="36806FD0"/>
    <w:rsid w:val="368106D1"/>
    <w:rsid w:val="36873BAC"/>
    <w:rsid w:val="36876B45"/>
    <w:rsid w:val="369553E2"/>
    <w:rsid w:val="36A06A1C"/>
    <w:rsid w:val="36A54032"/>
    <w:rsid w:val="36A77DAA"/>
    <w:rsid w:val="36AE1B85"/>
    <w:rsid w:val="36B546B9"/>
    <w:rsid w:val="36BD5820"/>
    <w:rsid w:val="36C721FA"/>
    <w:rsid w:val="36E25286"/>
    <w:rsid w:val="36E7464B"/>
    <w:rsid w:val="36EE057B"/>
    <w:rsid w:val="36F01751"/>
    <w:rsid w:val="36F56D67"/>
    <w:rsid w:val="36F72AFB"/>
    <w:rsid w:val="36F80606"/>
    <w:rsid w:val="37024FE0"/>
    <w:rsid w:val="37070849"/>
    <w:rsid w:val="370E1BD7"/>
    <w:rsid w:val="370F548B"/>
    <w:rsid w:val="3717719A"/>
    <w:rsid w:val="371A057C"/>
    <w:rsid w:val="371A4A20"/>
    <w:rsid w:val="372431A9"/>
    <w:rsid w:val="3724764D"/>
    <w:rsid w:val="37273B0D"/>
    <w:rsid w:val="372F62B8"/>
    <w:rsid w:val="37352BA7"/>
    <w:rsid w:val="373D2A8F"/>
    <w:rsid w:val="3748158D"/>
    <w:rsid w:val="37524D07"/>
    <w:rsid w:val="376734F4"/>
    <w:rsid w:val="3769363F"/>
    <w:rsid w:val="376F0AF3"/>
    <w:rsid w:val="377C2FE5"/>
    <w:rsid w:val="377C6F7F"/>
    <w:rsid w:val="377F046A"/>
    <w:rsid w:val="378766F8"/>
    <w:rsid w:val="378E0DFE"/>
    <w:rsid w:val="379A16BD"/>
    <w:rsid w:val="37BE13C4"/>
    <w:rsid w:val="37C001C4"/>
    <w:rsid w:val="37C4498C"/>
    <w:rsid w:val="37C4673A"/>
    <w:rsid w:val="37C705EF"/>
    <w:rsid w:val="37C935D4"/>
    <w:rsid w:val="37CC3161"/>
    <w:rsid w:val="37CE7AFB"/>
    <w:rsid w:val="37CF18AE"/>
    <w:rsid w:val="37E56DDC"/>
    <w:rsid w:val="37F146CF"/>
    <w:rsid w:val="37F214F9"/>
    <w:rsid w:val="37F60FE9"/>
    <w:rsid w:val="37FF7772"/>
    <w:rsid w:val="380B25BB"/>
    <w:rsid w:val="381D6354"/>
    <w:rsid w:val="38246BD1"/>
    <w:rsid w:val="38316B22"/>
    <w:rsid w:val="38380CD3"/>
    <w:rsid w:val="383B7C9A"/>
    <w:rsid w:val="38547C0B"/>
    <w:rsid w:val="38591578"/>
    <w:rsid w:val="38665B41"/>
    <w:rsid w:val="386677F1"/>
    <w:rsid w:val="3870241E"/>
    <w:rsid w:val="38745F93"/>
    <w:rsid w:val="387C00DB"/>
    <w:rsid w:val="387C73A9"/>
    <w:rsid w:val="387E54E5"/>
    <w:rsid w:val="38875858"/>
    <w:rsid w:val="388C54AA"/>
    <w:rsid w:val="389A7402"/>
    <w:rsid w:val="38B0418F"/>
    <w:rsid w:val="38BE712A"/>
    <w:rsid w:val="38D46E50"/>
    <w:rsid w:val="38D90D9E"/>
    <w:rsid w:val="38E02394"/>
    <w:rsid w:val="38E33110"/>
    <w:rsid w:val="38F33467"/>
    <w:rsid w:val="390149D1"/>
    <w:rsid w:val="39020049"/>
    <w:rsid w:val="39074D43"/>
    <w:rsid w:val="390E4F3A"/>
    <w:rsid w:val="391D5A6F"/>
    <w:rsid w:val="392840E5"/>
    <w:rsid w:val="3929719C"/>
    <w:rsid w:val="392E030F"/>
    <w:rsid w:val="393022D9"/>
    <w:rsid w:val="393970EF"/>
    <w:rsid w:val="39426769"/>
    <w:rsid w:val="394A0EC1"/>
    <w:rsid w:val="394B6D0E"/>
    <w:rsid w:val="3952320A"/>
    <w:rsid w:val="39567866"/>
    <w:rsid w:val="39604A6A"/>
    <w:rsid w:val="39724D69"/>
    <w:rsid w:val="397D1988"/>
    <w:rsid w:val="39822C77"/>
    <w:rsid w:val="39831141"/>
    <w:rsid w:val="399860D0"/>
    <w:rsid w:val="39B16024"/>
    <w:rsid w:val="39B966FD"/>
    <w:rsid w:val="39D727E9"/>
    <w:rsid w:val="39DC5FBD"/>
    <w:rsid w:val="39E66E3B"/>
    <w:rsid w:val="39F4509D"/>
    <w:rsid w:val="39F90059"/>
    <w:rsid w:val="3A0133CF"/>
    <w:rsid w:val="3A110B07"/>
    <w:rsid w:val="3A1112F5"/>
    <w:rsid w:val="3A1A4D37"/>
    <w:rsid w:val="3A1F234D"/>
    <w:rsid w:val="3A231E3E"/>
    <w:rsid w:val="3A2443AC"/>
    <w:rsid w:val="3A306308"/>
    <w:rsid w:val="3A3C4CAD"/>
    <w:rsid w:val="3A415337"/>
    <w:rsid w:val="3A4B4EF0"/>
    <w:rsid w:val="3A4B5E12"/>
    <w:rsid w:val="3A4F49E1"/>
    <w:rsid w:val="3A5061F6"/>
    <w:rsid w:val="3A512766"/>
    <w:rsid w:val="3A577D39"/>
    <w:rsid w:val="3A5E2CA8"/>
    <w:rsid w:val="3A5E69D2"/>
    <w:rsid w:val="3A655FB2"/>
    <w:rsid w:val="3A7017FB"/>
    <w:rsid w:val="3A716A48"/>
    <w:rsid w:val="3A763C53"/>
    <w:rsid w:val="3A7B6865"/>
    <w:rsid w:val="3A7F7CF9"/>
    <w:rsid w:val="3A900B55"/>
    <w:rsid w:val="3A963425"/>
    <w:rsid w:val="3AA35717"/>
    <w:rsid w:val="3AA45F18"/>
    <w:rsid w:val="3AA572CA"/>
    <w:rsid w:val="3AAD5BAB"/>
    <w:rsid w:val="3AB212D5"/>
    <w:rsid w:val="3AB40624"/>
    <w:rsid w:val="3AB962FE"/>
    <w:rsid w:val="3AC84770"/>
    <w:rsid w:val="3AC96152"/>
    <w:rsid w:val="3AD852CC"/>
    <w:rsid w:val="3ADD7F89"/>
    <w:rsid w:val="3AE80632"/>
    <w:rsid w:val="3AE931E7"/>
    <w:rsid w:val="3AEC07A9"/>
    <w:rsid w:val="3AEC222F"/>
    <w:rsid w:val="3AFC778A"/>
    <w:rsid w:val="3AFF67B0"/>
    <w:rsid w:val="3B012A92"/>
    <w:rsid w:val="3B072153"/>
    <w:rsid w:val="3B0936A2"/>
    <w:rsid w:val="3B0B06A5"/>
    <w:rsid w:val="3B143534"/>
    <w:rsid w:val="3B193E8A"/>
    <w:rsid w:val="3B1F4044"/>
    <w:rsid w:val="3B2231D6"/>
    <w:rsid w:val="3B280569"/>
    <w:rsid w:val="3B286837"/>
    <w:rsid w:val="3B293484"/>
    <w:rsid w:val="3B297922"/>
    <w:rsid w:val="3B2B3C76"/>
    <w:rsid w:val="3B300625"/>
    <w:rsid w:val="3B31058A"/>
    <w:rsid w:val="3B366B34"/>
    <w:rsid w:val="3B3B26B4"/>
    <w:rsid w:val="3B5A363D"/>
    <w:rsid w:val="3B6C4DB0"/>
    <w:rsid w:val="3B713DAE"/>
    <w:rsid w:val="3B8B588B"/>
    <w:rsid w:val="3B8C57C0"/>
    <w:rsid w:val="3B8D4A18"/>
    <w:rsid w:val="3B9C6F72"/>
    <w:rsid w:val="3B9D5C20"/>
    <w:rsid w:val="3BC80B33"/>
    <w:rsid w:val="3BCC2DD9"/>
    <w:rsid w:val="3BD72EE0"/>
    <w:rsid w:val="3BDD601C"/>
    <w:rsid w:val="3BDF4B8E"/>
    <w:rsid w:val="3BDF7FE6"/>
    <w:rsid w:val="3BE328A7"/>
    <w:rsid w:val="3BE33873"/>
    <w:rsid w:val="3BE7142E"/>
    <w:rsid w:val="3BEF0B2A"/>
    <w:rsid w:val="3BFD221A"/>
    <w:rsid w:val="3C030EA9"/>
    <w:rsid w:val="3C047982"/>
    <w:rsid w:val="3C1B791F"/>
    <w:rsid w:val="3C2123AD"/>
    <w:rsid w:val="3C2520AD"/>
    <w:rsid w:val="3C2679C3"/>
    <w:rsid w:val="3C2845BB"/>
    <w:rsid w:val="3C3B6C28"/>
    <w:rsid w:val="3C3E2F5F"/>
    <w:rsid w:val="3C430575"/>
    <w:rsid w:val="3C44609B"/>
    <w:rsid w:val="3C5E0F0B"/>
    <w:rsid w:val="3C664263"/>
    <w:rsid w:val="3C700C3E"/>
    <w:rsid w:val="3C70629E"/>
    <w:rsid w:val="3C756255"/>
    <w:rsid w:val="3C820EA4"/>
    <w:rsid w:val="3C913167"/>
    <w:rsid w:val="3C942289"/>
    <w:rsid w:val="3CA8487C"/>
    <w:rsid w:val="3CB274A9"/>
    <w:rsid w:val="3CB62146"/>
    <w:rsid w:val="3CBA010B"/>
    <w:rsid w:val="3CC33196"/>
    <w:rsid w:val="3CC8110B"/>
    <w:rsid w:val="3CC84A49"/>
    <w:rsid w:val="3CCA47F2"/>
    <w:rsid w:val="3CD153B4"/>
    <w:rsid w:val="3CD27ED4"/>
    <w:rsid w:val="3CD45671"/>
    <w:rsid w:val="3CD973AF"/>
    <w:rsid w:val="3CDC6568"/>
    <w:rsid w:val="3CE51B14"/>
    <w:rsid w:val="3CE901A4"/>
    <w:rsid w:val="3CF3094E"/>
    <w:rsid w:val="3CF640BC"/>
    <w:rsid w:val="3D033860"/>
    <w:rsid w:val="3D0870C9"/>
    <w:rsid w:val="3D0972B1"/>
    <w:rsid w:val="3D0A1744"/>
    <w:rsid w:val="3D0B46A7"/>
    <w:rsid w:val="3D141F11"/>
    <w:rsid w:val="3D2C1009"/>
    <w:rsid w:val="3D2D6B2F"/>
    <w:rsid w:val="3D324241"/>
    <w:rsid w:val="3D3D4AC1"/>
    <w:rsid w:val="3D4E0F7F"/>
    <w:rsid w:val="3D4F6AA6"/>
    <w:rsid w:val="3D5C3BD3"/>
    <w:rsid w:val="3D626ECE"/>
    <w:rsid w:val="3D642ABF"/>
    <w:rsid w:val="3D687B67"/>
    <w:rsid w:val="3D780336"/>
    <w:rsid w:val="3D7E7EDB"/>
    <w:rsid w:val="3D844C2A"/>
    <w:rsid w:val="3D850719"/>
    <w:rsid w:val="3D894D02"/>
    <w:rsid w:val="3D897F97"/>
    <w:rsid w:val="3D8C5CE2"/>
    <w:rsid w:val="3D8E75CE"/>
    <w:rsid w:val="3D912D0A"/>
    <w:rsid w:val="3D94460E"/>
    <w:rsid w:val="3DAF2354"/>
    <w:rsid w:val="3DAF4173"/>
    <w:rsid w:val="3DBA6615"/>
    <w:rsid w:val="3DBD4357"/>
    <w:rsid w:val="3DC054F8"/>
    <w:rsid w:val="3DC54FBA"/>
    <w:rsid w:val="3DC8149C"/>
    <w:rsid w:val="3DD11BB1"/>
    <w:rsid w:val="3DD86A9B"/>
    <w:rsid w:val="3DEA67CE"/>
    <w:rsid w:val="3DF1421B"/>
    <w:rsid w:val="3DFA1107"/>
    <w:rsid w:val="3E040A2A"/>
    <w:rsid w:val="3E047890"/>
    <w:rsid w:val="3E10092B"/>
    <w:rsid w:val="3E31371C"/>
    <w:rsid w:val="3E331626"/>
    <w:rsid w:val="3E3B6EDE"/>
    <w:rsid w:val="3E3F2623"/>
    <w:rsid w:val="3E4405D4"/>
    <w:rsid w:val="3E4509F4"/>
    <w:rsid w:val="3E534EDC"/>
    <w:rsid w:val="3E541A69"/>
    <w:rsid w:val="3E613663"/>
    <w:rsid w:val="3E6842C3"/>
    <w:rsid w:val="3E6B790F"/>
    <w:rsid w:val="3E725142"/>
    <w:rsid w:val="3E772758"/>
    <w:rsid w:val="3E776821"/>
    <w:rsid w:val="3E8359FE"/>
    <w:rsid w:val="3E8B1D5F"/>
    <w:rsid w:val="3E8D3F69"/>
    <w:rsid w:val="3E9470C5"/>
    <w:rsid w:val="3E962EC2"/>
    <w:rsid w:val="3E980AC8"/>
    <w:rsid w:val="3EA2482B"/>
    <w:rsid w:val="3EA64DEB"/>
    <w:rsid w:val="3EA77317"/>
    <w:rsid w:val="3EB02F44"/>
    <w:rsid w:val="3EB5502E"/>
    <w:rsid w:val="3EBC460F"/>
    <w:rsid w:val="3EBE540E"/>
    <w:rsid w:val="3EBF7C5B"/>
    <w:rsid w:val="3EC62D97"/>
    <w:rsid w:val="3ECD05CA"/>
    <w:rsid w:val="3EE55913"/>
    <w:rsid w:val="3F0062A9"/>
    <w:rsid w:val="3F0A5660"/>
    <w:rsid w:val="3F1E0E25"/>
    <w:rsid w:val="3F1E642D"/>
    <w:rsid w:val="3F2000EE"/>
    <w:rsid w:val="3F25637C"/>
    <w:rsid w:val="3F2C52F0"/>
    <w:rsid w:val="3F3C6758"/>
    <w:rsid w:val="3F470618"/>
    <w:rsid w:val="3F494C39"/>
    <w:rsid w:val="3F5B5BD6"/>
    <w:rsid w:val="3F5D6172"/>
    <w:rsid w:val="3F602422"/>
    <w:rsid w:val="3F6166B0"/>
    <w:rsid w:val="3F6A7BC7"/>
    <w:rsid w:val="3F7153F9"/>
    <w:rsid w:val="3F742F66"/>
    <w:rsid w:val="3F7A2500"/>
    <w:rsid w:val="3F800F5A"/>
    <w:rsid w:val="3F824E8C"/>
    <w:rsid w:val="3F9D61EE"/>
    <w:rsid w:val="3FA00827"/>
    <w:rsid w:val="3FA95E4E"/>
    <w:rsid w:val="3FAF2B70"/>
    <w:rsid w:val="3FB12BDF"/>
    <w:rsid w:val="3FC165DA"/>
    <w:rsid w:val="3FC714BD"/>
    <w:rsid w:val="3FC85951"/>
    <w:rsid w:val="3FCA4B09"/>
    <w:rsid w:val="3FD414E4"/>
    <w:rsid w:val="3FDA4D4C"/>
    <w:rsid w:val="3FDF2363"/>
    <w:rsid w:val="3FE21909"/>
    <w:rsid w:val="3FE26329"/>
    <w:rsid w:val="3FE51248"/>
    <w:rsid w:val="4000431C"/>
    <w:rsid w:val="40061FE5"/>
    <w:rsid w:val="401069C0"/>
    <w:rsid w:val="40127B6F"/>
    <w:rsid w:val="402B7B89"/>
    <w:rsid w:val="40427815"/>
    <w:rsid w:val="404B0F7B"/>
    <w:rsid w:val="404B5C4A"/>
    <w:rsid w:val="404C3770"/>
    <w:rsid w:val="404F5CFA"/>
    <w:rsid w:val="40501E19"/>
    <w:rsid w:val="40532D51"/>
    <w:rsid w:val="40550877"/>
    <w:rsid w:val="406C0783"/>
    <w:rsid w:val="40730CFD"/>
    <w:rsid w:val="40752CC7"/>
    <w:rsid w:val="407A5983"/>
    <w:rsid w:val="4080090B"/>
    <w:rsid w:val="40866C82"/>
    <w:rsid w:val="40956EC5"/>
    <w:rsid w:val="409969B6"/>
    <w:rsid w:val="409F5DDA"/>
    <w:rsid w:val="40AE06CB"/>
    <w:rsid w:val="40B3559D"/>
    <w:rsid w:val="40B557B9"/>
    <w:rsid w:val="40B6725D"/>
    <w:rsid w:val="40BE466E"/>
    <w:rsid w:val="40C451A5"/>
    <w:rsid w:val="40CF0629"/>
    <w:rsid w:val="40D00CCF"/>
    <w:rsid w:val="40D07A35"/>
    <w:rsid w:val="40D07EFD"/>
    <w:rsid w:val="40D75BF1"/>
    <w:rsid w:val="40DF4951"/>
    <w:rsid w:val="40E12086"/>
    <w:rsid w:val="40E37C31"/>
    <w:rsid w:val="40EC429C"/>
    <w:rsid w:val="40F0234E"/>
    <w:rsid w:val="40FD35B9"/>
    <w:rsid w:val="40FD375C"/>
    <w:rsid w:val="4101209C"/>
    <w:rsid w:val="41036525"/>
    <w:rsid w:val="410514D4"/>
    <w:rsid w:val="410B16A6"/>
    <w:rsid w:val="41256996"/>
    <w:rsid w:val="412F3FB1"/>
    <w:rsid w:val="4133638A"/>
    <w:rsid w:val="41524DB6"/>
    <w:rsid w:val="41530102"/>
    <w:rsid w:val="41537334"/>
    <w:rsid w:val="415648A7"/>
    <w:rsid w:val="415804DF"/>
    <w:rsid w:val="415D4013"/>
    <w:rsid w:val="41674009"/>
    <w:rsid w:val="417148FA"/>
    <w:rsid w:val="417411D1"/>
    <w:rsid w:val="41742F7F"/>
    <w:rsid w:val="41776A60"/>
    <w:rsid w:val="4182569C"/>
    <w:rsid w:val="418331C2"/>
    <w:rsid w:val="41847666"/>
    <w:rsid w:val="41977F59"/>
    <w:rsid w:val="419A2539"/>
    <w:rsid w:val="41A72730"/>
    <w:rsid w:val="41B35246"/>
    <w:rsid w:val="41B36150"/>
    <w:rsid w:val="41B546CA"/>
    <w:rsid w:val="41B9448B"/>
    <w:rsid w:val="41B94E35"/>
    <w:rsid w:val="41BC5EBE"/>
    <w:rsid w:val="41BD277F"/>
    <w:rsid w:val="41C002C6"/>
    <w:rsid w:val="41C244AC"/>
    <w:rsid w:val="41C538FC"/>
    <w:rsid w:val="41D37CA5"/>
    <w:rsid w:val="41D467F4"/>
    <w:rsid w:val="41D659E7"/>
    <w:rsid w:val="41E37C73"/>
    <w:rsid w:val="41E41EB2"/>
    <w:rsid w:val="41E75D68"/>
    <w:rsid w:val="41EB5D82"/>
    <w:rsid w:val="41ED4404"/>
    <w:rsid w:val="41F244EE"/>
    <w:rsid w:val="41F45E6E"/>
    <w:rsid w:val="41FD36BD"/>
    <w:rsid w:val="41FE03CB"/>
    <w:rsid w:val="42012BB6"/>
    <w:rsid w:val="42064C76"/>
    <w:rsid w:val="42072045"/>
    <w:rsid w:val="421D53C4"/>
    <w:rsid w:val="424C5CAA"/>
    <w:rsid w:val="425132C0"/>
    <w:rsid w:val="42585E83"/>
    <w:rsid w:val="4259700D"/>
    <w:rsid w:val="425A3F23"/>
    <w:rsid w:val="425A539A"/>
    <w:rsid w:val="42614EE5"/>
    <w:rsid w:val="426362FA"/>
    <w:rsid w:val="42663BF6"/>
    <w:rsid w:val="42725710"/>
    <w:rsid w:val="427A62D1"/>
    <w:rsid w:val="427B15B8"/>
    <w:rsid w:val="4280593C"/>
    <w:rsid w:val="42890CAC"/>
    <w:rsid w:val="428E4BD4"/>
    <w:rsid w:val="429C278D"/>
    <w:rsid w:val="42A85AFC"/>
    <w:rsid w:val="42B66837"/>
    <w:rsid w:val="42C972FA"/>
    <w:rsid w:val="42CB6BCE"/>
    <w:rsid w:val="42D04802"/>
    <w:rsid w:val="42D67BE0"/>
    <w:rsid w:val="42D737C5"/>
    <w:rsid w:val="42D96FD2"/>
    <w:rsid w:val="42DC5A59"/>
    <w:rsid w:val="42E02E70"/>
    <w:rsid w:val="42ED7E42"/>
    <w:rsid w:val="42EF6D61"/>
    <w:rsid w:val="42F04887"/>
    <w:rsid w:val="42F44377"/>
    <w:rsid w:val="42F500EF"/>
    <w:rsid w:val="42F645DF"/>
    <w:rsid w:val="43065E58"/>
    <w:rsid w:val="430B3F46"/>
    <w:rsid w:val="43192030"/>
    <w:rsid w:val="431F2284"/>
    <w:rsid w:val="432244F1"/>
    <w:rsid w:val="432B0617"/>
    <w:rsid w:val="432E36F1"/>
    <w:rsid w:val="43301127"/>
    <w:rsid w:val="43346E69"/>
    <w:rsid w:val="433F1693"/>
    <w:rsid w:val="4352109E"/>
    <w:rsid w:val="43525542"/>
    <w:rsid w:val="436D27D1"/>
    <w:rsid w:val="43826C25"/>
    <w:rsid w:val="438D140D"/>
    <w:rsid w:val="438E1236"/>
    <w:rsid w:val="4396542E"/>
    <w:rsid w:val="4396701A"/>
    <w:rsid w:val="439755FA"/>
    <w:rsid w:val="439912E3"/>
    <w:rsid w:val="43996CCD"/>
    <w:rsid w:val="43A70A05"/>
    <w:rsid w:val="43B257B7"/>
    <w:rsid w:val="43BE6733"/>
    <w:rsid w:val="43C55159"/>
    <w:rsid w:val="43C55D14"/>
    <w:rsid w:val="43C7383A"/>
    <w:rsid w:val="43CF0940"/>
    <w:rsid w:val="43D10864"/>
    <w:rsid w:val="43D12BC1"/>
    <w:rsid w:val="43E950E4"/>
    <w:rsid w:val="4403234F"/>
    <w:rsid w:val="44056110"/>
    <w:rsid w:val="440F1C7D"/>
    <w:rsid w:val="4415200B"/>
    <w:rsid w:val="44191BBB"/>
    <w:rsid w:val="44215F27"/>
    <w:rsid w:val="442A55C3"/>
    <w:rsid w:val="442F6127"/>
    <w:rsid w:val="44307382"/>
    <w:rsid w:val="44364FE3"/>
    <w:rsid w:val="443D5BA6"/>
    <w:rsid w:val="444C3D3F"/>
    <w:rsid w:val="444D1E13"/>
    <w:rsid w:val="44513AC2"/>
    <w:rsid w:val="445C3B70"/>
    <w:rsid w:val="44692B43"/>
    <w:rsid w:val="4473751E"/>
    <w:rsid w:val="44780105"/>
    <w:rsid w:val="447E126A"/>
    <w:rsid w:val="448259B3"/>
    <w:rsid w:val="448B0D0B"/>
    <w:rsid w:val="449000D0"/>
    <w:rsid w:val="4496320C"/>
    <w:rsid w:val="449712EE"/>
    <w:rsid w:val="4497554F"/>
    <w:rsid w:val="44992B70"/>
    <w:rsid w:val="449A2CFC"/>
    <w:rsid w:val="44A6065D"/>
    <w:rsid w:val="44A74CC8"/>
    <w:rsid w:val="44AD0C81"/>
    <w:rsid w:val="44B21147"/>
    <w:rsid w:val="44B27A49"/>
    <w:rsid w:val="44BD4C3D"/>
    <w:rsid w:val="44CD1ECF"/>
    <w:rsid w:val="44E64193"/>
    <w:rsid w:val="44EF6686"/>
    <w:rsid w:val="450042C0"/>
    <w:rsid w:val="4503769F"/>
    <w:rsid w:val="4504461A"/>
    <w:rsid w:val="45097E1C"/>
    <w:rsid w:val="45165A20"/>
    <w:rsid w:val="45244A1F"/>
    <w:rsid w:val="452F1CCB"/>
    <w:rsid w:val="452F5B3A"/>
    <w:rsid w:val="452F78E8"/>
    <w:rsid w:val="45376C3B"/>
    <w:rsid w:val="453A31F7"/>
    <w:rsid w:val="453A628D"/>
    <w:rsid w:val="453E3FCF"/>
    <w:rsid w:val="45404FBA"/>
    <w:rsid w:val="454563CB"/>
    <w:rsid w:val="454E5E44"/>
    <w:rsid w:val="45544A66"/>
    <w:rsid w:val="455E6EC4"/>
    <w:rsid w:val="4562543D"/>
    <w:rsid w:val="456413B2"/>
    <w:rsid w:val="4574077E"/>
    <w:rsid w:val="4577128F"/>
    <w:rsid w:val="457B6F24"/>
    <w:rsid w:val="458055DF"/>
    <w:rsid w:val="45924455"/>
    <w:rsid w:val="459E40A3"/>
    <w:rsid w:val="45A25E82"/>
    <w:rsid w:val="45A51B66"/>
    <w:rsid w:val="45A60D59"/>
    <w:rsid w:val="45A611F1"/>
    <w:rsid w:val="45A951CC"/>
    <w:rsid w:val="45B11557"/>
    <w:rsid w:val="45B60DA8"/>
    <w:rsid w:val="45BB508B"/>
    <w:rsid w:val="45BD144E"/>
    <w:rsid w:val="45BE0D18"/>
    <w:rsid w:val="45C5024D"/>
    <w:rsid w:val="45C714A3"/>
    <w:rsid w:val="45C81AEB"/>
    <w:rsid w:val="45CB6220"/>
    <w:rsid w:val="45D23B21"/>
    <w:rsid w:val="45E00BE3"/>
    <w:rsid w:val="45EB289C"/>
    <w:rsid w:val="45FC7254"/>
    <w:rsid w:val="46047F70"/>
    <w:rsid w:val="4618037D"/>
    <w:rsid w:val="461E6E18"/>
    <w:rsid w:val="461F5BAF"/>
    <w:rsid w:val="46230DFA"/>
    <w:rsid w:val="462C7B1B"/>
    <w:rsid w:val="46340F2E"/>
    <w:rsid w:val="463D3FE4"/>
    <w:rsid w:val="46430217"/>
    <w:rsid w:val="46496788"/>
    <w:rsid w:val="464D2177"/>
    <w:rsid w:val="46531834"/>
    <w:rsid w:val="46537607"/>
    <w:rsid w:val="4657521B"/>
    <w:rsid w:val="465932A3"/>
    <w:rsid w:val="46603AD2"/>
    <w:rsid w:val="466948DC"/>
    <w:rsid w:val="46696E2A"/>
    <w:rsid w:val="466D42BA"/>
    <w:rsid w:val="4673674D"/>
    <w:rsid w:val="46785EAD"/>
    <w:rsid w:val="46786DB5"/>
    <w:rsid w:val="4679477B"/>
    <w:rsid w:val="467E040D"/>
    <w:rsid w:val="467F756E"/>
    <w:rsid w:val="46802041"/>
    <w:rsid w:val="469519CD"/>
    <w:rsid w:val="46960F9A"/>
    <w:rsid w:val="46C67DD9"/>
    <w:rsid w:val="46C92A7F"/>
    <w:rsid w:val="46D47C7A"/>
    <w:rsid w:val="46DC584E"/>
    <w:rsid w:val="46E91D19"/>
    <w:rsid w:val="46EF6A42"/>
    <w:rsid w:val="46F11F9A"/>
    <w:rsid w:val="46F661E4"/>
    <w:rsid w:val="47037459"/>
    <w:rsid w:val="470A5D5F"/>
    <w:rsid w:val="470C1C03"/>
    <w:rsid w:val="47174AD8"/>
    <w:rsid w:val="471B2622"/>
    <w:rsid w:val="471C3E9C"/>
    <w:rsid w:val="471E7C15"/>
    <w:rsid w:val="47261108"/>
    <w:rsid w:val="4729480B"/>
    <w:rsid w:val="472B5B45"/>
    <w:rsid w:val="47307B28"/>
    <w:rsid w:val="47370CD6"/>
    <w:rsid w:val="47501D98"/>
    <w:rsid w:val="47523D62"/>
    <w:rsid w:val="475C24EB"/>
    <w:rsid w:val="475E2707"/>
    <w:rsid w:val="4761278B"/>
    <w:rsid w:val="47633879"/>
    <w:rsid w:val="47665118"/>
    <w:rsid w:val="47680E90"/>
    <w:rsid w:val="476A1FB3"/>
    <w:rsid w:val="477737C9"/>
    <w:rsid w:val="47775577"/>
    <w:rsid w:val="477838AA"/>
    <w:rsid w:val="477E4B57"/>
    <w:rsid w:val="478D2DCD"/>
    <w:rsid w:val="479F5CDA"/>
    <w:rsid w:val="47A04ACD"/>
    <w:rsid w:val="47AA76FA"/>
    <w:rsid w:val="47AE3FCB"/>
    <w:rsid w:val="47AF44AD"/>
    <w:rsid w:val="47B324E8"/>
    <w:rsid w:val="47C3090A"/>
    <w:rsid w:val="47C50090"/>
    <w:rsid w:val="47C552D8"/>
    <w:rsid w:val="47C6205A"/>
    <w:rsid w:val="47C94301"/>
    <w:rsid w:val="47CF3A8A"/>
    <w:rsid w:val="47D53FC2"/>
    <w:rsid w:val="47DB3D58"/>
    <w:rsid w:val="47E56984"/>
    <w:rsid w:val="47EB5A11"/>
    <w:rsid w:val="47ED75E7"/>
    <w:rsid w:val="47F222F1"/>
    <w:rsid w:val="480C3F11"/>
    <w:rsid w:val="480E5EDB"/>
    <w:rsid w:val="480F2E5A"/>
    <w:rsid w:val="48244187"/>
    <w:rsid w:val="48252985"/>
    <w:rsid w:val="482A136F"/>
    <w:rsid w:val="482A3593"/>
    <w:rsid w:val="482F7BFF"/>
    <w:rsid w:val="483D231C"/>
    <w:rsid w:val="4840698A"/>
    <w:rsid w:val="48436B85"/>
    <w:rsid w:val="48480CC1"/>
    <w:rsid w:val="48513435"/>
    <w:rsid w:val="48515FFD"/>
    <w:rsid w:val="4857074A"/>
    <w:rsid w:val="48671147"/>
    <w:rsid w:val="48675681"/>
    <w:rsid w:val="486C2C02"/>
    <w:rsid w:val="48741D6A"/>
    <w:rsid w:val="487B5471"/>
    <w:rsid w:val="488C7657"/>
    <w:rsid w:val="48947E12"/>
    <w:rsid w:val="489857A5"/>
    <w:rsid w:val="48A73C3A"/>
    <w:rsid w:val="48A73EFF"/>
    <w:rsid w:val="48AC74A2"/>
    <w:rsid w:val="48AE59D5"/>
    <w:rsid w:val="48BA13BF"/>
    <w:rsid w:val="48BD62E3"/>
    <w:rsid w:val="48C77E38"/>
    <w:rsid w:val="48CC06FB"/>
    <w:rsid w:val="48D00F18"/>
    <w:rsid w:val="48D64312"/>
    <w:rsid w:val="48E1714C"/>
    <w:rsid w:val="48E376BD"/>
    <w:rsid w:val="48F46BE5"/>
    <w:rsid w:val="49043516"/>
    <w:rsid w:val="4919359E"/>
    <w:rsid w:val="491E1D78"/>
    <w:rsid w:val="49250B1D"/>
    <w:rsid w:val="492E2927"/>
    <w:rsid w:val="493352EF"/>
    <w:rsid w:val="49351245"/>
    <w:rsid w:val="49412301"/>
    <w:rsid w:val="49466876"/>
    <w:rsid w:val="4955742A"/>
    <w:rsid w:val="49557B3A"/>
    <w:rsid w:val="49782708"/>
    <w:rsid w:val="49816D6A"/>
    <w:rsid w:val="498D3BDC"/>
    <w:rsid w:val="49966ED6"/>
    <w:rsid w:val="499C6D99"/>
    <w:rsid w:val="49A0447A"/>
    <w:rsid w:val="49AC3638"/>
    <w:rsid w:val="49AF724A"/>
    <w:rsid w:val="49B616A7"/>
    <w:rsid w:val="49B678F3"/>
    <w:rsid w:val="49B847B3"/>
    <w:rsid w:val="49BC54C3"/>
    <w:rsid w:val="49C203E0"/>
    <w:rsid w:val="49CB1E67"/>
    <w:rsid w:val="49D03506"/>
    <w:rsid w:val="49D56585"/>
    <w:rsid w:val="49DB1DED"/>
    <w:rsid w:val="49E767BF"/>
    <w:rsid w:val="49F73AEC"/>
    <w:rsid w:val="49FD12F9"/>
    <w:rsid w:val="4A04327C"/>
    <w:rsid w:val="4A06662F"/>
    <w:rsid w:val="4A113A61"/>
    <w:rsid w:val="4A135A46"/>
    <w:rsid w:val="4A297457"/>
    <w:rsid w:val="4A2E583B"/>
    <w:rsid w:val="4A2F038B"/>
    <w:rsid w:val="4A3B210C"/>
    <w:rsid w:val="4A3E05CE"/>
    <w:rsid w:val="4A595572"/>
    <w:rsid w:val="4A677B24"/>
    <w:rsid w:val="4A6E6EF7"/>
    <w:rsid w:val="4A7632D0"/>
    <w:rsid w:val="4A7638C4"/>
    <w:rsid w:val="4A8E3649"/>
    <w:rsid w:val="4A985F30"/>
    <w:rsid w:val="4AA90F67"/>
    <w:rsid w:val="4AB714B4"/>
    <w:rsid w:val="4ABB1C1E"/>
    <w:rsid w:val="4ABD7744"/>
    <w:rsid w:val="4ABE0884"/>
    <w:rsid w:val="4ABE5AB9"/>
    <w:rsid w:val="4ADB1D3F"/>
    <w:rsid w:val="4AE038E0"/>
    <w:rsid w:val="4AE47F12"/>
    <w:rsid w:val="4AED7EB2"/>
    <w:rsid w:val="4AF35168"/>
    <w:rsid w:val="4AF36A50"/>
    <w:rsid w:val="4AFD23BB"/>
    <w:rsid w:val="4B0B6702"/>
    <w:rsid w:val="4B170EE6"/>
    <w:rsid w:val="4B1B6510"/>
    <w:rsid w:val="4B2127AC"/>
    <w:rsid w:val="4B265A18"/>
    <w:rsid w:val="4B34391F"/>
    <w:rsid w:val="4B363E16"/>
    <w:rsid w:val="4B3A6FE7"/>
    <w:rsid w:val="4B3D1240"/>
    <w:rsid w:val="4B410375"/>
    <w:rsid w:val="4B412124"/>
    <w:rsid w:val="4B584857"/>
    <w:rsid w:val="4B5F6A4E"/>
    <w:rsid w:val="4B6202EC"/>
    <w:rsid w:val="4B644064"/>
    <w:rsid w:val="4B6B1E31"/>
    <w:rsid w:val="4B8D1868"/>
    <w:rsid w:val="4B94246A"/>
    <w:rsid w:val="4B995090"/>
    <w:rsid w:val="4B9B380D"/>
    <w:rsid w:val="4BAF645C"/>
    <w:rsid w:val="4BB87F0C"/>
    <w:rsid w:val="4BB97B7C"/>
    <w:rsid w:val="4BC347F9"/>
    <w:rsid w:val="4BCC14A1"/>
    <w:rsid w:val="4BCF01D9"/>
    <w:rsid w:val="4BCF3E3D"/>
    <w:rsid w:val="4BD210FC"/>
    <w:rsid w:val="4BD722EB"/>
    <w:rsid w:val="4BD9635E"/>
    <w:rsid w:val="4BDE5BC4"/>
    <w:rsid w:val="4BFC429C"/>
    <w:rsid w:val="4BFE1DC3"/>
    <w:rsid w:val="4C07336D"/>
    <w:rsid w:val="4C1E7CDB"/>
    <w:rsid w:val="4C2630C7"/>
    <w:rsid w:val="4C373527"/>
    <w:rsid w:val="4C3B6274"/>
    <w:rsid w:val="4C3E6A77"/>
    <w:rsid w:val="4C444A7C"/>
    <w:rsid w:val="4C4C520C"/>
    <w:rsid w:val="4C5301CA"/>
    <w:rsid w:val="4C547FFA"/>
    <w:rsid w:val="4C5D0ED5"/>
    <w:rsid w:val="4C5E4F57"/>
    <w:rsid w:val="4C6174A9"/>
    <w:rsid w:val="4C650094"/>
    <w:rsid w:val="4C681932"/>
    <w:rsid w:val="4C7609FC"/>
    <w:rsid w:val="4C783645"/>
    <w:rsid w:val="4C8D1398"/>
    <w:rsid w:val="4C9114CE"/>
    <w:rsid w:val="4C934C01"/>
    <w:rsid w:val="4C9E3A71"/>
    <w:rsid w:val="4CA45134"/>
    <w:rsid w:val="4CA50490"/>
    <w:rsid w:val="4CA706AC"/>
    <w:rsid w:val="4CA94424"/>
    <w:rsid w:val="4CAA5AA7"/>
    <w:rsid w:val="4CAC53B3"/>
    <w:rsid w:val="4CAC5CC3"/>
    <w:rsid w:val="4CB36362"/>
    <w:rsid w:val="4CC12E8B"/>
    <w:rsid w:val="4CCB2C82"/>
    <w:rsid w:val="4CD52B25"/>
    <w:rsid w:val="4CD564A5"/>
    <w:rsid w:val="4CDD1849"/>
    <w:rsid w:val="4CDD72E0"/>
    <w:rsid w:val="4CE4605B"/>
    <w:rsid w:val="4CE70AA9"/>
    <w:rsid w:val="4CF059E3"/>
    <w:rsid w:val="4CF136D5"/>
    <w:rsid w:val="4CF927E1"/>
    <w:rsid w:val="4CFB27A6"/>
    <w:rsid w:val="4D0517F8"/>
    <w:rsid w:val="4D105CB6"/>
    <w:rsid w:val="4D1817B0"/>
    <w:rsid w:val="4D1D44CA"/>
    <w:rsid w:val="4D275349"/>
    <w:rsid w:val="4D28011D"/>
    <w:rsid w:val="4D2910C1"/>
    <w:rsid w:val="4D2F47A2"/>
    <w:rsid w:val="4D3F481B"/>
    <w:rsid w:val="4D4277F5"/>
    <w:rsid w:val="4D4C1D2F"/>
    <w:rsid w:val="4D5B5C91"/>
    <w:rsid w:val="4D634BB9"/>
    <w:rsid w:val="4D6760E7"/>
    <w:rsid w:val="4D6E31F6"/>
    <w:rsid w:val="4D7C7A0E"/>
    <w:rsid w:val="4D8409ED"/>
    <w:rsid w:val="4D8932D3"/>
    <w:rsid w:val="4D8A4135"/>
    <w:rsid w:val="4D9038A5"/>
    <w:rsid w:val="4D930C30"/>
    <w:rsid w:val="4D974DAD"/>
    <w:rsid w:val="4DB10A07"/>
    <w:rsid w:val="4DB26AF3"/>
    <w:rsid w:val="4DC332C4"/>
    <w:rsid w:val="4DC33F08"/>
    <w:rsid w:val="4DCD5378"/>
    <w:rsid w:val="4DD74FC1"/>
    <w:rsid w:val="4DE33966"/>
    <w:rsid w:val="4DF7391F"/>
    <w:rsid w:val="4DF86BC7"/>
    <w:rsid w:val="4DFC4A28"/>
    <w:rsid w:val="4E067654"/>
    <w:rsid w:val="4E0C7404"/>
    <w:rsid w:val="4E2709D4"/>
    <w:rsid w:val="4E287524"/>
    <w:rsid w:val="4E297F5B"/>
    <w:rsid w:val="4E2A3834"/>
    <w:rsid w:val="4E30570B"/>
    <w:rsid w:val="4E344156"/>
    <w:rsid w:val="4E365631"/>
    <w:rsid w:val="4E383FA6"/>
    <w:rsid w:val="4E3C4EAE"/>
    <w:rsid w:val="4E3C5889"/>
    <w:rsid w:val="4E3C6BD2"/>
    <w:rsid w:val="4E50025A"/>
    <w:rsid w:val="4E500EEE"/>
    <w:rsid w:val="4E5C6B01"/>
    <w:rsid w:val="4E65441B"/>
    <w:rsid w:val="4E69131A"/>
    <w:rsid w:val="4E6B1A29"/>
    <w:rsid w:val="4E74636C"/>
    <w:rsid w:val="4E7B188C"/>
    <w:rsid w:val="4E7C3473"/>
    <w:rsid w:val="4E82001E"/>
    <w:rsid w:val="4E925632"/>
    <w:rsid w:val="4E9C4843"/>
    <w:rsid w:val="4EA76741"/>
    <w:rsid w:val="4EAF1A9A"/>
    <w:rsid w:val="4EBB043F"/>
    <w:rsid w:val="4EBE1CDD"/>
    <w:rsid w:val="4EC73DB6"/>
    <w:rsid w:val="4ED212E5"/>
    <w:rsid w:val="4EEA322C"/>
    <w:rsid w:val="4EEA6052"/>
    <w:rsid w:val="4EF31987"/>
    <w:rsid w:val="4F022927"/>
    <w:rsid w:val="4F02606E"/>
    <w:rsid w:val="4F031B9F"/>
    <w:rsid w:val="4F0516BA"/>
    <w:rsid w:val="4F064591"/>
    <w:rsid w:val="4F071974"/>
    <w:rsid w:val="4F0A0A7E"/>
    <w:rsid w:val="4F1E452A"/>
    <w:rsid w:val="4F246A6C"/>
    <w:rsid w:val="4F281B57"/>
    <w:rsid w:val="4F3212DE"/>
    <w:rsid w:val="4F340636"/>
    <w:rsid w:val="4F365D17"/>
    <w:rsid w:val="4F385E0A"/>
    <w:rsid w:val="4F410059"/>
    <w:rsid w:val="4F426BFA"/>
    <w:rsid w:val="4F473A81"/>
    <w:rsid w:val="4F4A393A"/>
    <w:rsid w:val="4F5143C3"/>
    <w:rsid w:val="4F5166AD"/>
    <w:rsid w:val="4F614B5A"/>
    <w:rsid w:val="4F644633"/>
    <w:rsid w:val="4F7420C2"/>
    <w:rsid w:val="4F7B5D28"/>
    <w:rsid w:val="4F7D3946"/>
    <w:rsid w:val="4F80727E"/>
    <w:rsid w:val="4F82699E"/>
    <w:rsid w:val="4F8545A9"/>
    <w:rsid w:val="4F95499F"/>
    <w:rsid w:val="4FA96C55"/>
    <w:rsid w:val="4FB05ACA"/>
    <w:rsid w:val="4FC00F3E"/>
    <w:rsid w:val="4FC21359"/>
    <w:rsid w:val="4FDA2B47"/>
    <w:rsid w:val="4FDC066D"/>
    <w:rsid w:val="4FE92D8A"/>
    <w:rsid w:val="4FF260E2"/>
    <w:rsid w:val="4FF359B6"/>
    <w:rsid w:val="4FF36D2B"/>
    <w:rsid w:val="4FF752B3"/>
    <w:rsid w:val="4FFD7DF5"/>
    <w:rsid w:val="500100D3"/>
    <w:rsid w:val="500B2C8B"/>
    <w:rsid w:val="500F2201"/>
    <w:rsid w:val="501E3056"/>
    <w:rsid w:val="501E6ED7"/>
    <w:rsid w:val="50210C1A"/>
    <w:rsid w:val="503201EC"/>
    <w:rsid w:val="503465C5"/>
    <w:rsid w:val="50355B68"/>
    <w:rsid w:val="50355FCF"/>
    <w:rsid w:val="503564CF"/>
    <w:rsid w:val="50390CBD"/>
    <w:rsid w:val="50454464"/>
    <w:rsid w:val="50506965"/>
    <w:rsid w:val="50616DC4"/>
    <w:rsid w:val="507219F1"/>
    <w:rsid w:val="50761340"/>
    <w:rsid w:val="507B6320"/>
    <w:rsid w:val="507C775A"/>
    <w:rsid w:val="50856C04"/>
    <w:rsid w:val="50940F47"/>
    <w:rsid w:val="509841DC"/>
    <w:rsid w:val="509E1DC6"/>
    <w:rsid w:val="50A078EC"/>
    <w:rsid w:val="50A56CB1"/>
    <w:rsid w:val="50BA6B48"/>
    <w:rsid w:val="50BE4216"/>
    <w:rsid w:val="50C231C1"/>
    <w:rsid w:val="50C57353"/>
    <w:rsid w:val="50D149F1"/>
    <w:rsid w:val="50D66C1F"/>
    <w:rsid w:val="50DD469C"/>
    <w:rsid w:val="50EB71BF"/>
    <w:rsid w:val="50ED6531"/>
    <w:rsid w:val="50FB5A2F"/>
    <w:rsid w:val="50FC089B"/>
    <w:rsid w:val="50FD1D9A"/>
    <w:rsid w:val="50FE0AB7"/>
    <w:rsid w:val="51015210"/>
    <w:rsid w:val="510458F5"/>
    <w:rsid w:val="51085492"/>
    <w:rsid w:val="51194FFA"/>
    <w:rsid w:val="511D718F"/>
    <w:rsid w:val="5133521A"/>
    <w:rsid w:val="51392D60"/>
    <w:rsid w:val="513A4182"/>
    <w:rsid w:val="513D15DF"/>
    <w:rsid w:val="51477D68"/>
    <w:rsid w:val="51493AE0"/>
    <w:rsid w:val="51497F84"/>
    <w:rsid w:val="5151508A"/>
    <w:rsid w:val="51532BB1"/>
    <w:rsid w:val="515944EC"/>
    <w:rsid w:val="517041FC"/>
    <w:rsid w:val="51786173"/>
    <w:rsid w:val="517A638F"/>
    <w:rsid w:val="51806DE7"/>
    <w:rsid w:val="518634A0"/>
    <w:rsid w:val="5197422C"/>
    <w:rsid w:val="51A229D8"/>
    <w:rsid w:val="51A90A23"/>
    <w:rsid w:val="51A9690D"/>
    <w:rsid w:val="51B01DB1"/>
    <w:rsid w:val="51B52051"/>
    <w:rsid w:val="51C25640"/>
    <w:rsid w:val="51C30818"/>
    <w:rsid w:val="51C82784"/>
    <w:rsid w:val="52024CB1"/>
    <w:rsid w:val="52087043"/>
    <w:rsid w:val="520E0886"/>
    <w:rsid w:val="522400A9"/>
    <w:rsid w:val="522B58DB"/>
    <w:rsid w:val="522C6BEC"/>
    <w:rsid w:val="522C7F68"/>
    <w:rsid w:val="5234763B"/>
    <w:rsid w:val="523A068E"/>
    <w:rsid w:val="52452FEE"/>
    <w:rsid w:val="52461B27"/>
    <w:rsid w:val="525A7F6F"/>
    <w:rsid w:val="52656463"/>
    <w:rsid w:val="5268443A"/>
    <w:rsid w:val="52741030"/>
    <w:rsid w:val="52743AC2"/>
    <w:rsid w:val="527C4FB5"/>
    <w:rsid w:val="527D0B0C"/>
    <w:rsid w:val="52807ED9"/>
    <w:rsid w:val="528A2602"/>
    <w:rsid w:val="52A90379"/>
    <w:rsid w:val="52BB0A0D"/>
    <w:rsid w:val="52C13962"/>
    <w:rsid w:val="52CA6EA2"/>
    <w:rsid w:val="52CB0F3A"/>
    <w:rsid w:val="52CC2C1B"/>
    <w:rsid w:val="52D015C8"/>
    <w:rsid w:val="52D91426"/>
    <w:rsid w:val="52E23760"/>
    <w:rsid w:val="53046FC0"/>
    <w:rsid w:val="53073C53"/>
    <w:rsid w:val="53212F73"/>
    <w:rsid w:val="53294566"/>
    <w:rsid w:val="53334918"/>
    <w:rsid w:val="53335E8F"/>
    <w:rsid w:val="533662E6"/>
    <w:rsid w:val="5338205E"/>
    <w:rsid w:val="53404D6B"/>
    <w:rsid w:val="53475B6F"/>
    <w:rsid w:val="534E7C92"/>
    <w:rsid w:val="53514ECE"/>
    <w:rsid w:val="53522F2B"/>
    <w:rsid w:val="535624E4"/>
    <w:rsid w:val="535B76D0"/>
    <w:rsid w:val="536F35A6"/>
    <w:rsid w:val="537E4CD3"/>
    <w:rsid w:val="538B4884"/>
    <w:rsid w:val="538C5F06"/>
    <w:rsid w:val="538D06AF"/>
    <w:rsid w:val="53921E55"/>
    <w:rsid w:val="539B083F"/>
    <w:rsid w:val="53A255DB"/>
    <w:rsid w:val="53A304CE"/>
    <w:rsid w:val="53B2326A"/>
    <w:rsid w:val="53B536AF"/>
    <w:rsid w:val="53B86CFB"/>
    <w:rsid w:val="53BB4A3D"/>
    <w:rsid w:val="53CB7AB4"/>
    <w:rsid w:val="53DA1367"/>
    <w:rsid w:val="53E0223F"/>
    <w:rsid w:val="53EA5053"/>
    <w:rsid w:val="53F85A19"/>
    <w:rsid w:val="54065CB8"/>
    <w:rsid w:val="540957F7"/>
    <w:rsid w:val="54104D89"/>
    <w:rsid w:val="541D6F10"/>
    <w:rsid w:val="541E43EE"/>
    <w:rsid w:val="542919A7"/>
    <w:rsid w:val="542D5557"/>
    <w:rsid w:val="54332825"/>
    <w:rsid w:val="543A4880"/>
    <w:rsid w:val="543F1613"/>
    <w:rsid w:val="54422353"/>
    <w:rsid w:val="54424352"/>
    <w:rsid w:val="544E58B1"/>
    <w:rsid w:val="54560EE2"/>
    <w:rsid w:val="545F186C"/>
    <w:rsid w:val="545F66E9"/>
    <w:rsid w:val="54703317"/>
    <w:rsid w:val="547F5A6B"/>
    <w:rsid w:val="54837309"/>
    <w:rsid w:val="54853A79"/>
    <w:rsid w:val="548E31C9"/>
    <w:rsid w:val="54AB0816"/>
    <w:rsid w:val="54C55B73"/>
    <w:rsid w:val="54CC66EB"/>
    <w:rsid w:val="54D10559"/>
    <w:rsid w:val="54D9517B"/>
    <w:rsid w:val="54E35E0B"/>
    <w:rsid w:val="54E73495"/>
    <w:rsid w:val="54E86205"/>
    <w:rsid w:val="54F975CB"/>
    <w:rsid w:val="54FC5522"/>
    <w:rsid w:val="550D403D"/>
    <w:rsid w:val="55102FB4"/>
    <w:rsid w:val="551249F6"/>
    <w:rsid w:val="5517212A"/>
    <w:rsid w:val="551F6D4F"/>
    <w:rsid w:val="552B174F"/>
    <w:rsid w:val="552D196B"/>
    <w:rsid w:val="552D79CE"/>
    <w:rsid w:val="55347DE3"/>
    <w:rsid w:val="55384597"/>
    <w:rsid w:val="553928B2"/>
    <w:rsid w:val="553E76D4"/>
    <w:rsid w:val="55450A62"/>
    <w:rsid w:val="554967A4"/>
    <w:rsid w:val="554A3878"/>
    <w:rsid w:val="554D40B0"/>
    <w:rsid w:val="554D7917"/>
    <w:rsid w:val="55694F7F"/>
    <w:rsid w:val="556C4C41"/>
    <w:rsid w:val="556F5ADF"/>
    <w:rsid w:val="5572737D"/>
    <w:rsid w:val="557355CF"/>
    <w:rsid w:val="557430F6"/>
    <w:rsid w:val="55780E38"/>
    <w:rsid w:val="557C4566"/>
    <w:rsid w:val="558E1391"/>
    <w:rsid w:val="5590248E"/>
    <w:rsid w:val="5590585B"/>
    <w:rsid w:val="55A8159A"/>
    <w:rsid w:val="55A90B20"/>
    <w:rsid w:val="55B856D8"/>
    <w:rsid w:val="55BD4A9D"/>
    <w:rsid w:val="55C43EA6"/>
    <w:rsid w:val="55C53951"/>
    <w:rsid w:val="55CC2CB7"/>
    <w:rsid w:val="55D549F2"/>
    <w:rsid w:val="55DF4A13"/>
    <w:rsid w:val="55E769A0"/>
    <w:rsid w:val="55FF0D36"/>
    <w:rsid w:val="560B1CAC"/>
    <w:rsid w:val="56221157"/>
    <w:rsid w:val="562C577E"/>
    <w:rsid w:val="56372AA1"/>
    <w:rsid w:val="563D5BDD"/>
    <w:rsid w:val="563F3703"/>
    <w:rsid w:val="56411FA1"/>
    <w:rsid w:val="564F2949"/>
    <w:rsid w:val="565105AD"/>
    <w:rsid w:val="565C21AC"/>
    <w:rsid w:val="565C2507"/>
    <w:rsid w:val="566651C1"/>
    <w:rsid w:val="566B3072"/>
    <w:rsid w:val="56777341"/>
    <w:rsid w:val="56A87378"/>
    <w:rsid w:val="56B94636"/>
    <w:rsid w:val="56D54A0C"/>
    <w:rsid w:val="56EA7B13"/>
    <w:rsid w:val="56F17C3E"/>
    <w:rsid w:val="56FD7377"/>
    <w:rsid w:val="56FF2E93"/>
    <w:rsid w:val="5705494D"/>
    <w:rsid w:val="57110D1D"/>
    <w:rsid w:val="57146841"/>
    <w:rsid w:val="571862B9"/>
    <w:rsid w:val="57212E09"/>
    <w:rsid w:val="57215273"/>
    <w:rsid w:val="572D574E"/>
    <w:rsid w:val="572E56D7"/>
    <w:rsid w:val="572F19CA"/>
    <w:rsid w:val="5737087F"/>
    <w:rsid w:val="573A622E"/>
    <w:rsid w:val="574043E8"/>
    <w:rsid w:val="57471372"/>
    <w:rsid w:val="574D23FA"/>
    <w:rsid w:val="574F6AEF"/>
    <w:rsid w:val="575224BA"/>
    <w:rsid w:val="57560D05"/>
    <w:rsid w:val="575800ED"/>
    <w:rsid w:val="57593233"/>
    <w:rsid w:val="575A09F5"/>
    <w:rsid w:val="577218B7"/>
    <w:rsid w:val="57722CF3"/>
    <w:rsid w:val="57812639"/>
    <w:rsid w:val="578458F4"/>
    <w:rsid w:val="5785783C"/>
    <w:rsid w:val="578C435A"/>
    <w:rsid w:val="578F2F08"/>
    <w:rsid w:val="57A027F7"/>
    <w:rsid w:val="57B819BF"/>
    <w:rsid w:val="57C32112"/>
    <w:rsid w:val="57C56896"/>
    <w:rsid w:val="57C75890"/>
    <w:rsid w:val="57CA6432"/>
    <w:rsid w:val="57D305A7"/>
    <w:rsid w:val="57D8796C"/>
    <w:rsid w:val="57EE1A44"/>
    <w:rsid w:val="57F549C2"/>
    <w:rsid w:val="57F62D5B"/>
    <w:rsid w:val="582157B7"/>
    <w:rsid w:val="58217F72"/>
    <w:rsid w:val="5822508B"/>
    <w:rsid w:val="582D57B0"/>
    <w:rsid w:val="58472D43"/>
    <w:rsid w:val="584C4139"/>
    <w:rsid w:val="5855006D"/>
    <w:rsid w:val="58626F75"/>
    <w:rsid w:val="58770836"/>
    <w:rsid w:val="588C4D06"/>
    <w:rsid w:val="588F4693"/>
    <w:rsid w:val="58913FBE"/>
    <w:rsid w:val="58A14202"/>
    <w:rsid w:val="58A61CE7"/>
    <w:rsid w:val="58AB42E3"/>
    <w:rsid w:val="58AB5080"/>
    <w:rsid w:val="58AE691E"/>
    <w:rsid w:val="58B02697"/>
    <w:rsid w:val="58BD4EAA"/>
    <w:rsid w:val="58C10BCC"/>
    <w:rsid w:val="58C16652"/>
    <w:rsid w:val="58CB5722"/>
    <w:rsid w:val="58DC03E4"/>
    <w:rsid w:val="58DC3AD3"/>
    <w:rsid w:val="58F4729D"/>
    <w:rsid w:val="58FA22E6"/>
    <w:rsid w:val="59091DA7"/>
    <w:rsid w:val="590946BA"/>
    <w:rsid w:val="590D65C9"/>
    <w:rsid w:val="59101387"/>
    <w:rsid w:val="59125193"/>
    <w:rsid w:val="5923730C"/>
    <w:rsid w:val="59251729"/>
    <w:rsid w:val="592E6592"/>
    <w:rsid w:val="592F4728"/>
    <w:rsid w:val="59401C6C"/>
    <w:rsid w:val="59407EBE"/>
    <w:rsid w:val="59412DE1"/>
    <w:rsid w:val="59464082"/>
    <w:rsid w:val="595079D6"/>
    <w:rsid w:val="59527BF2"/>
    <w:rsid w:val="595A4B9B"/>
    <w:rsid w:val="595C79E9"/>
    <w:rsid w:val="595E0345"/>
    <w:rsid w:val="59660DBA"/>
    <w:rsid w:val="596C74DE"/>
    <w:rsid w:val="59720150"/>
    <w:rsid w:val="59747B68"/>
    <w:rsid w:val="598418B8"/>
    <w:rsid w:val="5988716F"/>
    <w:rsid w:val="598B455F"/>
    <w:rsid w:val="598E133D"/>
    <w:rsid w:val="59906A71"/>
    <w:rsid w:val="59A0270B"/>
    <w:rsid w:val="59A60C02"/>
    <w:rsid w:val="59A842EB"/>
    <w:rsid w:val="59B04AA3"/>
    <w:rsid w:val="59B63CDD"/>
    <w:rsid w:val="59C55518"/>
    <w:rsid w:val="59CA7788"/>
    <w:rsid w:val="59CB39C9"/>
    <w:rsid w:val="59D32AE1"/>
    <w:rsid w:val="59D350E8"/>
    <w:rsid w:val="59DB7BE7"/>
    <w:rsid w:val="59DE2C7C"/>
    <w:rsid w:val="59EA0B52"/>
    <w:rsid w:val="59ED3476"/>
    <w:rsid w:val="59EF71EF"/>
    <w:rsid w:val="59F3695D"/>
    <w:rsid w:val="59F667CF"/>
    <w:rsid w:val="59FE7432"/>
    <w:rsid w:val="5A1F5027"/>
    <w:rsid w:val="5A21045E"/>
    <w:rsid w:val="5A263BDB"/>
    <w:rsid w:val="5A28157C"/>
    <w:rsid w:val="5A387626"/>
    <w:rsid w:val="5A393CE5"/>
    <w:rsid w:val="5A3955CC"/>
    <w:rsid w:val="5A3E5EA7"/>
    <w:rsid w:val="5A450316"/>
    <w:rsid w:val="5A4566FD"/>
    <w:rsid w:val="5A493177"/>
    <w:rsid w:val="5A4968FF"/>
    <w:rsid w:val="5A4D1A8E"/>
    <w:rsid w:val="5A5338E2"/>
    <w:rsid w:val="5A5A0B0C"/>
    <w:rsid w:val="5A5D05FC"/>
    <w:rsid w:val="5A696FA1"/>
    <w:rsid w:val="5A6E0AB1"/>
    <w:rsid w:val="5A7D282D"/>
    <w:rsid w:val="5A836E09"/>
    <w:rsid w:val="5A931316"/>
    <w:rsid w:val="5AA13079"/>
    <w:rsid w:val="5AA90924"/>
    <w:rsid w:val="5AAB1367"/>
    <w:rsid w:val="5ABA52D3"/>
    <w:rsid w:val="5AC24809"/>
    <w:rsid w:val="5AC27BD0"/>
    <w:rsid w:val="5AC75083"/>
    <w:rsid w:val="5ACD7F13"/>
    <w:rsid w:val="5AD14B46"/>
    <w:rsid w:val="5AD429F6"/>
    <w:rsid w:val="5ADF7263"/>
    <w:rsid w:val="5AF868B6"/>
    <w:rsid w:val="5AF947C9"/>
    <w:rsid w:val="5B0373F5"/>
    <w:rsid w:val="5B0B62AA"/>
    <w:rsid w:val="5B1105FF"/>
    <w:rsid w:val="5B127639"/>
    <w:rsid w:val="5B173D6D"/>
    <w:rsid w:val="5B2D7B9A"/>
    <w:rsid w:val="5B351579"/>
    <w:rsid w:val="5B3C2907"/>
    <w:rsid w:val="5B490B80"/>
    <w:rsid w:val="5B5D53D9"/>
    <w:rsid w:val="5B647768"/>
    <w:rsid w:val="5B8322E4"/>
    <w:rsid w:val="5B856F28"/>
    <w:rsid w:val="5B8572F3"/>
    <w:rsid w:val="5B8D3163"/>
    <w:rsid w:val="5B8E213E"/>
    <w:rsid w:val="5B94034E"/>
    <w:rsid w:val="5B943004"/>
    <w:rsid w:val="5BA364E3"/>
    <w:rsid w:val="5BCB0D3D"/>
    <w:rsid w:val="5BD32C9F"/>
    <w:rsid w:val="5BD542B1"/>
    <w:rsid w:val="5BEB5850"/>
    <w:rsid w:val="5C036ED2"/>
    <w:rsid w:val="5C052CF9"/>
    <w:rsid w:val="5C0C052C"/>
    <w:rsid w:val="5C0D1BAE"/>
    <w:rsid w:val="5C107384"/>
    <w:rsid w:val="5C150835"/>
    <w:rsid w:val="5C1E3DBB"/>
    <w:rsid w:val="5C2C0286"/>
    <w:rsid w:val="5C2D470D"/>
    <w:rsid w:val="5C2F53E7"/>
    <w:rsid w:val="5C364E70"/>
    <w:rsid w:val="5C3B671B"/>
    <w:rsid w:val="5C4066A5"/>
    <w:rsid w:val="5C4B4DFD"/>
    <w:rsid w:val="5C4E46A0"/>
    <w:rsid w:val="5C58107B"/>
    <w:rsid w:val="5C5A1297"/>
    <w:rsid w:val="5C637CF8"/>
    <w:rsid w:val="5C680C4D"/>
    <w:rsid w:val="5C6A517F"/>
    <w:rsid w:val="5C7834CB"/>
    <w:rsid w:val="5C805DFE"/>
    <w:rsid w:val="5C896814"/>
    <w:rsid w:val="5C8D3857"/>
    <w:rsid w:val="5C903738"/>
    <w:rsid w:val="5C976A06"/>
    <w:rsid w:val="5CA21A83"/>
    <w:rsid w:val="5CA228D2"/>
    <w:rsid w:val="5CA40764"/>
    <w:rsid w:val="5CBB785C"/>
    <w:rsid w:val="5CC04E72"/>
    <w:rsid w:val="5CC21B4D"/>
    <w:rsid w:val="5CC45F9A"/>
    <w:rsid w:val="5CCC5E0A"/>
    <w:rsid w:val="5CD858CE"/>
    <w:rsid w:val="5CE13766"/>
    <w:rsid w:val="5CE15BDF"/>
    <w:rsid w:val="5CE95646"/>
    <w:rsid w:val="5CEB6645"/>
    <w:rsid w:val="5CED4F23"/>
    <w:rsid w:val="5CF84CD4"/>
    <w:rsid w:val="5CF918E1"/>
    <w:rsid w:val="5D003D89"/>
    <w:rsid w:val="5D07327F"/>
    <w:rsid w:val="5D0D455B"/>
    <w:rsid w:val="5D1256CE"/>
    <w:rsid w:val="5D184CAE"/>
    <w:rsid w:val="5D1C479E"/>
    <w:rsid w:val="5D243011"/>
    <w:rsid w:val="5D261A0F"/>
    <w:rsid w:val="5D2D4B78"/>
    <w:rsid w:val="5D2D6C00"/>
    <w:rsid w:val="5D2E2DF3"/>
    <w:rsid w:val="5D311FC4"/>
    <w:rsid w:val="5D3B3313"/>
    <w:rsid w:val="5D3F048D"/>
    <w:rsid w:val="5D4158E7"/>
    <w:rsid w:val="5D467A6D"/>
    <w:rsid w:val="5D4C04D9"/>
    <w:rsid w:val="5D513588"/>
    <w:rsid w:val="5D537A94"/>
    <w:rsid w:val="5D551A5E"/>
    <w:rsid w:val="5D6115BF"/>
    <w:rsid w:val="5D624021"/>
    <w:rsid w:val="5D6C51A4"/>
    <w:rsid w:val="5D7A0AA9"/>
    <w:rsid w:val="5D804D2D"/>
    <w:rsid w:val="5D9702C9"/>
    <w:rsid w:val="5D9A56C3"/>
    <w:rsid w:val="5D9D2E18"/>
    <w:rsid w:val="5D9E7DB7"/>
    <w:rsid w:val="5DA14CA4"/>
    <w:rsid w:val="5DBC6FD5"/>
    <w:rsid w:val="5DC7796E"/>
    <w:rsid w:val="5DCA5FA9"/>
    <w:rsid w:val="5DCF0BCB"/>
    <w:rsid w:val="5DE23BB6"/>
    <w:rsid w:val="5DF272AD"/>
    <w:rsid w:val="5E0F60B1"/>
    <w:rsid w:val="5E192661"/>
    <w:rsid w:val="5E297410"/>
    <w:rsid w:val="5E316028"/>
    <w:rsid w:val="5E337FF2"/>
    <w:rsid w:val="5E343D6A"/>
    <w:rsid w:val="5E346DD4"/>
    <w:rsid w:val="5E3B77F2"/>
    <w:rsid w:val="5E3F0E7F"/>
    <w:rsid w:val="5E457D25"/>
    <w:rsid w:val="5E463E3C"/>
    <w:rsid w:val="5E466D18"/>
    <w:rsid w:val="5E4761D3"/>
    <w:rsid w:val="5E4770C4"/>
    <w:rsid w:val="5E501FB7"/>
    <w:rsid w:val="5E5A71E0"/>
    <w:rsid w:val="5E5D161C"/>
    <w:rsid w:val="5E5F0DAA"/>
    <w:rsid w:val="5E6A3450"/>
    <w:rsid w:val="5E7D126D"/>
    <w:rsid w:val="5E810EC9"/>
    <w:rsid w:val="5E8D4877"/>
    <w:rsid w:val="5E8E5C7D"/>
    <w:rsid w:val="5E993BCD"/>
    <w:rsid w:val="5EA22BA4"/>
    <w:rsid w:val="5EA44A4C"/>
    <w:rsid w:val="5EAA7D26"/>
    <w:rsid w:val="5EAB4001"/>
    <w:rsid w:val="5EB67822"/>
    <w:rsid w:val="5ED13367"/>
    <w:rsid w:val="5ED35331"/>
    <w:rsid w:val="5ED45A96"/>
    <w:rsid w:val="5EE174A3"/>
    <w:rsid w:val="5EF5342E"/>
    <w:rsid w:val="5EF83899"/>
    <w:rsid w:val="5EFA0B0F"/>
    <w:rsid w:val="5EFD5F0A"/>
    <w:rsid w:val="5F0E6B03"/>
    <w:rsid w:val="5F155949"/>
    <w:rsid w:val="5F2417D8"/>
    <w:rsid w:val="5F2461B6"/>
    <w:rsid w:val="5F246987"/>
    <w:rsid w:val="5F2931A3"/>
    <w:rsid w:val="5F2D33BC"/>
    <w:rsid w:val="5F3432E0"/>
    <w:rsid w:val="5F3D4F6A"/>
    <w:rsid w:val="5F3F3148"/>
    <w:rsid w:val="5F5244A8"/>
    <w:rsid w:val="5F54566F"/>
    <w:rsid w:val="5F557AF4"/>
    <w:rsid w:val="5F5707FB"/>
    <w:rsid w:val="5F583033"/>
    <w:rsid w:val="5F5F6BC4"/>
    <w:rsid w:val="5F620F44"/>
    <w:rsid w:val="5F6917F1"/>
    <w:rsid w:val="5F692089"/>
    <w:rsid w:val="5F8403D9"/>
    <w:rsid w:val="5F860A13"/>
    <w:rsid w:val="5F8E3006"/>
    <w:rsid w:val="5F8F2D44"/>
    <w:rsid w:val="5F8F419C"/>
    <w:rsid w:val="5FC133DB"/>
    <w:rsid w:val="5FC134BE"/>
    <w:rsid w:val="5FC8476A"/>
    <w:rsid w:val="5FCF25D9"/>
    <w:rsid w:val="5FD0361E"/>
    <w:rsid w:val="5FD51606"/>
    <w:rsid w:val="5FE175D9"/>
    <w:rsid w:val="5FE505D1"/>
    <w:rsid w:val="5FE55ED7"/>
    <w:rsid w:val="5FEB6C7E"/>
    <w:rsid w:val="5FED41D0"/>
    <w:rsid w:val="5FF3673B"/>
    <w:rsid w:val="600532C8"/>
    <w:rsid w:val="60093A0D"/>
    <w:rsid w:val="60161739"/>
    <w:rsid w:val="601B2AEB"/>
    <w:rsid w:val="60255718"/>
    <w:rsid w:val="60427C5D"/>
    <w:rsid w:val="6046775E"/>
    <w:rsid w:val="604910D5"/>
    <w:rsid w:val="604F4E8B"/>
    <w:rsid w:val="605C4D38"/>
    <w:rsid w:val="60600E46"/>
    <w:rsid w:val="60644715"/>
    <w:rsid w:val="60657089"/>
    <w:rsid w:val="606A3354"/>
    <w:rsid w:val="606A4298"/>
    <w:rsid w:val="6071159A"/>
    <w:rsid w:val="60911000"/>
    <w:rsid w:val="60932FCA"/>
    <w:rsid w:val="60A30D33"/>
    <w:rsid w:val="60AB36BC"/>
    <w:rsid w:val="60AC408B"/>
    <w:rsid w:val="60AC578B"/>
    <w:rsid w:val="60AC5E39"/>
    <w:rsid w:val="60AE7E03"/>
    <w:rsid w:val="60B349C5"/>
    <w:rsid w:val="60BB73B3"/>
    <w:rsid w:val="60CE6D57"/>
    <w:rsid w:val="60D64C64"/>
    <w:rsid w:val="60E03D35"/>
    <w:rsid w:val="610C4B2A"/>
    <w:rsid w:val="611068F3"/>
    <w:rsid w:val="61137C66"/>
    <w:rsid w:val="6118342B"/>
    <w:rsid w:val="611F5ED0"/>
    <w:rsid w:val="61457837"/>
    <w:rsid w:val="61475B62"/>
    <w:rsid w:val="615F4C5A"/>
    <w:rsid w:val="61671D60"/>
    <w:rsid w:val="61700C15"/>
    <w:rsid w:val="617050B9"/>
    <w:rsid w:val="617572D6"/>
    <w:rsid w:val="617A7CE6"/>
    <w:rsid w:val="61871227"/>
    <w:rsid w:val="61923281"/>
    <w:rsid w:val="61AF40C1"/>
    <w:rsid w:val="61BA4586"/>
    <w:rsid w:val="61BC3E5A"/>
    <w:rsid w:val="61BD3266"/>
    <w:rsid w:val="61CA2A1B"/>
    <w:rsid w:val="61D92C5E"/>
    <w:rsid w:val="61DB3921"/>
    <w:rsid w:val="61DE64C6"/>
    <w:rsid w:val="61ED04B8"/>
    <w:rsid w:val="61F21F72"/>
    <w:rsid w:val="61F222DB"/>
    <w:rsid w:val="61FF01EB"/>
    <w:rsid w:val="62080FDF"/>
    <w:rsid w:val="62156CCF"/>
    <w:rsid w:val="62246FCA"/>
    <w:rsid w:val="622814F0"/>
    <w:rsid w:val="6229697B"/>
    <w:rsid w:val="623600B0"/>
    <w:rsid w:val="62471E93"/>
    <w:rsid w:val="62474C43"/>
    <w:rsid w:val="624F2F09"/>
    <w:rsid w:val="625C58C6"/>
    <w:rsid w:val="62652744"/>
    <w:rsid w:val="626D0920"/>
    <w:rsid w:val="626D0F27"/>
    <w:rsid w:val="626F35C2"/>
    <w:rsid w:val="627E3F87"/>
    <w:rsid w:val="62913539"/>
    <w:rsid w:val="62A34ED0"/>
    <w:rsid w:val="62AF1C11"/>
    <w:rsid w:val="62CE42C6"/>
    <w:rsid w:val="62D91F77"/>
    <w:rsid w:val="62DC5FFA"/>
    <w:rsid w:val="62DF1370"/>
    <w:rsid w:val="62E00534"/>
    <w:rsid w:val="62EF2CD8"/>
    <w:rsid w:val="62F96909"/>
    <w:rsid w:val="63057A83"/>
    <w:rsid w:val="630758A8"/>
    <w:rsid w:val="630E2DDB"/>
    <w:rsid w:val="631101D6"/>
    <w:rsid w:val="631A352E"/>
    <w:rsid w:val="631E4199"/>
    <w:rsid w:val="631F28F3"/>
    <w:rsid w:val="63223F41"/>
    <w:rsid w:val="63371148"/>
    <w:rsid w:val="633D119B"/>
    <w:rsid w:val="63402869"/>
    <w:rsid w:val="634347F2"/>
    <w:rsid w:val="634B193A"/>
    <w:rsid w:val="6356208C"/>
    <w:rsid w:val="63676DA7"/>
    <w:rsid w:val="638E0950"/>
    <w:rsid w:val="639C3F43"/>
    <w:rsid w:val="63A70B3A"/>
    <w:rsid w:val="63CF21C3"/>
    <w:rsid w:val="63CF493B"/>
    <w:rsid w:val="63D52B59"/>
    <w:rsid w:val="63D5361B"/>
    <w:rsid w:val="63D77671"/>
    <w:rsid w:val="63DA2191"/>
    <w:rsid w:val="63DC170A"/>
    <w:rsid w:val="63E43E29"/>
    <w:rsid w:val="63E657E1"/>
    <w:rsid w:val="63F905F2"/>
    <w:rsid w:val="63FD5B73"/>
    <w:rsid w:val="640B25BE"/>
    <w:rsid w:val="6411743B"/>
    <w:rsid w:val="64194713"/>
    <w:rsid w:val="64276F13"/>
    <w:rsid w:val="642E282B"/>
    <w:rsid w:val="64361247"/>
    <w:rsid w:val="643C74D4"/>
    <w:rsid w:val="64484882"/>
    <w:rsid w:val="64487C6A"/>
    <w:rsid w:val="64490720"/>
    <w:rsid w:val="644F12EF"/>
    <w:rsid w:val="64601415"/>
    <w:rsid w:val="64610CE9"/>
    <w:rsid w:val="64621578"/>
    <w:rsid w:val="64622903"/>
    <w:rsid w:val="64641D7D"/>
    <w:rsid w:val="647446B9"/>
    <w:rsid w:val="647E53DB"/>
    <w:rsid w:val="647E7AED"/>
    <w:rsid w:val="647F6E46"/>
    <w:rsid w:val="6482174D"/>
    <w:rsid w:val="648570CD"/>
    <w:rsid w:val="64963088"/>
    <w:rsid w:val="649C61C5"/>
    <w:rsid w:val="649C7D16"/>
    <w:rsid w:val="64A33B88"/>
    <w:rsid w:val="64A7488A"/>
    <w:rsid w:val="64AA6B34"/>
    <w:rsid w:val="64AC1D27"/>
    <w:rsid w:val="64AC465A"/>
    <w:rsid w:val="64C23E7D"/>
    <w:rsid w:val="64D43C51"/>
    <w:rsid w:val="64E90A1D"/>
    <w:rsid w:val="64F21799"/>
    <w:rsid w:val="64F24911"/>
    <w:rsid w:val="64F30349"/>
    <w:rsid w:val="64F655F9"/>
    <w:rsid w:val="64F864EC"/>
    <w:rsid w:val="6502545F"/>
    <w:rsid w:val="65150451"/>
    <w:rsid w:val="651D3198"/>
    <w:rsid w:val="651F307E"/>
    <w:rsid w:val="651F62A0"/>
    <w:rsid w:val="65326110"/>
    <w:rsid w:val="653919EE"/>
    <w:rsid w:val="653D1FB7"/>
    <w:rsid w:val="6541019F"/>
    <w:rsid w:val="654523B9"/>
    <w:rsid w:val="655F4CBF"/>
    <w:rsid w:val="65643813"/>
    <w:rsid w:val="656565B2"/>
    <w:rsid w:val="656F7092"/>
    <w:rsid w:val="65746D8A"/>
    <w:rsid w:val="65804A89"/>
    <w:rsid w:val="659375C8"/>
    <w:rsid w:val="65994C24"/>
    <w:rsid w:val="659A7CCD"/>
    <w:rsid w:val="65A672FB"/>
    <w:rsid w:val="65A90B99"/>
    <w:rsid w:val="65B337C6"/>
    <w:rsid w:val="65C333E1"/>
    <w:rsid w:val="65D73C5E"/>
    <w:rsid w:val="65D774B5"/>
    <w:rsid w:val="66140709"/>
    <w:rsid w:val="66141025"/>
    <w:rsid w:val="661D0C3C"/>
    <w:rsid w:val="66202C39"/>
    <w:rsid w:val="66216982"/>
    <w:rsid w:val="6625441E"/>
    <w:rsid w:val="66315D9C"/>
    <w:rsid w:val="6635242D"/>
    <w:rsid w:val="66377F53"/>
    <w:rsid w:val="663958E1"/>
    <w:rsid w:val="663A42F8"/>
    <w:rsid w:val="664021FF"/>
    <w:rsid w:val="664700A5"/>
    <w:rsid w:val="664856F2"/>
    <w:rsid w:val="66551352"/>
    <w:rsid w:val="665D3E80"/>
    <w:rsid w:val="66650F64"/>
    <w:rsid w:val="66737D46"/>
    <w:rsid w:val="667B4FE5"/>
    <w:rsid w:val="66854A2D"/>
    <w:rsid w:val="66911D59"/>
    <w:rsid w:val="669C376D"/>
    <w:rsid w:val="66A522EB"/>
    <w:rsid w:val="66A852F5"/>
    <w:rsid w:val="66B15F58"/>
    <w:rsid w:val="66B772E6"/>
    <w:rsid w:val="66C231BF"/>
    <w:rsid w:val="66D17929"/>
    <w:rsid w:val="66D561CD"/>
    <w:rsid w:val="66DC6D4D"/>
    <w:rsid w:val="66EC51E2"/>
    <w:rsid w:val="66ED3F8F"/>
    <w:rsid w:val="66F65191"/>
    <w:rsid w:val="670E58BB"/>
    <w:rsid w:val="6711446F"/>
    <w:rsid w:val="67136C12"/>
    <w:rsid w:val="671B7875"/>
    <w:rsid w:val="672578F0"/>
    <w:rsid w:val="67373EFA"/>
    <w:rsid w:val="673B3713"/>
    <w:rsid w:val="67410451"/>
    <w:rsid w:val="674548F2"/>
    <w:rsid w:val="67467041"/>
    <w:rsid w:val="67513297"/>
    <w:rsid w:val="677121BA"/>
    <w:rsid w:val="677C07DF"/>
    <w:rsid w:val="678E7012"/>
    <w:rsid w:val="679C6C08"/>
    <w:rsid w:val="67A61834"/>
    <w:rsid w:val="67B11F87"/>
    <w:rsid w:val="67B53C0A"/>
    <w:rsid w:val="67BC1058"/>
    <w:rsid w:val="67C95523"/>
    <w:rsid w:val="67D30150"/>
    <w:rsid w:val="67D74E97"/>
    <w:rsid w:val="67DA14DE"/>
    <w:rsid w:val="67DE35E9"/>
    <w:rsid w:val="67DF4D46"/>
    <w:rsid w:val="67E51B8B"/>
    <w:rsid w:val="67E95741"/>
    <w:rsid w:val="67EC14CC"/>
    <w:rsid w:val="67EE678A"/>
    <w:rsid w:val="67F862ED"/>
    <w:rsid w:val="68006EE8"/>
    <w:rsid w:val="680447BC"/>
    <w:rsid w:val="68064081"/>
    <w:rsid w:val="680B51A4"/>
    <w:rsid w:val="680F1736"/>
    <w:rsid w:val="6817003C"/>
    <w:rsid w:val="68197ED2"/>
    <w:rsid w:val="68281AB8"/>
    <w:rsid w:val="682A68F7"/>
    <w:rsid w:val="682F735C"/>
    <w:rsid w:val="68303BE3"/>
    <w:rsid w:val="68371143"/>
    <w:rsid w:val="68391CAE"/>
    <w:rsid w:val="685521BF"/>
    <w:rsid w:val="68580655"/>
    <w:rsid w:val="68592E3B"/>
    <w:rsid w:val="68603CB3"/>
    <w:rsid w:val="68604D5A"/>
    <w:rsid w:val="6865349E"/>
    <w:rsid w:val="686B0388"/>
    <w:rsid w:val="686F60CA"/>
    <w:rsid w:val="6874733D"/>
    <w:rsid w:val="687A080D"/>
    <w:rsid w:val="687A681D"/>
    <w:rsid w:val="68865AC6"/>
    <w:rsid w:val="688A4CB2"/>
    <w:rsid w:val="689E69AF"/>
    <w:rsid w:val="68A00A1C"/>
    <w:rsid w:val="68A52866"/>
    <w:rsid w:val="68A5651A"/>
    <w:rsid w:val="68A97A41"/>
    <w:rsid w:val="68BE2BAE"/>
    <w:rsid w:val="68C62EB4"/>
    <w:rsid w:val="68CA50AF"/>
    <w:rsid w:val="68CF0917"/>
    <w:rsid w:val="68CF6DE2"/>
    <w:rsid w:val="68DB550E"/>
    <w:rsid w:val="68E56CE6"/>
    <w:rsid w:val="68E66553"/>
    <w:rsid w:val="68E75F2C"/>
    <w:rsid w:val="68ED5241"/>
    <w:rsid w:val="68F22857"/>
    <w:rsid w:val="68FA1257"/>
    <w:rsid w:val="69083E29"/>
    <w:rsid w:val="6909162A"/>
    <w:rsid w:val="69161CEC"/>
    <w:rsid w:val="6919323E"/>
    <w:rsid w:val="69195C4F"/>
    <w:rsid w:val="691E1F75"/>
    <w:rsid w:val="69235D4B"/>
    <w:rsid w:val="692E5944"/>
    <w:rsid w:val="692F7608"/>
    <w:rsid w:val="693747A8"/>
    <w:rsid w:val="69454B3C"/>
    <w:rsid w:val="695653C6"/>
    <w:rsid w:val="695B03FD"/>
    <w:rsid w:val="695B664F"/>
    <w:rsid w:val="695F613F"/>
    <w:rsid w:val="696136D6"/>
    <w:rsid w:val="69630CB5"/>
    <w:rsid w:val="69653029"/>
    <w:rsid w:val="696C21A5"/>
    <w:rsid w:val="696E001A"/>
    <w:rsid w:val="697D116C"/>
    <w:rsid w:val="698A2A90"/>
    <w:rsid w:val="698C05B6"/>
    <w:rsid w:val="69913E1E"/>
    <w:rsid w:val="69917FD3"/>
    <w:rsid w:val="69937B96"/>
    <w:rsid w:val="69982F1A"/>
    <w:rsid w:val="699851AD"/>
    <w:rsid w:val="69990F25"/>
    <w:rsid w:val="699F29DF"/>
    <w:rsid w:val="69A16AA6"/>
    <w:rsid w:val="69A73642"/>
    <w:rsid w:val="69A7779B"/>
    <w:rsid w:val="69AE6391"/>
    <w:rsid w:val="69B01BC2"/>
    <w:rsid w:val="69B13668"/>
    <w:rsid w:val="69B40C0D"/>
    <w:rsid w:val="69C47FFA"/>
    <w:rsid w:val="69D12417"/>
    <w:rsid w:val="69D93E74"/>
    <w:rsid w:val="69DA187A"/>
    <w:rsid w:val="69DA3C5F"/>
    <w:rsid w:val="69E44828"/>
    <w:rsid w:val="69E62697"/>
    <w:rsid w:val="69F0323B"/>
    <w:rsid w:val="69F46FE6"/>
    <w:rsid w:val="69FB2F82"/>
    <w:rsid w:val="69FF592D"/>
    <w:rsid w:val="6A0B3BD1"/>
    <w:rsid w:val="6A0E36C1"/>
    <w:rsid w:val="6A1A206D"/>
    <w:rsid w:val="6A1C4030"/>
    <w:rsid w:val="6A223DEF"/>
    <w:rsid w:val="6A242EE4"/>
    <w:rsid w:val="6A26227F"/>
    <w:rsid w:val="6A462E5B"/>
    <w:rsid w:val="6A4904DB"/>
    <w:rsid w:val="6A4914B5"/>
    <w:rsid w:val="6A4A6AEC"/>
    <w:rsid w:val="6A4B221F"/>
    <w:rsid w:val="6A503CD9"/>
    <w:rsid w:val="6A6E6993"/>
    <w:rsid w:val="6A731776"/>
    <w:rsid w:val="6A757142"/>
    <w:rsid w:val="6A772D37"/>
    <w:rsid w:val="6A843983"/>
    <w:rsid w:val="6A935974"/>
    <w:rsid w:val="6A95793E"/>
    <w:rsid w:val="6A9736B6"/>
    <w:rsid w:val="6A9D5C5A"/>
    <w:rsid w:val="6A9E4473"/>
    <w:rsid w:val="6A9E5118"/>
    <w:rsid w:val="6AAD4C39"/>
    <w:rsid w:val="6AB072DE"/>
    <w:rsid w:val="6AC3022C"/>
    <w:rsid w:val="6ACA3A8C"/>
    <w:rsid w:val="6ACC5EE0"/>
    <w:rsid w:val="6AE66C4B"/>
    <w:rsid w:val="6AEC1C54"/>
    <w:rsid w:val="6AEC7B73"/>
    <w:rsid w:val="6AEF53C4"/>
    <w:rsid w:val="6AF067C8"/>
    <w:rsid w:val="6AFA4605"/>
    <w:rsid w:val="6B083D40"/>
    <w:rsid w:val="6B0C168D"/>
    <w:rsid w:val="6B1C5816"/>
    <w:rsid w:val="6B1E5B86"/>
    <w:rsid w:val="6B1E7934"/>
    <w:rsid w:val="6B29271B"/>
    <w:rsid w:val="6B297532"/>
    <w:rsid w:val="6B2A2393"/>
    <w:rsid w:val="6B2C2051"/>
    <w:rsid w:val="6B3459D8"/>
    <w:rsid w:val="6B361121"/>
    <w:rsid w:val="6B40098D"/>
    <w:rsid w:val="6B476CAC"/>
    <w:rsid w:val="6B58657E"/>
    <w:rsid w:val="6B59096C"/>
    <w:rsid w:val="6B676670"/>
    <w:rsid w:val="6B6D2669"/>
    <w:rsid w:val="6B702A81"/>
    <w:rsid w:val="6B713F07"/>
    <w:rsid w:val="6B741B56"/>
    <w:rsid w:val="6B777044"/>
    <w:rsid w:val="6B785296"/>
    <w:rsid w:val="6B80239C"/>
    <w:rsid w:val="6B82450E"/>
    <w:rsid w:val="6B954033"/>
    <w:rsid w:val="6B987059"/>
    <w:rsid w:val="6B9876E6"/>
    <w:rsid w:val="6BA3608B"/>
    <w:rsid w:val="6BA918F3"/>
    <w:rsid w:val="6BAE2264"/>
    <w:rsid w:val="6BB25BFB"/>
    <w:rsid w:val="6BB65DBE"/>
    <w:rsid w:val="6BCA186A"/>
    <w:rsid w:val="6BCF5827"/>
    <w:rsid w:val="6BD16BCB"/>
    <w:rsid w:val="6BE9062D"/>
    <w:rsid w:val="6BEF76B2"/>
    <w:rsid w:val="6BF01CE5"/>
    <w:rsid w:val="6BF32B6E"/>
    <w:rsid w:val="6BF33DB4"/>
    <w:rsid w:val="6BF80185"/>
    <w:rsid w:val="6C03270D"/>
    <w:rsid w:val="6C0F6055"/>
    <w:rsid w:val="6C172D01"/>
    <w:rsid w:val="6C1765A4"/>
    <w:rsid w:val="6C18145C"/>
    <w:rsid w:val="6C2778B2"/>
    <w:rsid w:val="6C3A079D"/>
    <w:rsid w:val="6C3B62C3"/>
    <w:rsid w:val="6C417D7E"/>
    <w:rsid w:val="6C4C04D0"/>
    <w:rsid w:val="6C67530A"/>
    <w:rsid w:val="6C6922AF"/>
    <w:rsid w:val="6C6E7F27"/>
    <w:rsid w:val="6C7041BF"/>
    <w:rsid w:val="6C861C34"/>
    <w:rsid w:val="6C8975E2"/>
    <w:rsid w:val="6C9854C4"/>
    <w:rsid w:val="6C9D3F81"/>
    <w:rsid w:val="6C9F2CF6"/>
    <w:rsid w:val="6CA119A0"/>
    <w:rsid w:val="6CA441EA"/>
    <w:rsid w:val="6CAB4DBC"/>
    <w:rsid w:val="6CAF1605"/>
    <w:rsid w:val="6CC44813"/>
    <w:rsid w:val="6CCA1F0B"/>
    <w:rsid w:val="6CCB5899"/>
    <w:rsid w:val="6CE15E47"/>
    <w:rsid w:val="6CE30E35"/>
    <w:rsid w:val="6CE34991"/>
    <w:rsid w:val="6CE40709"/>
    <w:rsid w:val="6CEC28D6"/>
    <w:rsid w:val="6CF0570F"/>
    <w:rsid w:val="6CF82FFA"/>
    <w:rsid w:val="6D003EA7"/>
    <w:rsid w:val="6D0112BB"/>
    <w:rsid w:val="6D06711E"/>
    <w:rsid w:val="6D096080"/>
    <w:rsid w:val="6D0F1C2A"/>
    <w:rsid w:val="6D171509"/>
    <w:rsid w:val="6D194AB7"/>
    <w:rsid w:val="6D1F1741"/>
    <w:rsid w:val="6D260BBF"/>
    <w:rsid w:val="6D2D2B0B"/>
    <w:rsid w:val="6D2E358B"/>
    <w:rsid w:val="6D346605"/>
    <w:rsid w:val="6D3832F5"/>
    <w:rsid w:val="6D5311AF"/>
    <w:rsid w:val="6D5E2269"/>
    <w:rsid w:val="6D604233"/>
    <w:rsid w:val="6D6261FE"/>
    <w:rsid w:val="6D6535F8"/>
    <w:rsid w:val="6D690B3F"/>
    <w:rsid w:val="6D911A1D"/>
    <w:rsid w:val="6D9F2D4B"/>
    <w:rsid w:val="6DAF7654"/>
    <w:rsid w:val="6DB347C0"/>
    <w:rsid w:val="6DB4457F"/>
    <w:rsid w:val="6DB46F41"/>
    <w:rsid w:val="6DBB76BC"/>
    <w:rsid w:val="6DBC51E2"/>
    <w:rsid w:val="6DC63EEA"/>
    <w:rsid w:val="6DD40DCE"/>
    <w:rsid w:val="6DD54C7E"/>
    <w:rsid w:val="6DD644F6"/>
    <w:rsid w:val="6DD9013C"/>
    <w:rsid w:val="6DD95507"/>
    <w:rsid w:val="6DDA29DE"/>
    <w:rsid w:val="6DF17581"/>
    <w:rsid w:val="6DF46AEB"/>
    <w:rsid w:val="6DFC2E5C"/>
    <w:rsid w:val="6E072BE3"/>
    <w:rsid w:val="6E09665D"/>
    <w:rsid w:val="6E0C6169"/>
    <w:rsid w:val="6E105C5A"/>
    <w:rsid w:val="6E1B7822"/>
    <w:rsid w:val="6E331948"/>
    <w:rsid w:val="6E407BC1"/>
    <w:rsid w:val="6E4A2907"/>
    <w:rsid w:val="6E4A58C8"/>
    <w:rsid w:val="6E5042A8"/>
    <w:rsid w:val="6E5D4C17"/>
    <w:rsid w:val="6E623FDB"/>
    <w:rsid w:val="6E647AFF"/>
    <w:rsid w:val="6E7805E6"/>
    <w:rsid w:val="6E823952"/>
    <w:rsid w:val="6E9D7DCA"/>
    <w:rsid w:val="6EA925E6"/>
    <w:rsid w:val="6EB32A89"/>
    <w:rsid w:val="6EB70B6B"/>
    <w:rsid w:val="6EB8009F"/>
    <w:rsid w:val="6EBD6670"/>
    <w:rsid w:val="6EC95E08"/>
    <w:rsid w:val="6ED816F5"/>
    <w:rsid w:val="6EDD23A0"/>
    <w:rsid w:val="6EE36461"/>
    <w:rsid w:val="6EE64C0C"/>
    <w:rsid w:val="6EEB6121"/>
    <w:rsid w:val="6EF464E6"/>
    <w:rsid w:val="6EFD60DF"/>
    <w:rsid w:val="6F032617"/>
    <w:rsid w:val="6F05095A"/>
    <w:rsid w:val="6F0868D7"/>
    <w:rsid w:val="6F0D3F47"/>
    <w:rsid w:val="6F0F4163"/>
    <w:rsid w:val="6F1572A0"/>
    <w:rsid w:val="6F191ADF"/>
    <w:rsid w:val="6F1E1004"/>
    <w:rsid w:val="6F1F1ECC"/>
    <w:rsid w:val="6F2179F2"/>
    <w:rsid w:val="6F2F3467"/>
    <w:rsid w:val="6F3C43AC"/>
    <w:rsid w:val="6F4211F0"/>
    <w:rsid w:val="6F433E0D"/>
    <w:rsid w:val="6F4B4A6F"/>
    <w:rsid w:val="6F58495D"/>
    <w:rsid w:val="6F5A4CB2"/>
    <w:rsid w:val="6F5E47A3"/>
    <w:rsid w:val="6F614D48"/>
    <w:rsid w:val="6F665069"/>
    <w:rsid w:val="6F6743CC"/>
    <w:rsid w:val="6F683873"/>
    <w:rsid w:val="6F6C3363"/>
    <w:rsid w:val="6F700FBD"/>
    <w:rsid w:val="6F773AB6"/>
    <w:rsid w:val="6F7B35A7"/>
    <w:rsid w:val="6F7C63CD"/>
    <w:rsid w:val="6F7E6E13"/>
    <w:rsid w:val="6F865AA7"/>
    <w:rsid w:val="6F8B1310"/>
    <w:rsid w:val="6F8C00D7"/>
    <w:rsid w:val="6F8C551D"/>
    <w:rsid w:val="6F963F3C"/>
    <w:rsid w:val="6FA67EF8"/>
    <w:rsid w:val="6FAD5496"/>
    <w:rsid w:val="6FB4784B"/>
    <w:rsid w:val="6FBE7937"/>
    <w:rsid w:val="6FC43ABC"/>
    <w:rsid w:val="6FD9207B"/>
    <w:rsid w:val="6FDB4045"/>
    <w:rsid w:val="6FE0340A"/>
    <w:rsid w:val="6FE276C6"/>
    <w:rsid w:val="6FF34446"/>
    <w:rsid w:val="6FF361EC"/>
    <w:rsid w:val="6FF627E0"/>
    <w:rsid w:val="6FF9096F"/>
    <w:rsid w:val="6FFD220E"/>
    <w:rsid w:val="70005099"/>
    <w:rsid w:val="70006EB5"/>
    <w:rsid w:val="70131A31"/>
    <w:rsid w:val="70197908"/>
    <w:rsid w:val="70284A71"/>
    <w:rsid w:val="702A6D7B"/>
    <w:rsid w:val="70377B78"/>
    <w:rsid w:val="70404DCF"/>
    <w:rsid w:val="70423904"/>
    <w:rsid w:val="70527648"/>
    <w:rsid w:val="7055204A"/>
    <w:rsid w:val="705A0FAC"/>
    <w:rsid w:val="7062511A"/>
    <w:rsid w:val="70626515"/>
    <w:rsid w:val="70683F8E"/>
    <w:rsid w:val="706A79DA"/>
    <w:rsid w:val="706B798B"/>
    <w:rsid w:val="706E1B04"/>
    <w:rsid w:val="707324D0"/>
    <w:rsid w:val="70803340"/>
    <w:rsid w:val="708A6961"/>
    <w:rsid w:val="70986E39"/>
    <w:rsid w:val="70AB3A18"/>
    <w:rsid w:val="70B37554"/>
    <w:rsid w:val="70B825D8"/>
    <w:rsid w:val="70B84386"/>
    <w:rsid w:val="70BA1EAD"/>
    <w:rsid w:val="70BD5A62"/>
    <w:rsid w:val="70C25F90"/>
    <w:rsid w:val="70C26FB3"/>
    <w:rsid w:val="70CD6084"/>
    <w:rsid w:val="70D72A5F"/>
    <w:rsid w:val="70F3418B"/>
    <w:rsid w:val="713954C7"/>
    <w:rsid w:val="714D016C"/>
    <w:rsid w:val="71536997"/>
    <w:rsid w:val="71547E79"/>
    <w:rsid w:val="71553F9E"/>
    <w:rsid w:val="715E0A8A"/>
    <w:rsid w:val="716245A8"/>
    <w:rsid w:val="71666389"/>
    <w:rsid w:val="717464FF"/>
    <w:rsid w:val="71754C6E"/>
    <w:rsid w:val="717835B0"/>
    <w:rsid w:val="7182567B"/>
    <w:rsid w:val="71854AF8"/>
    <w:rsid w:val="71893792"/>
    <w:rsid w:val="718C0072"/>
    <w:rsid w:val="718F1013"/>
    <w:rsid w:val="71901217"/>
    <w:rsid w:val="71970440"/>
    <w:rsid w:val="71A4221A"/>
    <w:rsid w:val="71AA1F21"/>
    <w:rsid w:val="71BD6F35"/>
    <w:rsid w:val="71BE59CD"/>
    <w:rsid w:val="71CE1100"/>
    <w:rsid w:val="71D53667"/>
    <w:rsid w:val="71D80261"/>
    <w:rsid w:val="71DB032D"/>
    <w:rsid w:val="71DE7E1D"/>
    <w:rsid w:val="71E76CD1"/>
    <w:rsid w:val="71E9620E"/>
    <w:rsid w:val="71EF3DD8"/>
    <w:rsid w:val="71F017D3"/>
    <w:rsid w:val="71F475E4"/>
    <w:rsid w:val="71F87130"/>
    <w:rsid w:val="71FA2CA1"/>
    <w:rsid w:val="71FC7B67"/>
    <w:rsid w:val="720871EC"/>
    <w:rsid w:val="721B697B"/>
    <w:rsid w:val="721D0AC9"/>
    <w:rsid w:val="72233A44"/>
    <w:rsid w:val="72233A82"/>
    <w:rsid w:val="7227745C"/>
    <w:rsid w:val="72313762"/>
    <w:rsid w:val="723A2C2C"/>
    <w:rsid w:val="723B49EA"/>
    <w:rsid w:val="723D0FE7"/>
    <w:rsid w:val="723F6274"/>
    <w:rsid w:val="72457E9C"/>
    <w:rsid w:val="7249173A"/>
    <w:rsid w:val="724E6D50"/>
    <w:rsid w:val="72711397"/>
    <w:rsid w:val="727208B2"/>
    <w:rsid w:val="727D1E70"/>
    <w:rsid w:val="727E1346"/>
    <w:rsid w:val="72802C82"/>
    <w:rsid w:val="72833CDD"/>
    <w:rsid w:val="7291115E"/>
    <w:rsid w:val="729130E1"/>
    <w:rsid w:val="72955A66"/>
    <w:rsid w:val="729624A5"/>
    <w:rsid w:val="729A3C53"/>
    <w:rsid w:val="72A50E51"/>
    <w:rsid w:val="72A84FF8"/>
    <w:rsid w:val="72AA025B"/>
    <w:rsid w:val="72D80D10"/>
    <w:rsid w:val="72DC091E"/>
    <w:rsid w:val="72EE1DEE"/>
    <w:rsid w:val="72F83A3D"/>
    <w:rsid w:val="72F97638"/>
    <w:rsid w:val="72FF0CAB"/>
    <w:rsid w:val="730833A3"/>
    <w:rsid w:val="730C2768"/>
    <w:rsid w:val="730D4FA6"/>
    <w:rsid w:val="732301DD"/>
    <w:rsid w:val="73244C10"/>
    <w:rsid w:val="73253A76"/>
    <w:rsid w:val="73263829"/>
    <w:rsid w:val="73333CCF"/>
    <w:rsid w:val="7339611F"/>
    <w:rsid w:val="734115D6"/>
    <w:rsid w:val="73463ECB"/>
    <w:rsid w:val="73545840"/>
    <w:rsid w:val="735520CB"/>
    <w:rsid w:val="735760D9"/>
    <w:rsid w:val="73610D05"/>
    <w:rsid w:val="73706993"/>
    <w:rsid w:val="73722F12"/>
    <w:rsid w:val="737D137C"/>
    <w:rsid w:val="7387688C"/>
    <w:rsid w:val="73B9644B"/>
    <w:rsid w:val="73B97743"/>
    <w:rsid w:val="73BA64C3"/>
    <w:rsid w:val="73BF3D9C"/>
    <w:rsid w:val="73C860D0"/>
    <w:rsid w:val="73CA1A5B"/>
    <w:rsid w:val="73CC5951"/>
    <w:rsid w:val="73D8261E"/>
    <w:rsid w:val="73DB2875"/>
    <w:rsid w:val="73DB3E81"/>
    <w:rsid w:val="73E974C2"/>
    <w:rsid w:val="73EA4C33"/>
    <w:rsid w:val="73EB24CE"/>
    <w:rsid w:val="73F27BAF"/>
    <w:rsid w:val="73FC7F4B"/>
    <w:rsid w:val="73FE6BD4"/>
    <w:rsid w:val="73FE6EBD"/>
    <w:rsid w:val="74030EA8"/>
    <w:rsid w:val="740565A0"/>
    <w:rsid w:val="740718AD"/>
    <w:rsid w:val="74247F35"/>
    <w:rsid w:val="742763A2"/>
    <w:rsid w:val="74310E0B"/>
    <w:rsid w:val="74373814"/>
    <w:rsid w:val="743744D3"/>
    <w:rsid w:val="743A3291"/>
    <w:rsid w:val="743C097C"/>
    <w:rsid w:val="744128DD"/>
    <w:rsid w:val="744321B9"/>
    <w:rsid w:val="7445385F"/>
    <w:rsid w:val="744D3038"/>
    <w:rsid w:val="745D327B"/>
    <w:rsid w:val="746278E1"/>
    <w:rsid w:val="746C2F3B"/>
    <w:rsid w:val="74714F78"/>
    <w:rsid w:val="747315D0"/>
    <w:rsid w:val="74770944"/>
    <w:rsid w:val="74786307"/>
    <w:rsid w:val="748D1686"/>
    <w:rsid w:val="749E0D9E"/>
    <w:rsid w:val="74A20481"/>
    <w:rsid w:val="74BA06CD"/>
    <w:rsid w:val="74BB59A7"/>
    <w:rsid w:val="74C95CF2"/>
    <w:rsid w:val="74D17B4E"/>
    <w:rsid w:val="74D9212C"/>
    <w:rsid w:val="74D96DC9"/>
    <w:rsid w:val="74E6051F"/>
    <w:rsid w:val="74F33C47"/>
    <w:rsid w:val="74F46C47"/>
    <w:rsid w:val="74FA6D1C"/>
    <w:rsid w:val="750977D2"/>
    <w:rsid w:val="750B4A98"/>
    <w:rsid w:val="75197346"/>
    <w:rsid w:val="751F4390"/>
    <w:rsid w:val="75306BE1"/>
    <w:rsid w:val="7537599B"/>
    <w:rsid w:val="7544268D"/>
    <w:rsid w:val="754E52B9"/>
    <w:rsid w:val="7556556B"/>
    <w:rsid w:val="755A2046"/>
    <w:rsid w:val="755C1784"/>
    <w:rsid w:val="755E3DA9"/>
    <w:rsid w:val="75611117"/>
    <w:rsid w:val="756B7C19"/>
    <w:rsid w:val="756E14B8"/>
    <w:rsid w:val="75705230"/>
    <w:rsid w:val="75795EB8"/>
    <w:rsid w:val="757D1604"/>
    <w:rsid w:val="757E693A"/>
    <w:rsid w:val="75812B3A"/>
    <w:rsid w:val="758717EC"/>
    <w:rsid w:val="758C32CD"/>
    <w:rsid w:val="758D1214"/>
    <w:rsid w:val="759F5A5D"/>
    <w:rsid w:val="75A5137D"/>
    <w:rsid w:val="75BD4B4C"/>
    <w:rsid w:val="75E874BC"/>
    <w:rsid w:val="75E9295B"/>
    <w:rsid w:val="75F063BB"/>
    <w:rsid w:val="75F17EF5"/>
    <w:rsid w:val="75FB0F9D"/>
    <w:rsid w:val="75FE73A5"/>
    <w:rsid w:val="76066BBC"/>
    <w:rsid w:val="76074214"/>
    <w:rsid w:val="760C0F69"/>
    <w:rsid w:val="760C78FD"/>
    <w:rsid w:val="76112CA4"/>
    <w:rsid w:val="761337BF"/>
    <w:rsid w:val="762842CE"/>
    <w:rsid w:val="762878B8"/>
    <w:rsid w:val="762F6E99"/>
    <w:rsid w:val="763811AD"/>
    <w:rsid w:val="76472434"/>
    <w:rsid w:val="765A5B44"/>
    <w:rsid w:val="765E32DA"/>
    <w:rsid w:val="7661585E"/>
    <w:rsid w:val="766308F1"/>
    <w:rsid w:val="766760DE"/>
    <w:rsid w:val="76825CCD"/>
    <w:rsid w:val="76902F36"/>
    <w:rsid w:val="76911902"/>
    <w:rsid w:val="76962A74"/>
    <w:rsid w:val="76982C90"/>
    <w:rsid w:val="769F401E"/>
    <w:rsid w:val="76A37A02"/>
    <w:rsid w:val="76A61249"/>
    <w:rsid w:val="76B13D52"/>
    <w:rsid w:val="76BD3DFD"/>
    <w:rsid w:val="76C43F58"/>
    <w:rsid w:val="76DA32A9"/>
    <w:rsid w:val="76E16AC1"/>
    <w:rsid w:val="76E86402"/>
    <w:rsid w:val="76EF03D6"/>
    <w:rsid w:val="76FA2590"/>
    <w:rsid w:val="77007C11"/>
    <w:rsid w:val="77013EEA"/>
    <w:rsid w:val="77067A79"/>
    <w:rsid w:val="770C0F88"/>
    <w:rsid w:val="77123BE2"/>
    <w:rsid w:val="77204A34"/>
    <w:rsid w:val="772B3B04"/>
    <w:rsid w:val="772B58B2"/>
    <w:rsid w:val="77383B2B"/>
    <w:rsid w:val="774249AA"/>
    <w:rsid w:val="77444BC6"/>
    <w:rsid w:val="774C7DF8"/>
    <w:rsid w:val="7751259A"/>
    <w:rsid w:val="77560455"/>
    <w:rsid w:val="7758241F"/>
    <w:rsid w:val="77613082"/>
    <w:rsid w:val="7765350F"/>
    <w:rsid w:val="77691A8D"/>
    <w:rsid w:val="7771542A"/>
    <w:rsid w:val="77731007"/>
    <w:rsid w:val="778B7EF0"/>
    <w:rsid w:val="778F6581"/>
    <w:rsid w:val="779E288C"/>
    <w:rsid w:val="779E5558"/>
    <w:rsid w:val="779F3BAA"/>
    <w:rsid w:val="779F65BD"/>
    <w:rsid w:val="77A6318B"/>
    <w:rsid w:val="77A80CB1"/>
    <w:rsid w:val="77B049B1"/>
    <w:rsid w:val="77B104FE"/>
    <w:rsid w:val="77BA71E4"/>
    <w:rsid w:val="77BB79C0"/>
    <w:rsid w:val="77C02A1F"/>
    <w:rsid w:val="77D47913"/>
    <w:rsid w:val="77DA1086"/>
    <w:rsid w:val="77DB6DEB"/>
    <w:rsid w:val="77DC6BAC"/>
    <w:rsid w:val="77E45A61"/>
    <w:rsid w:val="77E67A2B"/>
    <w:rsid w:val="77EA751B"/>
    <w:rsid w:val="780103C1"/>
    <w:rsid w:val="78056103"/>
    <w:rsid w:val="780F39A4"/>
    <w:rsid w:val="78144598"/>
    <w:rsid w:val="783103D1"/>
    <w:rsid w:val="78340796"/>
    <w:rsid w:val="783469E8"/>
    <w:rsid w:val="783C589D"/>
    <w:rsid w:val="78465777"/>
    <w:rsid w:val="785E3A65"/>
    <w:rsid w:val="786248AF"/>
    <w:rsid w:val="786818F0"/>
    <w:rsid w:val="786C4149"/>
    <w:rsid w:val="786F77F4"/>
    <w:rsid w:val="787768D5"/>
    <w:rsid w:val="787F2CFB"/>
    <w:rsid w:val="78874D6A"/>
    <w:rsid w:val="789E0708"/>
    <w:rsid w:val="78A21BA4"/>
    <w:rsid w:val="78A300F5"/>
    <w:rsid w:val="78B83B7B"/>
    <w:rsid w:val="78CD62B7"/>
    <w:rsid w:val="78D21D5D"/>
    <w:rsid w:val="78F073F6"/>
    <w:rsid w:val="78F16688"/>
    <w:rsid w:val="78FE2B52"/>
    <w:rsid w:val="79004264"/>
    <w:rsid w:val="790068CB"/>
    <w:rsid w:val="79053EE1"/>
    <w:rsid w:val="79091C79"/>
    <w:rsid w:val="792C1933"/>
    <w:rsid w:val="79334EF2"/>
    <w:rsid w:val="79380D80"/>
    <w:rsid w:val="793A002E"/>
    <w:rsid w:val="793F73F3"/>
    <w:rsid w:val="79455C0B"/>
    <w:rsid w:val="7952794E"/>
    <w:rsid w:val="79780B57"/>
    <w:rsid w:val="799209E4"/>
    <w:rsid w:val="79925E9C"/>
    <w:rsid w:val="79927E6B"/>
    <w:rsid w:val="7996297A"/>
    <w:rsid w:val="799F7E92"/>
    <w:rsid w:val="79A951B4"/>
    <w:rsid w:val="79AE4579"/>
    <w:rsid w:val="79AF0214"/>
    <w:rsid w:val="79AF1A82"/>
    <w:rsid w:val="79B06543"/>
    <w:rsid w:val="79B23BED"/>
    <w:rsid w:val="79BE04D5"/>
    <w:rsid w:val="79C93160"/>
    <w:rsid w:val="79CA6C00"/>
    <w:rsid w:val="79CF6ED7"/>
    <w:rsid w:val="79D047CC"/>
    <w:rsid w:val="79D327A8"/>
    <w:rsid w:val="79D57D57"/>
    <w:rsid w:val="79DB3A9F"/>
    <w:rsid w:val="79DF4732"/>
    <w:rsid w:val="79E306C6"/>
    <w:rsid w:val="79E81EBB"/>
    <w:rsid w:val="79EB4D57"/>
    <w:rsid w:val="79FB745F"/>
    <w:rsid w:val="79FF1829"/>
    <w:rsid w:val="7A065AC3"/>
    <w:rsid w:val="7A143036"/>
    <w:rsid w:val="7A1563A6"/>
    <w:rsid w:val="7A217C31"/>
    <w:rsid w:val="7A2465E9"/>
    <w:rsid w:val="7A344A7E"/>
    <w:rsid w:val="7A3E3B4E"/>
    <w:rsid w:val="7A432F13"/>
    <w:rsid w:val="7A4E3666"/>
    <w:rsid w:val="7A676A6E"/>
    <w:rsid w:val="7A703000"/>
    <w:rsid w:val="7A81783A"/>
    <w:rsid w:val="7A882CE1"/>
    <w:rsid w:val="7A8E64E5"/>
    <w:rsid w:val="7A941E2A"/>
    <w:rsid w:val="7A994980"/>
    <w:rsid w:val="7A996FD7"/>
    <w:rsid w:val="7A9B4A72"/>
    <w:rsid w:val="7A9B68AB"/>
    <w:rsid w:val="7AA16197"/>
    <w:rsid w:val="7AA31C03"/>
    <w:rsid w:val="7AA37A1D"/>
    <w:rsid w:val="7AAB2866"/>
    <w:rsid w:val="7AB2256F"/>
    <w:rsid w:val="7ABB0CFB"/>
    <w:rsid w:val="7AC02261"/>
    <w:rsid w:val="7AC202DC"/>
    <w:rsid w:val="7AC211A2"/>
    <w:rsid w:val="7ACC2F08"/>
    <w:rsid w:val="7AD46C38"/>
    <w:rsid w:val="7AD61FD9"/>
    <w:rsid w:val="7ADB139D"/>
    <w:rsid w:val="7ADD07D2"/>
    <w:rsid w:val="7AE90463"/>
    <w:rsid w:val="7AF1471D"/>
    <w:rsid w:val="7AFD57B8"/>
    <w:rsid w:val="7AFE1708"/>
    <w:rsid w:val="7B1C52EF"/>
    <w:rsid w:val="7B292109"/>
    <w:rsid w:val="7B2A3852"/>
    <w:rsid w:val="7B2A5212"/>
    <w:rsid w:val="7B36107E"/>
    <w:rsid w:val="7B427DD2"/>
    <w:rsid w:val="7B470223"/>
    <w:rsid w:val="7B4D4A80"/>
    <w:rsid w:val="7B566C30"/>
    <w:rsid w:val="7B5879D5"/>
    <w:rsid w:val="7B5A04B6"/>
    <w:rsid w:val="7B5A64FF"/>
    <w:rsid w:val="7B5E2B67"/>
    <w:rsid w:val="7B712D87"/>
    <w:rsid w:val="7B7A6463"/>
    <w:rsid w:val="7B803CF3"/>
    <w:rsid w:val="7B8559F6"/>
    <w:rsid w:val="7B871525"/>
    <w:rsid w:val="7B8C6B3B"/>
    <w:rsid w:val="7B914152"/>
    <w:rsid w:val="7B9325CF"/>
    <w:rsid w:val="7B9D48A5"/>
    <w:rsid w:val="7BA223BF"/>
    <w:rsid w:val="7BB623BE"/>
    <w:rsid w:val="7BB876E4"/>
    <w:rsid w:val="7BC41E31"/>
    <w:rsid w:val="7BDA5FBB"/>
    <w:rsid w:val="7BE14791"/>
    <w:rsid w:val="7BE75B20"/>
    <w:rsid w:val="7BF73FB5"/>
    <w:rsid w:val="7BF81ADB"/>
    <w:rsid w:val="7BFF16D9"/>
    <w:rsid w:val="7C0A57B6"/>
    <w:rsid w:val="7C1032C9"/>
    <w:rsid w:val="7C1570C3"/>
    <w:rsid w:val="7C197BC6"/>
    <w:rsid w:val="7C336FB7"/>
    <w:rsid w:val="7C376AA7"/>
    <w:rsid w:val="7C391155"/>
    <w:rsid w:val="7C3A574D"/>
    <w:rsid w:val="7C3A6597"/>
    <w:rsid w:val="7C790E6E"/>
    <w:rsid w:val="7C7B0ED8"/>
    <w:rsid w:val="7C7F0E19"/>
    <w:rsid w:val="7C8141C6"/>
    <w:rsid w:val="7C84479C"/>
    <w:rsid w:val="7C8A4E29"/>
    <w:rsid w:val="7C9B5997"/>
    <w:rsid w:val="7CA3642A"/>
    <w:rsid w:val="7CA51C63"/>
    <w:rsid w:val="7CB23807"/>
    <w:rsid w:val="7CB64128"/>
    <w:rsid w:val="7CBB1486"/>
    <w:rsid w:val="7CC7607D"/>
    <w:rsid w:val="7CCA0125"/>
    <w:rsid w:val="7CCA5D3F"/>
    <w:rsid w:val="7CD871A5"/>
    <w:rsid w:val="7CDF3817"/>
    <w:rsid w:val="7CE309DD"/>
    <w:rsid w:val="7CF71AB3"/>
    <w:rsid w:val="7CFC4477"/>
    <w:rsid w:val="7CFC55FB"/>
    <w:rsid w:val="7D010F82"/>
    <w:rsid w:val="7D0418A4"/>
    <w:rsid w:val="7D1666BD"/>
    <w:rsid w:val="7D2105E9"/>
    <w:rsid w:val="7D274BD9"/>
    <w:rsid w:val="7D380250"/>
    <w:rsid w:val="7D3845BA"/>
    <w:rsid w:val="7D3B7730"/>
    <w:rsid w:val="7D575847"/>
    <w:rsid w:val="7D6513F2"/>
    <w:rsid w:val="7D653866"/>
    <w:rsid w:val="7D67516A"/>
    <w:rsid w:val="7D7D7D3D"/>
    <w:rsid w:val="7D84520E"/>
    <w:rsid w:val="7D846007"/>
    <w:rsid w:val="7D871368"/>
    <w:rsid w:val="7D8E676D"/>
    <w:rsid w:val="7D90506C"/>
    <w:rsid w:val="7D935485"/>
    <w:rsid w:val="7DB54128"/>
    <w:rsid w:val="7DB57A31"/>
    <w:rsid w:val="7DCE343B"/>
    <w:rsid w:val="7DCE56CE"/>
    <w:rsid w:val="7DD24CC9"/>
    <w:rsid w:val="7DD345AE"/>
    <w:rsid w:val="7DE642E1"/>
    <w:rsid w:val="7DE70059"/>
    <w:rsid w:val="7DE844FD"/>
    <w:rsid w:val="7DF74B5F"/>
    <w:rsid w:val="7DF84014"/>
    <w:rsid w:val="7DFF1B07"/>
    <w:rsid w:val="7E024E93"/>
    <w:rsid w:val="7E1535FE"/>
    <w:rsid w:val="7E186200"/>
    <w:rsid w:val="7E1C41A7"/>
    <w:rsid w:val="7E1D641D"/>
    <w:rsid w:val="7E2117BD"/>
    <w:rsid w:val="7E2412AD"/>
    <w:rsid w:val="7E3233BA"/>
    <w:rsid w:val="7E39772C"/>
    <w:rsid w:val="7E3E236F"/>
    <w:rsid w:val="7E3F39F1"/>
    <w:rsid w:val="7E470AF8"/>
    <w:rsid w:val="7E576F8D"/>
    <w:rsid w:val="7E5A4CCF"/>
    <w:rsid w:val="7E611B38"/>
    <w:rsid w:val="7E6C5545"/>
    <w:rsid w:val="7E756633"/>
    <w:rsid w:val="7E857F9E"/>
    <w:rsid w:val="7E893C09"/>
    <w:rsid w:val="7EAF6DC9"/>
    <w:rsid w:val="7EC43944"/>
    <w:rsid w:val="7EC64112"/>
    <w:rsid w:val="7ECC0CAB"/>
    <w:rsid w:val="7ED56104"/>
    <w:rsid w:val="7ED57569"/>
    <w:rsid w:val="7EDC2A45"/>
    <w:rsid w:val="7EDE3C22"/>
    <w:rsid w:val="7EE2719E"/>
    <w:rsid w:val="7EE8052D"/>
    <w:rsid w:val="7EFB3DBC"/>
    <w:rsid w:val="7F006D9E"/>
    <w:rsid w:val="7F014491"/>
    <w:rsid w:val="7F062761"/>
    <w:rsid w:val="7F0D69E3"/>
    <w:rsid w:val="7F10410C"/>
    <w:rsid w:val="7F160BF6"/>
    <w:rsid w:val="7F17496E"/>
    <w:rsid w:val="7F196938"/>
    <w:rsid w:val="7F25708B"/>
    <w:rsid w:val="7F3D2627"/>
    <w:rsid w:val="7F4A728E"/>
    <w:rsid w:val="7F4F047F"/>
    <w:rsid w:val="7F657DC7"/>
    <w:rsid w:val="7F672D95"/>
    <w:rsid w:val="7F675951"/>
    <w:rsid w:val="7F75174B"/>
    <w:rsid w:val="7F7E5CC6"/>
    <w:rsid w:val="7F820F2E"/>
    <w:rsid w:val="7F8433FB"/>
    <w:rsid w:val="7F855D7C"/>
    <w:rsid w:val="7F8C0EB8"/>
    <w:rsid w:val="7F950745"/>
    <w:rsid w:val="7FB82C14"/>
    <w:rsid w:val="7FB94246"/>
    <w:rsid w:val="7FD4460D"/>
    <w:rsid w:val="7FE068D0"/>
    <w:rsid w:val="7FE24F7C"/>
    <w:rsid w:val="7FE403C3"/>
    <w:rsid w:val="7FE516F1"/>
    <w:rsid w:val="7FE72592"/>
    <w:rsid w:val="7FE75EB6"/>
    <w:rsid w:val="7FE863FB"/>
    <w:rsid w:val="7FF23B3A"/>
    <w:rsid w:val="7FFC30B1"/>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name="toc 2"/>
    <w:lsdException w:qFormat="1"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napToGrid w:val="0"/>
      <w:spacing w:line="360" w:lineRule="auto"/>
      <w:outlineLvl w:val="0"/>
    </w:pPr>
    <w:rPr>
      <w:rFonts w:eastAsia="黑体"/>
      <w:kern w:val="44"/>
      <w:sz w:val="28"/>
    </w:rPr>
  </w:style>
  <w:style w:type="paragraph" w:styleId="4">
    <w:name w:val="heading 2"/>
    <w:basedOn w:val="1"/>
    <w:next w:val="1"/>
    <w:qFormat/>
    <w:uiPriority w:val="99"/>
    <w:pPr>
      <w:autoSpaceDE w:val="0"/>
      <w:autoSpaceDN w:val="0"/>
      <w:jc w:val="center"/>
      <w:outlineLvl w:val="1"/>
    </w:pPr>
    <w:rPr>
      <w:rFonts w:ascii="仿宋" w:hAnsi="仿宋" w:eastAsia="仿宋" w:cs="宋体"/>
      <w:b/>
      <w:bCs/>
      <w:kern w:val="0"/>
      <w:sz w:val="24"/>
    </w:rPr>
  </w:style>
  <w:style w:type="paragraph" w:styleId="5">
    <w:name w:val="heading 3"/>
    <w:basedOn w:val="1"/>
    <w:next w:val="1"/>
    <w:qFormat/>
    <w:uiPriority w:val="0"/>
    <w:pPr>
      <w:keepNext/>
      <w:keepLines/>
      <w:numPr>
        <w:ilvl w:val="2"/>
        <w:numId w:val="1"/>
      </w:numPr>
      <w:spacing w:before="260" w:after="260" w:line="413" w:lineRule="auto"/>
      <w:outlineLvl w:val="2"/>
    </w:pPr>
    <w:rPr>
      <w:b/>
      <w:sz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8"/>
    <w:qFormat/>
    <w:uiPriority w:val="0"/>
    <w:rPr>
      <w:rFonts w:ascii="仿宋_GB2312" w:hAnsi="Calibri" w:eastAsia="仿宋_GB2312"/>
      <w:sz w:val="24"/>
    </w:rPr>
  </w:style>
  <w:style w:type="paragraph" w:styleId="6">
    <w:name w:val="Normal Indent"/>
    <w:basedOn w:val="1"/>
    <w:next w:val="1"/>
    <w:qFormat/>
    <w:uiPriority w:val="0"/>
    <w:pPr>
      <w:ind w:firstLine="200" w:firstLineChars="200"/>
    </w:pPr>
  </w:style>
  <w:style w:type="paragraph" w:styleId="7">
    <w:name w:val="caption"/>
    <w:basedOn w:val="1"/>
    <w:next w:val="1"/>
    <w:qFormat/>
    <w:uiPriority w:val="0"/>
    <w:pPr>
      <w:widowControl/>
      <w:jc w:val="left"/>
    </w:pPr>
    <w:rPr>
      <w:rFonts w:ascii="Calibri" w:hAnsi="Calibri"/>
      <w:b/>
      <w:bCs/>
      <w:color w:val="2DA2BF"/>
      <w:kern w:val="0"/>
      <w:sz w:val="18"/>
      <w:szCs w:val="18"/>
    </w:rPr>
  </w:style>
  <w:style w:type="paragraph" w:styleId="8">
    <w:name w:val="annotation text"/>
    <w:basedOn w:val="1"/>
    <w:link w:val="64"/>
    <w:qFormat/>
    <w:uiPriority w:val="0"/>
    <w:pPr>
      <w:jc w:val="left"/>
    </w:pPr>
  </w:style>
  <w:style w:type="paragraph" w:styleId="9">
    <w:name w:val="Salutation"/>
    <w:basedOn w:val="1"/>
    <w:next w:val="1"/>
    <w:qFormat/>
    <w:uiPriority w:val="0"/>
    <w:rPr>
      <w:sz w:val="28"/>
      <w:szCs w:val="20"/>
    </w:rPr>
  </w:style>
  <w:style w:type="paragraph" w:styleId="10">
    <w:name w:val="Body Text Indent"/>
    <w:basedOn w:val="1"/>
    <w:next w:val="1"/>
    <w:qFormat/>
    <w:uiPriority w:val="0"/>
    <w:pPr>
      <w:snapToGrid w:val="0"/>
      <w:spacing w:before="120" w:line="360" w:lineRule="atLeast"/>
      <w:ind w:firstLine="539"/>
    </w:pPr>
    <w:rPr>
      <w:sz w:val="24"/>
    </w:rPr>
  </w:style>
  <w:style w:type="paragraph" w:styleId="11">
    <w:name w:val="Block Text"/>
    <w:basedOn w:val="1"/>
    <w:qFormat/>
    <w:uiPriority w:val="0"/>
    <w:pPr>
      <w:adjustRightInd w:val="0"/>
      <w:snapToGrid w:val="0"/>
      <w:spacing w:line="490" w:lineRule="atLeast"/>
      <w:ind w:left="10" w:leftChars="5" w:right="-449" w:rightChars="-214" w:firstLine="560" w:firstLineChars="200"/>
    </w:pPr>
    <w:rPr>
      <w:color w:val="000000"/>
      <w:sz w:val="28"/>
    </w:rPr>
  </w:style>
  <w:style w:type="paragraph" w:styleId="12">
    <w:name w:val="toc 3"/>
    <w:basedOn w:val="1"/>
    <w:next w:val="1"/>
    <w:semiHidden/>
    <w:unhideWhenUsed/>
    <w:qFormat/>
    <w:uiPriority w:val="39"/>
    <w:pPr>
      <w:ind w:left="840" w:leftChars="400"/>
    </w:pPr>
  </w:style>
  <w:style w:type="paragraph" w:styleId="13">
    <w:name w:val="Plain Text"/>
    <w:basedOn w:val="1"/>
    <w:next w:val="9"/>
    <w:qFormat/>
    <w:uiPriority w:val="0"/>
    <w:pPr>
      <w:adjustRightInd w:val="0"/>
      <w:spacing w:before="120" w:line="400" w:lineRule="exact"/>
      <w:textAlignment w:val="baseline"/>
    </w:pPr>
    <w:rPr>
      <w:rFonts w:ascii="宋体"/>
      <w:spacing w:val="-2"/>
      <w:kern w:val="28"/>
    </w:rPr>
  </w:style>
  <w:style w:type="paragraph" w:styleId="14">
    <w:name w:val="List Bullet 5"/>
    <w:basedOn w:val="1"/>
    <w:semiHidden/>
    <w:unhideWhenUsed/>
    <w:qFormat/>
    <w:uiPriority w:val="99"/>
    <w:pPr>
      <w:numPr>
        <w:ilvl w:val="0"/>
        <w:numId w:val="2"/>
      </w:numPr>
    </w:pPr>
  </w:style>
  <w:style w:type="paragraph" w:styleId="15">
    <w:name w:val="Body Text Indent 2"/>
    <w:basedOn w:val="1"/>
    <w:qFormat/>
    <w:uiPriority w:val="0"/>
    <w:pPr>
      <w:spacing w:before="15" w:line="480" w:lineRule="exact"/>
      <w:ind w:firstLine="200" w:firstLineChars="200"/>
    </w:pPr>
    <w:rPr>
      <w:rFonts w:ascii="宋体"/>
      <w:spacing w:val="4"/>
      <w:sz w:val="24"/>
    </w:rPr>
  </w:style>
  <w:style w:type="paragraph" w:styleId="16">
    <w:name w:val="footer"/>
    <w:basedOn w:val="1"/>
    <w:link w:val="3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7">
    <w:name w:val="header"/>
    <w:basedOn w:val="1"/>
    <w:link w:val="3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8">
    <w:name w:val="toc 1"/>
    <w:basedOn w:val="1"/>
    <w:next w:val="1"/>
    <w:qFormat/>
    <w:uiPriority w:val="39"/>
    <w:pPr>
      <w:tabs>
        <w:tab w:val="right" w:leader="dot" w:pos="9176"/>
      </w:tabs>
      <w:spacing w:before="120" w:after="120"/>
      <w:jc w:val="left"/>
    </w:pPr>
    <w:rPr>
      <w:rFonts w:ascii="仿宋_GB2312" w:hAnsi="Calibri" w:eastAsia="仿宋_GB2312" w:cs="Calibri"/>
      <w:bCs/>
      <w:caps/>
      <w:sz w:val="24"/>
    </w:rPr>
  </w:style>
  <w:style w:type="paragraph" w:styleId="19">
    <w:name w:val="toc 4"/>
    <w:basedOn w:val="1"/>
    <w:next w:val="1"/>
    <w:qFormat/>
    <w:uiPriority w:val="0"/>
    <w:pPr>
      <w:jc w:val="center"/>
    </w:pPr>
    <w:rPr>
      <w:szCs w:val="21"/>
    </w:rPr>
  </w:style>
  <w:style w:type="paragraph" w:styleId="20">
    <w:name w:val="List"/>
    <w:basedOn w:val="1"/>
    <w:qFormat/>
    <w:uiPriority w:val="0"/>
    <w:pPr>
      <w:ind w:left="200" w:hanging="200" w:hangingChars="200"/>
    </w:pPr>
  </w:style>
  <w:style w:type="paragraph" w:styleId="21">
    <w:name w:val="toc 2"/>
    <w:basedOn w:val="1"/>
    <w:next w:val="1"/>
    <w:semiHidden/>
    <w:unhideWhenUsed/>
    <w:qFormat/>
    <w:uiPriority w:val="39"/>
    <w:pPr>
      <w:ind w:left="420" w:leftChars="200"/>
    </w:pPr>
  </w:style>
  <w:style w:type="paragraph" w:styleId="22">
    <w:name w:val="Normal (Web)"/>
    <w:basedOn w:val="1"/>
    <w:link w:val="34"/>
    <w:qFormat/>
    <w:uiPriority w:val="0"/>
    <w:pPr>
      <w:widowControl/>
      <w:spacing w:before="100" w:beforeAutospacing="1" w:after="100" w:afterAutospacing="1"/>
      <w:jc w:val="left"/>
    </w:pPr>
    <w:rPr>
      <w:rFonts w:ascii="宋体" w:hAnsi="宋体" w:cstheme="minorBidi"/>
      <w:sz w:val="24"/>
      <w:szCs w:val="22"/>
    </w:rPr>
  </w:style>
  <w:style w:type="paragraph" w:styleId="23">
    <w:name w:val="annotation subject"/>
    <w:basedOn w:val="8"/>
    <w:next w:val="8"/>
    <w:link w:val="65"/>
    <w:semiHidden/>
    <w:unhideWhenUsed/>
    <w:qFormat/>
    <w:uiPriority w:val="99"/>
    <w:rPr>
      <w:b/>
      <w:bCs/>
    </w:rPr>
  </w:style>
  <w:style w:type="paragraph" w:styleId="24">
    <w:name w:val="Body Text First Indent"/>
    <w:basedOn w:val="2"/>
    <w:qFormat/>
    <w:uiPriority w:val="0"/>
    <w:pPr>
      <w:ind w:firstLine="420" w:firstLineChars="100"/>
    </w:pPr>
    <w:rPr>
      <w:rFonts w:ascii="Calibri"/>
      <w:szCs w:val="22"/>
    </w:rPr>
  </w:style>
  <w:style w:type="table" w:styleId="26">
    <w:name w:val="Table Grid"/>
    <w:basedOn w:val="2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8">
    <w:name w:val="page number"/>
    <w:basedOn w:val="27"/>
    <w:qFormat/>
    <w:uiPriority w:val="0"/>
  </w:style>
  <w:style w:type="character" w:styleId="29">
    <w:name w:val="Hyperlink"/>
    <w:basedOn w:val="27"/>
    <w:unhideWhenUsed/>
    <w:qFormat/>
    <w:uiPriority w:val="99"/>
    <w:rPr>
      <w:color w:val="0563C1" w:themeColor="hyperlink"/>
      <w:u w:val="single"/>
      <w14:textFill>
        <w14:solidFill>
          <w14:schemeClr w14:val="hlink"/>
        </w14:solidFill>
      </w14:textFill>
    </w:rPr>
  </w:style>
  <w:style w:type="character" w:styleId="30">
    <w:name w:val="annotation reference"/>
    <w:basedOn w:val="27"/>
    <w:qFormat/>
    <w:uiPriority w:val="0"/>
    <w:rPr>
      <w:sz w:val="21"/>
    </w:rPr>
  </w:style>
  <w:style w:type="character" w:customStyle="1" w:styleId="31">
    <w:name w:val="页眉 字符"/>
    <w:basedOn w:val="27"/>
    <w:link w:val="17"/>
    <w:qFormat/>
    <w:uiPriority w:val="99"/>
    <w:rPr>
      <w:sz w:val="18"/>
      <w:szCs w:val="18"/>
    </w:rPr>
  </w:style>
  <w:style w:type="character" w:customStyle="1" w:styleId="32">
    <w:name w:val="页脚 字符"/>
    <w:basedOn w:val="27"/>
    <w:link w:val="16"/>
    <w:qFormat/>
    <w:uiPriority w:val="99"/>
    <w:rPr>
      <w:sz w:val="18"/>
      <w:szCs w:val="18"/>
    </w:rPr>
  </w:style>
  <w:style w:type="character" w:customStyle="1" w:styleId="33">
    <w:name w:val="页脚 字符1"/>
    <w:qFormat/>
    <w:locked/>
    <w:uiPriority w:val="99"/>
    <w:rPr>
      <w:sz w:val="18"/>
    </w:rPr>
  </w:style>
  <w:style w:type="character" w:customStyle="1" w:styleId="34">
    <w:name w:val="普通(网站) 字符"/>
    <w:link w:val="22"/>
    <w:qFormat/>
    <w:locked/>
    <w:uiPriority w:val="0"/>
    <w:rPr>
      <w:rFonts w:ascii="宋体" w:hAnsi="宋体" w:eastAsia="宋体"/>
      <w:sz w:val="24"/>
    </w:rPr>
  </w:style>
  <w:style w:type="character" w:customStyle="1" w:styleId="35">
    <w:name w:val="表格 Char"/>
    <w:link w:val="36"/>
    <w:qFormat/>
    <w:locked/>
    <w:uiPriority w:val="0"/>
    <w:rPr>
      <w:rFonts w:ascii="宋体"/>
    </w:rPr>
  </w:style>
  <w:style w:type="paragraph" w:customStyle="1" w:styleId="36">
    <w:name w:val="表格"/>
    <w:basedOn w:val="1"/>
    <w:next w:val="1"/>
    <w:link w:val="35"/>
    <w:qFormat/>
    <w:uiPriority w:val="0"/>
    <w:pPr>
      <w:adjustRightInd w:val="0"/>
      <w:snapToGrid w:val="0"/>
      <w:spacing w:beforeLines="10" w:afterLines="10" w:line="259" w:lineRule="auto"/>
      <w:jc w:val="center"/>
    </w:pPr>
    <w:rPr>
      <w:rFonts w:ascii="宋体" w:hAnsiTheme="minorHAnsi" w:eastAsiaTheme="minorEastAsia" w:cstheme="minorBidi"/>
      <w:szCs w:val="22"/>
    </w:rPr>
  </w:style>
  <w:style w:type="paragraph" w:customStyle="1" w:styleId="37">
    <w:name w:val="报告表正文"/>
    <w:basedOn w:val="38"/>
    <w:qFormat/>
    <w:uiPriority w:val="0"/>
    <w:pPr>
      <w:ind w:firstLine="200" w:firstLineChars="200"/>
      <w:jc w:val="left"/>
    </w:pPr>
    <w:rPr>
      <w:rFonts w:ascii="Times New Roman" w:hAnsi="Times New Roman"/>
      <w:szCs w:val="24"/>
    </w:rPr>
  </w:style>
  <w:style w:type="paragraph" w:customStyle="1" w:styleId="38">
    <w:name w:val="列表1"/>
    <w:basedOn w:val="1"/>
    <w:qFormat/>
    <w:uiPriority w:val="0"/>
    <w:pPr>
      <w:spacing w:line="400" w:lineRule="exact"/>
      <w:jc w:val="center"/>
    </w:pPr>
    <w:rPr>
      <w:rFonts w:ascii="宋体" w:hAnsi="宋体" w:eastAsia="仿宋_GB2312"/>
      <w:sz w:val="24"/>
      <w:szCs w:val="20"/>
    </w:rPr>
  </w:style>
  <w:style w:type="paragraph" w:customStyle="1" w:styleId="39">
    <w:name w:val="111正文"/>
    <w:basedOn w:val="1"/>
    <w:qFormat/>
    <w:uiPriority w:val="0"/>
    <w:pPr>
      <w:tabs>
        <w:tab w:val="left" w:pos="600"/>
      </w:tabs>
      <w:spacing w:line="360" w:lineRule="auto"/>
      <w:ind w:firstLine="200" w:firstLineChars="200"/>
    </w:pPr>
    <w:rPr>
      <w:kern w:val="0"/>
      <w:sz w:val="24"/>
      <w:szCs w:val="22"/>
    </w:rPr>
  </w:style>
  <w:style w:type="paragraph" w:customStyle="1" w:styleId="40">
    <w:name w:val="Default"/>
    <w:next w:val="1"/>
    <w:qFormat/>
    <w:uiPriority w:val="0"/>
    <w:pPr>
      <w:widowControl w:val="0"/>
      <w:autoSpaceDE w:val="0"/>
      <w:autoSpaceDN w:val="0"/>
      <w:adjustRightInd w:val="0"/>
      <w:spacing w:after="200" w:line="276" w:lineRule="auto"/>
    </w:pPr>
    <w:rPr>
      <w:rFonts w:ascii="宋体" w:hAnsi="Times New Roman" w:eastAsia="宋体" w:cs="宋体"/>
      <w:color w:val="000000"/>
      <w:sz w:val="24"/>
      <w:szCs w:val="24"/>
      <w:lang w:val="en-US" w:eastAsia="zh-CN" w:bidi="ar-SA"/>
    </w:rPr>
  </w:style>
  <w:style w:type="paragraph" w:customStyle="1" w:styleId="41">
    <w:name w:val="正本文字"/>
    <w:basedOn w:val="1"/>
    <w:qFormat/>
    <w:uiPriority w:val="0"/>
    <w:pPr>
      <w:adjustRightInd w:val="0"/>
      <w:snapToGrid w:val="0"/>
      <w:spacing w:line="360" w:lineRule="auto"/>
      <w:ind w:firstLine="200" w:firstLineChars="200"/>
      <w:jc w:val="left"/>
    </w:pPr>
    <w:rPr>
      <w:kern w:val="18"/>
      <w:sz w:val="24"/>
    </w:rPr>
  </w:style>
  <w:style w:type="paragraph" w:customStyle="1" w:styleId="42">
    <w:name w:val="1表格"/>
    <w:basedOn w:val="1"/>
    <w:qFormat/>
    <w:uiPriority w:val="0"/>
    <w:pPr>
      <w:spacing w:line="160" w:lineRule="atLeast"/>
      <w:jc w:val="center"/>
    </w:pPr>
    <w:rPr>
      <w:rFonts w:eastAsia="仿宋_GB2312"/>
    </w:rPr>
  </w:style>
  <w:style w:type="paragraph" w:customStyle="1" w:styleId="43">
    <w:name w:val="正文加粗"/>
    <w:basedOn w:val="37"/>
    <w:qFormat/>
    <w:uiPriority w:val="0"/>
    <w:pPr>
      <w:ind w:firstLine="482"/>
    </w:pPr>
    <w:rPr>
      <w:b/>
      <w:snapToGrid w:val="0"/>
    </w:rPr>
  </w:style>
  <w:style w:type="paragraph" w:customStyle="1" w:styleId="44">
    <w:name w:val="图表 标题"/>
    <w:qFormat/>
    <w:uiPriority w:val="0"/>
    <w:pPr>
      <w:widowControl w:val="0"/>
      <w:spacing w:beforeLines="20" w:afterLines="20"/>
      <w:jc w:val="center"/>
    </w:pPr>
    <w:rPr>
      <w:rFonts w:ascii="Times New Roman" w:hAnsi="Times New Roman" w:eastAsia="仿宋_GB2312" w:cs="Times New Roman"/>
      <w:b/>
      <w:kern w:val="2"/>
      <w:sz w:val="24"/>
      <w:szCs w:val="24"/>
      <w:lang w:val="en-US" w:eastAsia="zh-CN" w:bidi="ar-SA"/>
    </w:rPr>
  </w:style>
  <w:style w:type="paragraph" w:customStyle="1" w:styleId="45">
    <w:name w:val="表格 首行文字"/>
    <w:qFormat/>
    <w:uiPriority w:val="0"/>
    <w:pPr>
      <w:adjustRightInd w:val="0"/>
      <w:snapToGrid w:val="0"/>
      <w:jc w:val="center"/>
    </w:pPr>
    <w:rPr>
      <w:rFonts w:ascii="Times New Roman" w:hAnsi="Times New Roman" w:eastAsia="仿宋_GB2312" w:cs="Times New Roman"/>
      <w:b/>
      <w:kern w:val="2"/>
      <w:sz w:val="21"/>
      <w:szCs w:val="22"/>
      <w:lang w:val="en-US" w:eastAsia="zh-CN" w:bidi="ar-SA"/>
    </w:rPr>
  </w:style>
  <w:style w:type="paragraph" w:customStyle="1" w:styleId="46">
    <w:name w:val="表格普通"/>
    <w:basedOn w:val="1"/>
    <w:qFormat/>
    <w:uiPriority w:val="0"/>
    <w:pPr>
      <w:jc w:val="center"/>
    </w:pPr>
    <w:rPr>
      <w:rFonts w:eastAsia="仿宋_GB2312"/>
      <w:szCs w:val="21"/>
    </w:rPr>
  </w:style>
  <w:style w:type="paragraph" w:customStyle="1" w:styleId="47">
    <w:name w:val="Table Paragraph"/>
    <w:basedOn w:val="1"/>
    <w:qFormat/>
    <w:uiPriority w:val="1"/>
    <w:pPr>
      <w:autoSpaceDE w:val="0"/>
      <w:autoSpaceDN w:val="0"/>
    </w:pPr>
    <w:rPr>
      <w:rFonts w:ascii="宋体" w:cs="宋体"/>
      <w:sz w:val="24"/>
    </w:rPr>
  </w:style>
  <w:style w:type="paragraph" w:customStyle="1" w:styleId="48">
    <w:name w:val="表格标题"/>
    <w:basedOn w:val="38"/>
    <w:qFormat/>
    <w:uiPriority w:val="0"/>
    <w:pPr>
      <w:spacing w:before="20" w:beforeLines="20" w:after="20" w:afterLines="20" w:line="240" w:lineRule="auto"/>
    </w:pPr>
    <w:rPr>
      <w:rFonts w:ascii="Times New Roman" w:hAnsi="Times New Roman"/>
      <w:b/>
      <w:szCs w:val="24"/>
    </w:rPr>
  </w:style>
  <w:style w:type="paragraph" w:customStyle="1" w:styleId="49">
    <w:name w:val="表格首行"/>
    <w:basedOn w:val="1"/>
    <w:qFormat/>
    <w:uiPriority w:val="0"/>
    <w:pPr>
      <w:jc w:val="center"/>
    </w:pPr>
    <w:rPr>
      <w:rFonts w:eastAsia="仿宋_GB2312"/>
      <w:b/>
      <w:szCs w:val="21"/>
    </w:rPr>
  </w:style>
  <w:style w:type="paragraph" w:customStyle="1" w:styleId="50">
    <w:name w:val="表格 普通文字"/>
    <w:qFormat/>
    <w:uiPriority w:val="99"/>
    <w:pPr>
      <w:jc w:val="center"/>
    </w:pPr>
    <w:rPr>
      <w:rFonts w:ascii="Times New Roman" w:hAnsi="Times New Roman" w:eastAsia="仿宋_GB2312" w:cs="Times New Roman"/>
      <w:kern w:val="2"/>
      <w:sz w:val="21"/>
      <w:szCs w:val="21"/>
      <w:lang w:val="en-US" w:eastAsia="zh-CN" w:bidi="ar-SA"/>
    </w:rPr>
  </w:style>
  <w:style w:type="paragraph" w:customStyle="1" w:styleId="51">
    <w:name w:val="表蕊"/>
    <w:basedOn w:val="1"/>
    <w:qFormat/>
    <w:uiPriority w:val="0"/>
    <w:pPr>
      <w:adjustRightInd w:val="0"/>
      <w:spacing w:line="320" w:lineRule="atLeast"/>
      <w:jc w:val="left"/>
      <w:textAlignment w:val="baseline"/>
    </w:pPr>
    <w:rPr>
      <w:rFonts w:eastAsia="楷体_GB2312"/>
      <w:spacing w:val="-10"/>
      <w:kern w:val="0"/>
    </w:rPr>
  </w:style>
  <w:style w:type="paragraph" w:styleId="52">
    <w:name w:val="List Paragraph"/>
    <w:basedOn w:val="1"/>
    <w:qFormat/>
    <w:uiPriority w:val="0"/>
    <w:pPr>
      <w:ind w:firstLine="420" w:firstLineChars="200"/>
    </w:pPr>
    <w:rPr>
      <w:szCs w:val="20"/>
    </w:rPr>
  </w:style>
  <w:style w:type="paragraph" w:customStyle="1" w:styleId="53">
    <w:name w:val="表格。。"/>
    <w:basedOn w:val="1"/>
    <w:qFormat/>
    <w:uiPriority w:val="0"/>
    <w:pPr>
      <w:jc w:val="center"/>
    </w:pPr>
  </w:style>
  <w:style w:type="character" w:customStyle="1" w:styleId="54">
    <w:name w:val="font01"/>
    <w:basedOn w:val="27"/>
    <w:qFormat/>
    <w:uiPriority w:val="0"/>
    <w:rPr>
      <w:rFonts w:hint="eastAsia" w:ascii="宋体" w:hAnsi="宋体" w:eastAsia="宋体" w:cs="宋体"/>
      <w:color w:val="0000FF"/>
      <w:sz w:val="22"/>
      <w:szCs w:val="22"/>
      <w:u w:val="none"/>
    </w:rPr>
  </w:style>
  <w:style w:type="paragraph" w:customStyle="1" w:styleId="55">
    <w:name w:val="表格中文字"/>
    <w:basedOn w:val="1"/>
    <w:qFormat/>
    <w:uiPriority w:val="0"/>
    <w:pPr>
      <w:adjustRightInd w:val="0"/>
      <w:snapToGrid w:val="0"/>
      <w:jc w:val="center"/>
    </w:pPr>
    <w:rPr>
      <w:kern w:val="18"/>
      <w:szCs w:val="21"/>
    </w:rPr>
  </w:style>
  <w:style w:type="paragraph" w:customStyle="1" w:styleId="56">
    <w:name w:val="图表文字"/>
    <w:basedOn w:val="1"/>
    <w:qFormat/>
    <w:uiPriority w:val="0"/>
    <w:pPr>
      <w:widowControl/>
      <w:ind w:right="-107" w:rightChars="-51"/>
      <w:jc w:val="center"/>
    </w:pPr>
    <w:rPr>
      <w:rFonts w:ascii="宋体" w:hAnsi="宋体"/>
      <w:kern w:val="0"/>
      <w:sz w:val="22"/>
    </w:rPr>
  </w:style>
  <w:style w:type="paragraph" w:customStyle="1" w:styleId="57">
    <w:name w:val="表格文字"/>
    <w:basedOn w:val="1"/>
    <w:qFormat/>
    <w:uiPriority w:val="0"/>
    <w:pPr>
      <w:adjustRightInd w:val="0"/>
      <w:snapToGrid w:val="0"/>
      <w:jc w:val="center"/>
    </w:pPr>
    <w:rPr>
      <w:rFonts w:ascii="仿宋_GB2312" w:hAnsi="Arial Black" w:eastAsia="仿宋_GB2312"/>
      <w:kern w:val="44"/>
      <w:sz w:val="24"/>
    </w:rPr>
  </w:style>
  <w:style w:type="paragraph" w:customStyle="1" w:styleId="58">
    <w:name w:val="霍尼韦尔"/>
    <w:basedOn w:val="1"/>
    <w:qFormat/>
    <w:uiPriority w:val="0"/>
    <w:pPr>
      <w:spacing w:line="480" w:lineRule="exact"/>
      <w:ind w:firstLine="480" w:firstLineChars="200"/>
      <w:jc w:val="left"/>
    </w:pPr>
    <w:rPr>
      <w:kern w:val="0"/>
      <w:sz w:val="24"/>
    </w:rPr>
  </w:style>
  <w:style w:type="paragraph" w:customStyle="1" w:styleId="59">
    <w:name w:val="样式 标题 1 + 加粗"/>
    <w:basedOn w:val="3"/>
    <w:qFormat/>
    <w:uiPriority w:val="0"/>
    <w:rPr>
      <w:rFonts w:ascii="宋体" w:hAnsi="宋体" w:eastAsia="宋体"/>
      <w:b/>
    </w:rPr>
  </w:style>
  <w:style w:type="paragraph" w:customStyle="1" w:styleId="60">
    <w:name w:val="第一、五章 表格正文"/>
    <w:basedOn w:val="8"/>
    <w:qFormat/>
    <w:uiPriority w:val="0"/>
    <w:pPr>
      <w:jc w:val="center"/>
    </w:pPr>
    <w:rPr>
      <w:rFonts w:eastAsia="仿宋_GB2312"/>
    </w:rPr>
  </w:style>
  <w:style w:type="paragraph" w:customStyle="1" w:styleId="61">
    <w:name w:val="二级无标题条"/>
    <w:basedOn w:val="1"/>
    <w:qFormat/>
    <w:uiPriority w:val="0"/>
  </w:style>
  <w:style w:type="paragraph" w:customStyle="1" w:styleId="62">
    <w:name w:val="表格内容"/>
    <w:basedOn w:val="20"/>
    <w:qFormat/>
    <w:uiPriority w:val="0"/>
    <w:pPr>
      <w:overflowPunct w:val="0"/>
      <w:adjustRightInd w:val="0"/>
      <w:spacing w:before="40" w:after="60" w:line="200" w:lineRule="atLeast"/>
      <w:textAlignment w:val="baseline"/>
    </w:pPr>
    <w:rPr>
      <w:rFonts w:ascii="Arial" w:hAnsi="Arial" w:eastAsia="仿宋_GB2312"/>
      <w:kern w:val="0"/>
      <w:sz w:val="24"/>
    </w:rPr>
  </w:style>
  <w:style w:type="paragraph" w:customStyle="1" w:styleId="63">
    <w:name w:val="加粗（无缩进）"/>
    <w:basedOn w:val="1"/>
    <w:qFormat/>
    <w:uiPriority w:val="0"/>
    <w:pPr>
      <w:spacing w:line="400" w:lineRule="exact"/>
    </w:pPr>
    <w:rPr>
      <w:rFonts w:eastAsia="仿宋_GB2312"/>
      <w:b/>
      <w:bCs/>
      <w:sz w:val="24"/>
    </w:rPr>
  </w:style>
  <w:style w:type="character" w:customStyle="1" w:styleId="64">
    <w:name w:val="批注文字 字符"/>
    <w:basedOn w:val="27"/>
    <w:link w:val="8"/>
    <w:qFormat/>
    <w:uiPriority w:val="0"/>
    <w:rPr>
      <w:kern w:val="2"/>
      <w:sz w:val="21"/>
      <w:szCs w:val="24"/>
    </w:rPr>
  </w:style>
  <w:style w:type="character" w:customStyle="1" w:styleId="65">
    <w:name w:val="批注主题 字符"/>
    <w:basedOn w:val="64"/>
    <w:link w:val="23"/>
    <w:semiHidden/>
    <w:qFormat/>
    <w:uiPriority w:val="99"/>
    <w:rPr>
      <w:b/>
      <w:bCs/>
      <w:kern w:val="2"/>
      <w:sz w:val="21"/>
      <w:szCs w:val="24"/>
    </w:rPr>
  </w:style>
  <w:style w:type="paragraph" w:customStyle="1" w:styleId="66">
    <w:name w:val="图表"/>
    <w:basedOn w:val="1"/>
    <w:qFormat/>
    <w:uiPriority w:val="0"/>
    <w:pPr>
      <w:adjustRightInd w:val="0"/>
      <w:snapToGrid w:val="0"/>
      <w:jc w:val="center"/>
    </w:pPr>
    <w:rPr>
      <w:color w:val="000000"/>
      <w:szCs w:val="22"/>
      <w:lang w:val="zh-CN"/>
    </w:rPr>
  </w:style>
  <w:style w:type="paragraph" w:customStyle="1" w:styleId="67">
    <w:name w:val="5级标题"/>
    <w:basedOn w:val="1"/>
    <w:qFormat/>
    <w:uiPriority w:val="0"/>
    <w:pPr>
      <w:spacing w:line="360" w:lineRule="auto"/>
      <w:jc w:val="left"/>
    </w:pPr>
    <w:rPr>
      <w:kern w:val="0"/>
      <w:sz w:val="24"/>
    </w:rPr>
  </w:style>
  <w:style w:type="character" w:customStyle="1" w:styleId="68">
    <w:name w:val="正文文本 字符"/>
    <w:basedOn w:val="27"/>
    <w:link w:val="2"/>
    <w:qFormat/>
    <w:uiPriority w:val="0"/>
    <w:rPr>
      <w:kern w:val="2"/>
      <w:sz w:val="21"/>
      <w:szCs w:val="24"/>
    </w:rPr>
  </w:style>
  <w:style w:type="character" w:customStyle="1" w:styleId="69">
    <w:name w:val="font11"/>
    <w:basedOn w:val="27"/>
    <w:qFormat/>
    <w:uiPriority w:val="0"/>
    <w:rPr>
      <w:rFonts w:hint="eastAsia" w:ascii="宋体" w:hAnsi="宋体" w:eastAsia="宋体" w:cs="宋体"/>
      <w:color w:val="000000"/>
      <w:sz w:val="21"/>
      <w:szCs w:val="21"/>
      <w:u w:val="none"/>
    </w:rPr>
  </w:style>
  <w:style w:type="paragraph" w:customStyle="1" w:styleId="70">
    <w:name w:val="p0"/>
    <w:basedOn w:val="1"/>
    <w:qFormat/>
    <w:uiPriority w:val="0"/>
    <w:pPr>
      <w:widowControl/>
      <w:jc w:val="left"/>
    </w:pPr>
    <w:rPr>
      <w:rFonts w:ascii="Calibri" w:hAnsi="Calibri"/>
      <w:kern w:val="0"/>
      <w:sz w:val="22"/>
      <w:szCs w:val="21"/>
    </w:rPr>
  </w:style>
  <w:style w:type="character" w:customStyle="1" w:styleId="71">
    <w:name w:val="NormalCharacter"/>
    <w:semiHidden/>
    <w:qFormat/>
    <w:uiPriority w:val="0"/>
    <w:rPr>
      <w:rFonts w:ascii="Times New Roman" w:hAnsi="Times New Roman" w:eastAsia="宋体" w:cs="Times New Roman"/>
      <w:kern w:val="2"/>
      <w:sz w:val="21"/>
      <w:szCs w:val="24"/>
      <w:lang w:val="en-US" w:eastAsia="zh-CN" w:bidi="ar-SA"/>
    </w:rPr>
  </w:style>
  <w:style w:type="paragraph" w:customStyle="1" w:styleId="72">
    <w:name w:val="小四表文左齐"/>
    <w:basedOn w:val="1"/>
    <w:unhideWhenUsed/>
    <w:qFormat/>
    <w:uiPriority w:val="99"/>
    <w:pPr>
      <w:spacing w:before="100" w:after="100"/>
      <w:jc w:val="center"/>
    </w:pPr>
    <w:rPr>
      <w:rFonts w:hint="eastAsia" w:ascii="宋体" w:hAnsi="宋体" w:cs="宋体"/>
    </w:rPr>
  </w:style>
  <w:style w:type="paragraph" w:customStyle="1" w:styleId="73">
    <w:name w:val="正文 文本"/>
    <w:qFormat/>
    <w:uiPriority w:val="0"/>
    <w:pPr>
      <w:widowControl w:val="0"/>
      <w:snapToGrid w:val="0"/>
      <w:spacing w:line="500" w:lineRule="exact"/>
      <w:ind w:firstLine="200" w:firstLineChars="200"/>
      <w:jc w:val="both"/>
    </w:pPr>
    <w:rPr>
      <w:rFonts w:ascii="Times New Roman" w:hAnsi="Times New Roman" w:eastAsia="仿宋_GB2312" w:cs="Times New Roman"/>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0.wmf"/><Relationship Id="rId22" Type="http://schemas.openxmlformats.org/officeDocument/2006/relationships/oleObject" Target="embeddings/oleObject7.bin"/><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e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B66F18-3FCD-46E8-9B73-0DCAF9E83925}">
  <ds:schemaRefs/>
</ds:datastoreItem>
</file>

<file path=docProps/app.xml><?xml version="1.0" encoding="utf-8"?>
<Properties xmlns="http://schemas.openxmlformats.org/officeDocument/2006/extended-properties" xmlns:vt="http://schemas.openxmlformats.org/officeDocument/2006/docPropsVTypes">
  <Template>Normal.dotm</Template>
  <Pages>64</Pages>
  <Words>43534</Words>
  <Characters>49637</Characters>
  <Lines>337</Lines>
  <Paragraphs>94</Paragraphs>
  <TotalTime>11</TotalTime>
  <ScaleCrop>false</ScaleCrop>
  <LinksUpToDate>false</LinksUpToDate>
  <CharactersWithSpaces>49932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2021-11-30T08:33:00Z</dcterms:created>
  <dc:creator>xu luling</dc:creator>
  <cp:lastModifiedBy>湾湾</cp:lastModifiedBy>
  <cp:lastPrinted>2021-02-24T05:55:00Z</cp:lastPrinted>
  <dcterms:modified xsi:type="dcterms:W3CDTF">2023-10-23T02:46:31Z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0DD500B75DCF404AB6BC8086BF25E3A8</vt:lpwstr>
  </property>
  <property fmtid="{D5CDD505-2E9C-101B-9397-08002B2CF9AE}" pid="4" name="commondata">
    <vt:lpwstr>eyJoZGlkIjoiYTBlZGY1MzRlZTI1Njg5YTk1MDRhYWEzMWU1YzkwYWMifQ==</vt:lpwstr>
  </property>
</Properties>
</file>