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F6600">
      <w:pPr>
        <w:rPr>
          <w:rFonts w:ascii="Times New Roman" w:hAnsi="Times New Roman" w:eastAsia="宋体" w:cs="宋体"/>
          <w:color w:val="000000" w:themeColor="text1"/>
          <w:sz w:val="36"/>
          <w:szCs w:val="36"/>
          <w:highlight w:val="none"/>
          <w14:textFill>
            <w14:solidFill>
              <w14:schemeClr w14:val="tx1"/>
            </w14:solidFill>
          </w14:textFill>
        </w:rPr>
      </w:pPr>
    </w:p>
    <w:p w14:paraId="0BABD84F">
      <w:pPr>
        <w:rPr>
          <w:rFonts w:ascii="Times New Roman" w:hAnsi="Times New Roman" w:eastAsia="宋体" w:cs="宋体"/>
          <w:color w:val="000000" w:themeColor="text1"/>
          <w:sz w:val="36"/>
          <w:szCs w:val="36"/>
          <w:highlight w:val="none"/>
          <w14:textFill>
            <w14:solidFill>
              <w14:schemeClr w14:val="tx1"/>
            </w14:solidFill>
          </w14:textFill>
        </w:rPr>
      </w:pPr>
    </w:p>
    <w:p w14:paraId="17D6C7AB">
      <w:pPr>
        <w:rPr>
          <w:rFonts w:ascii="Times New Roman" w:hAnsi="Times New Roman" w:eastAsia="宋体" w:cs="宋体"/>
          <w:color w:val="000000" w:themeColor="text1"/>
          <w:sz w:val="36"/>
          <w:szCs w:val="36"/>
          <w:highlight w:val="none"/>
          <w14:textFill>
            <w14:solidFill>
              <w14:schemeClr w14:val="tx1"/>
            </w14:solidFill>
          </w14:textFill>
        </w:rPr>
      </w:pPr>
    </w:p>
    <w:p w14:paraId="74E9EBC5">
      <w:pPr>
        <w:rPr>
          <w:rFonts w:ascii="Times New Roman" w:hAnsi="Times New Roman" w:eastAsia="宋体" w:cs="宋体"/>
          <w:color w:val="000000" w:themeColor="text1"/>
          <w:sz w:val="36"/>
          <w:szCs w:val="36"/>
          <w:highlight w:val="none"/>
          <w14:textFill>
            <w14:solidFill>
              <w14:schemeClr w14:val="tx1"/>
            </w14:solidFill>
          </w14:textFill>
        </w:rPr>
      </w:pPr>
    </w:p>
    <w:p w14:paraId="42EE1B06">
      <w:pPr>
        <w:rPr>
          <w:rFonts w:ascii="Times New Roman" w:hAnsi="Times New Roman" w:eastAsia="宋体" w:cs="宋体"/>
          <w:color w:val="000000" w:themeColor="text1"/>
          <w:sz w:val="36"/>
          <w:szCs w:val="36"/>
          <w:highlight w:val="none"/>
          <w14:textFill>
            <w14:solidFill>
              <w14:schemeClr w14:val="tx1"/>
            </w14:solidFill>
          </w14:textFill>
        </w:rPr>
      </w:pPr>
    </w:p>
    <w:p w14:paraId="7BB5AB6A">
      <w:pPr>
        <w:rPr>
          <w:rFonts w:ascii="Times New Roman" w:hAnsi="Times New Roman" w:eastAsia="宋体" w:cs="宋体"/>
          <w:color w:val="000000" w:themeColor="text1"/>
          <w:sz w:val="36"/>
          <w:szCs w:val="36"/>
          <w:highlight w:val="none"/>
          <w14:textFill>
            <w14:solidFill>
              <w14:schemeClr w14:val="tx1"/>
            </w14:solidFill>
          </w14:textFill>
        </w:rPr>
      </w:pPr>
    </w:p>
    <w:p w14:paraId="4A77DAA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ascii="Times New Roman" w:hAnsi="Times New Roman" w:eastAsia="宋体" w:cs="宋体"/>
          <w:bCs/>
          <w:color w:val="000000" w:themeColor="text1"/>
          <w:sz w:val="72"/>
          <w:szCs w:val="72"/>
          <w:highlight w:val="none"/>
          <w14:textFill>
            <w14:solidFill>
              <w14:schemeClr w14:val="tx1"/>
            </w14:solidFill>
          </w14:textFill>
        </w:rPr>
      </w:pPr>
      <w:r>
        <w:rPr>
          <w:rFonts w:ascii="Times New Roman" w:hAnsi="Times New Roman" w:eastAsia="宋体" w:cs="宋体"/>
          <w:bCs/>
          <w:color w:val="000000" w:themeColor="text1"/>
          <w:sz w:val="72"/>
          <w:szCs w:val="72"/>
          <w:highlight w:val="none"/>
          <w14:textFill>
            <w14:solidFill>
              <w14:schemeClr w14:val="tx1"/>
            </w14:solidFill>
          </w14:textFill>
        </w:rPr>
        <w:t>建设项目环境影响报告表</w:t>
      </w:r>
      <w:bookmarkStart w:id="0" w:name="pindex4"/>
      <w:bookmarkEnd w:id="0"/>
    </w:p>
    <w:p w14:paraId="1F93FD7A">
      <w:pPr>
        <w:adjustRightInd w:val="0"/>
        <w:snapToGrid w:val="0"/>
        <w:spacing w:line="360" w:lineRule="auto"/>
        <w:jc w:val="center"/>
        <w:rPr>
          <w:rFonts w:ascii="Times New Roman" w:hAnsi="Times New Roman" w:eastAsia="宋体" w:cs="宋体"/>
          <w:bCs/>
          <w:color w:val="000000" w:themeColor="text1"/>
          <w:sz w:val="48"/>
          <w:szCs w:val="48"/>
          <w:highlight w:val="none"/>
          <w14:textFill>
            <w14:solidFill>
              <w14:schemeClr w14:val="tx1"/>
            </w14:solidFill>
          </w14:textFill>
        </w:rPr>
      </w:pPr>
      <w:r>
        <w:rPr>
          <w:rFonts w:ascii="Times New Roman" w:hAnsi="Times New Roman" w:eastAsia="宋体" w:cs="宋体"/>
          <w:bCs/>
          <w:color w:val="000000" w:themeColor="text1"/>
          <w:sz w:val="48"/>
          <w:szCs w:val="48"/>
          <w:highlight w:val="none"/>
          <w14:textFill>
            <w14:solidFill>
              <w14:schemeClr w14:val="tx1"/>
            </w14:solidFill>
          </w14:textFill>
        </w:rPr>
        <w:t>（污染影响类）</w:t>
      </w:r>
    </w:p>
    <w:p w14:paraId="0DE053CE">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559D9A40">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23DDC713">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56BB756F">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36DD24BF">
      <w:pPr>
        <w:adjustRightInd w:val="0"/>
        <w:snapToGrid w:val="0"/>
        <w:spacing w:line="288" w:lineRule="auto"/>
        <w:ind w:firstLine="1458"/>
        <w:rPr>
          <w:rFonts w:ascii="Times New Roman" w:hAnsi="Times New Roman" w:eastAsia="宋体" w:cs="宋体"/>
          <w:color w:val="000000" w:themeColor="text1"/>
          <w:sz w:val="36"/>
          <w:szCs w:val="36"/>
          <w:highlight w:val="none"/>
          <w14:textFill>
            <w14:solidFill>
              <w14:schemeClr w14:val="tx1"/>
            </w14:solidFill>
          </w14:textFill>
        </w:rPr>
      </w:pPr>
    </w:p>
    <w:p w14:paraId="7ABEB377">
      <w:pPr>
        <w:keepNext w:val="0"/>
        <w:keepLines w:val="0"/>
        <w:pageBreakBefore w:val="0"/>
        <w:widowControl w:val="0"/>
        <w:kinsoku/>
        <w:wordWrap/>
        <w:overflowPunct/>
        <w:topLinePunct w:val="0"/>
        <w:autoSpaceDE/>
        <w:autoSpaceDN/>
        <w:bidi w:val="0"/>
        <w:ind w:firstLine="320" w:firstLineChars="100"/>
        <w:textAlignment w:val="auto"/>
        <w:rPr>
          <w:rFonts w:ascii="Times New Roman" w:hAnsi="Times New Roman" w:eastAsia="宋体" w:cs="宋体"/>
          <w:color w:val="000000" w:themeColor="text1"/>
          <w:sz w:val="32"/>
          <w:szCs w:val="32"/>
          <w:highlight w:val="none"/>
          <w14:textFill>
            <w14:solidFill>
              <w14:schemeClr w14:val="tx1"/>
            </w14:solidFill>
          </w14:textFill>
        </w:rPr>
      </w:pPr>
    </w:p>
    <w:p w14:paraId="3A2A893C">
      <w:pPr>
        <w:keepNext w:val="0"/>
        <w:keepLines w:val="0"/>
        <w:pageBreakBefore w:val="0"/>
        <w:widowControl w:val="0"/>
        <w:kinsoku/>
        <w:wordWrap/>
        <w:overflowPunct/>
        <w:topLinePunct w:val="0"/>
        <w:autoSpaceDE/>
        <w:autoSpaceDN/>
        <w:bidi w:val="0"/>
        <w:adjustRightInd w:val="0"/>
        <w:snapToGrid w:val="0"/>
        <w:spacing w:line="288" w:lineRule="auto"/>
        <w:ind w:firstLine="640" w:firstLineChars="200"/>
        <w:jc w:val="both"/>
        <w:textAlignment w:val="auto"/>
        <w:rPr>
          <w:rFonts w:hint="eastAsia" w:cs="宋体"/>
          <w:bCs/>
          <w:color w:val="000000" w:themeColor="text1"/>
          <w:sz w:val="32"/>
          <w:szCs w:val="32"/>
          <w:highlight w:val="none"/>
          <w:u w:val="single"/>
          <w:lang w:eastAsia="zh-CN"/>
          <w14:textFill>
            <w14:solidFill>
              <w14:schemeClr w14:val="tx1"/>
            </w14:solidFill>
          </w14:textFill>
        </w:rPr>
      </w:pPr>
      <w:r>
        <w:rPr>
          <w:rFonts w:ascii="Times New Roman" w:hAnsi="Times New Roman" w:eastAsia="宋体" w:cs="宋体"/>
          <w:color w:val="000000" w:themeColor="text1"/>
          <w:sz w:val="32"/>
          <w:szCs w:val="32"/>
          <w:highlight w:val="none"/>
          <w14:textFill>
            <w14:solidFill>
              <w14:schemeClr w14:val="tx1"/>
            </w14:solidFill>
          </w14:textFill>
        </w:rPr>
        <w:t>项   目   名  称：</w:t>
      </w:r>
      <w:r>
        <w:rPr>
          <w:rFonts w:hint="eastAsia" w:cs="宋体"/>
          <w:bCs/>
          <w:color w:val="000000" w:themeColor="text1"/>
          <w:sz w:val="32"/>
          <w:szCs w:val="32"/>
          <w:highlight w:val="none"/>
          <w:u w:val="single"/>
          <w:lang w:eastAsia="zh-CN"/>
          <w14:textFill>
            <w14:solidFill>
              <w14:schemeClr w14:val="tx1"/>
            </w14:solidFill>
          </w14:textFill>
        </w:rPr>
        <w:t>扩建年产牛肉卤制品1400吨和牛肉</w:t>
      </w:r>
    </w:p>
    <w:p w14:paraId="35DB674B">
      <w:pPr>
        <w:keepNext w:val="0"/>
        <w:keepLines w:val="0"/>
        <w:pageBreakBefore w:val="0"/>
        <w:widowControl w:val="0"/>
        <w:kinsoku/>
        <w:wordWrap/>
        <w:overflowPunct/>
        <w:topLinePunct w:val="0"/>
        <w:autoSpaceDE/>
        <w:autoSpaceDN/>
        <w:bidi w:val="0"/>
        <w:adjustRightInd w:val="0"/>
        <w:snapToGrid w:val="0"/>
        <w:spacing w:line="288" w:lineRule="auto"/>
        <w:ind w:firstLine="4800" w:firstLineChars="1500"/>
        <w:jc w:val="both"/>
        <w:textAlignment w:val="auto"/>
        <w:rPr>
          <w:rFonts w:hint="default" w:ascii="Times New Roman" w:hAnsi="Times New Roman" w:eastAsia="宋体" w:cs="宋体"/>
          <w:color w:val="000000" w:themeColor="text1"/>
          <w:sz w:val="32"/>
          <w:szCs w:val="32"/>
          <w:highlight w:val="none"/>
          <w:u w:val="single"/>
          <w:lang w:val="en-US" w:eastAsia="zh-CN"/>
          <w14:textFill>
            <w14:solidFill>
              <w14:schemeClr w14:val="tx1"/>
            </w14:solidFill>
          </w14:textFill>
        </w:rPr>
      </w:pPr>
      <w:r>
        <w:rPr>
          <w:rFonts w:hint="eastAsia" w:cs="宋体"/>
          <w:bCs/>
          <w:color w:val="000000" w:themeColor="text1"/>
          <w:sz w:val="32"/>
          <w:szCs w:val="32"/>
          <w:highlight w:val="none"/>
          <w:u w:val="single"/>
          <w:lang w:eastAsia="zh-CN"/>
          <w14:textFill>
            <w14:solidFill>
              <w14:schemeClr w14:val="tx1"/>
            </w14:solidFill>
          </w14:textFill>
        </w:rPr>
        <w:t>副产品1900吨</w:t>
      </w:r>
      <w:r>
        <w:rPr>
          <w:rFonts w:ascii="Times New Roman" w:hAnsi="Times New Roman" w:eastAsia="宋体" w:cs="宋体"/>
          <w:bCs/>
          <w:color w:val="000000" w:themeColor="text1"/>
          <w:sz w:val="32"/>
          <w:szCs w:val="32"/>
          <w:highlight w:val="none"/>
          <w:u w:val="single"/>
          <w14:textFill>
            <w14:solidFill>
              <w14:schemeClr w14:val="tx1"/>
            </w14:solidFill>
          </w14:textFill>
        </w:rPr>
        <w:t>项目</w:t>
      </w:r>
    </w:p>
    <w:p w14:paraId="4815FCE4">
      <w:pPr>
        <w:keepNext w:val="0"/>
        <w:keepLines w:val="0"/>
        <w:pageBreakBefore w:val="0"/>
        <w:widowControl w:val="0"/>
        <w:kinsoku/>
        <w:wordWrap/>
        <w:overflowPunct/>
        <w:topLinePunct w:val="0"/>
        <w:autoSpaceDE/>
        <w:autoSpaceDN/>
        <w:bidi w:val="0"/>
        <w:adjustRightInd w:val="0"/>
        <w:snapToGrid w:val="0"/>
        <w:spacing w:line="288" w:lineRule="auto"/>
        <w:ind w:firstLine="640" w:firstLineChars="200"/>
        <w:textAlignment w:val="auto"/>
        <w:rPr>
          <w:rFonts w:hint="default" w:ascii="Times New Roman" w:hAnsi="Times New Roman" w:eastAsia="宋体" w:cs="宋体"/>
          <w:color w:val="000000" w:themeColor="text1"/>
          <w:sz w:val="32"/>
          <w:szCs w:val="32"/>
          <w:highlight w:val="none"/>
          <w:u w:val="single"/>
          <w:lang w:val="en-US"/>
          <w14:textFill>
            <w14:solidFill>
              <w14:schemeClr w14:val="tx1"/>
            </w14:solidFill>
          </w14:textFill>
        </w:rPr>
      </w:pPr>
      <w:r>
        <w:rPr>
          <w:rFonts w:ascii="Times New Roman" w:hAnsi="Times New Roman" w:eastAsia="宋体" w:cs="宋体"/>
          <w:color w:val="000000" w:themeColor="text1"/>
          <w:sz w:val="32"/>
          <w:szCs w:val="32"/>
          <w:highlight w:val="none"/>
          <w14:textFill>
            <w14:solidFill>
              <w14:schemeClr w14:val="tx1"/>
            </w14:solidFill>
          </w14:textFill>
        </w:rPr>
        <w:t>建设单位（盖章）：</w:t>
      </w:r>
      <w:r>
        <w:rPr>
          <w:rFonts w:hint="eastAsia" w:cs="宋体"/>
          <w:bCs/>
          <w:color w:val="000000" w:themeColor="text1"/>
          <w:sz w:val="32"/>
          <w:szCs w:val="32"/>
          <w:highlight w:val="none"/>
          <w:u w:val="single"/>
          <w:lang w:eastAsia="zh-CN"/>
          <w14:textFill>
            <w14:solidFill>
              <w14:schemeClr w14:val="tx1"/>
            </w14:solidFill>
          </w14:textFill>
        </w:rPr>
        <w:t>常州市金坛区二呆子牛肉有限公司</w:t>
      </w:r>
    </w:p>
    <w:p w14:paraId="7991A1C5">
      <w:pPr>
        <w:keepNext w:val="0"/>
        <w:keepLines w:val="0"/>
        <w:pageBreakBefore w:val="0"/>
        <w:widowControl w:val="0"/>
        <w:kinsoku/>
        <w:wordWrap/>
        <w:overflowPunct/>
        <w:topLinePunct w:val="0"/>
        <w:autoSpaceDE/>
        <w:autoSpaceDN/>
        <w:bidi w:val="0"/>
        <w:adjustRightInd w:val="0"/>
        <w:snapToGrid w:val="0"/>
        <w:spacing w:line="288" w:lineRule="auto"/>
        <w:ind w:firstLine="640" w:firstLineChars="200"/>
        <w:textAlignment w:val="auto"/>
        <w:rPr>
          <w:rFonts w:ascii="Times New Roman" w:hAnsi="Times New Roman" w:eastAsia="宋体" w:cs="宋体"/>
          <w:color w:val="000000" w:themeColor="text1"/>
          <w:sz w:val="32"/>
          <w:szCs w:val="32"/>
          <w:highlight w:val="none"/>
          <w:u w:val="single"/>
          <w14:textFill>
            <w14:solidFill>
              <w14:schemeClr w14:val="tx1"/>
            </w14:solidFill>
          </w14:textFill>
        </w:rPr>
      </w:pPr>
      <w:r>
        <w:rPr>
          <w:rFonts w:ascii="Times New Roman" w:hAnsi="Times New Roman" w:eastAsia="宋体" w:cs="宋体"/>
          <w:color w:val="000000" w:themeColor="text1"/>
          <w:sz w:val="32"/>
          <w:szCs w:val="32"/>
          <w:highlight w:val="none"/>
          <w14:textFill>
            <w14:solidFill>
              <w14:schemeClr w14:val="tx1"/>
            </w14:solidFill>
          </w14:textFill>
        </w:rPr>
        <w:t>编   制   日  期：</w:t>
      </w:r>
      <w:r>
        <w:rPr>
          <w:rFonts w:hint="eastAsia" w:cs="宋体"/>
          <w:color w:val="000000" w:themeColor="text1"/>
          <w:sz w:val="32"/>
          <w:szCs w:val="32"/>
          <w:highlight w:val="none"/>
          <w:u w:val="single"/>
          <w:lang w:val="en-US" w:eastAsia="zh-CN"/>
          <w14:textFill>
            <w14:solidFill>
              <w14:schemeClr w14:val="tx1"/>
            </w14:solidFill>
          </w14:textFill>
        </w:rPr>
        <w:t xml:space="preserve">     </w:t>
      </w:r>
      <w:r>
        <w:rPr>
          <w:rFonts w:ascii="Times New Roman" w:hAnsi="Times New Roman" w:eastAsia="宋体" w:cs="宋体"/>
          <w:color w:val="000000" w:themeColor="text1"/>
          <w:sz w:val="32"/>
          <w:szCs w:val="32"/>
          <w:highlight w:val="none"/>
          <w:u w:val="single"/>
          <w14:textFill>
            <w14:solidFill>
              <w14:schemeClr w14:val="tx1"/>
            </w14:solidFill>
          </w14:textFill>
        </w:rPr>
        <w:t xml:space="preserve"> </w:t>
      </w:r>
      <w:r>
        <w:rPr>
          <w:rFonts w:hint="eastAsia" w:cs="宋体"/>
          <w:color w:val="000000" w:themeColor="text1"/>
          <w:sz w:val="32"/>
          <w:szCs w:val="32"/>
          <w:highlight w:val="none"/>
          <w:u w:val="single"/>
          <w:lang w:val="en-US" w:eastAsia="zh-CN"/>
          <w14:textFill>
            <w14:solidFill>
              <w14:schemeClr w14:val="tx1"/>
            </w14:solidFill>
          </w14:textFill>
        </w:rPr>
        <w:t xml:space="preserve">   </w:t>
      </w:r>
      <w:r>
        <w:rPr>
          <w:rFonts w:ascii="Times New Roman" w:hAnsi="Times New Roman" w:eastAsia="宋体" w:cs="宋体"/>
          <w:color w:val="000000" w:themeColor="text1"/>
          <w:sz w:val="32"/>
          <w:szCs w:val="32"/>
          <w:highlight w:val="none"/>
          <w:u w:val="single"/>
          <w14:textFill>
            <w14:solidFill>
              <w14:schemeClr w14:val="tx1"/>
            </w14:solidFill>
          </w14:textFill>
        </w:rPr>
        <w:t xml:space="preserve"> 202</w:t>
      </w:r>
      <w:r>
        <w:rPr>
          <w:rFonts w:hint="eastAsia" w:ascii="Times New Roman" w:hAnsi="Times New Roman" w:eastAsia="宋体" w:cs="宋体"/>
          <w:color w:val="000000" w:themeColor="text1"/>
          <w:sz w:val="32"/>
          <w:szCs w:val="32"/>
          <w:highlight w:val="none"/>
          <w:u w:val="single"/>
          <w:lang w:val="en-US" w:eastAsia="zh-CN"/>
          <w14:textFill>
            <w14:solidFill>
              <w14:schemeClr w14:val="tx1"/>
            </w14:solidFill>
          </w14:textFill>
        </w:rPr>
        <w:t>5</w:t>
      </w:r>
      <w:r>
        <w:rPr>
          <w:rFonts w:ascii="Times New Roman" w:hAnsi="Times New Roman" w:eastAsia="宋体" w:cs="宋体"/>
          <w:color w:val="000000" w:themeColor="text1"/>
          <w:sz w:val="32"/>
          <w:szCs w:val="32"/>
          <w:highlight w:val="none"/>
          <w:u w:val="single"/>
          <w14:textFill>
            <w14:solidFill>
              <w14:schemeClr w14:val="tx1"/>
            </w14:solidFill>
          </w14:textFill>
        </w:rPr>
        <w:t>年</w:t>
      </w:r>
      <w:r>
        <w:rPr>
          <w:rFonts w:hint="eastAsia" w:cs="宋体"/>
          <w:color w:val="000000" w:themeColor="text1"/>
          <w:sz w:val="32"/>
          <w:szCs w:val="32"/>
          <w:highlight w:val="none"/>
          <w:u w:val="single"/>
          <w:lang w:val="en-US" w:eastAsia="zh-CN"/>
          <w14:textFill>
            <w14:solidFill>
              <w14:schemeClr w14:val="tx1"/>
            </w14:solidFill>
          </w14:textFill>
        </w:rPr>
        <w:t>10</w:t>
      </w:r>
      <w:r>
        <w:rPr>
          <w:rFonts w:ascii="Times New Roman" w:hAnsi="Times New Roman" w:eastAsia="宋体" w:cs="宋体"/>
          <w:color w:val="000000" w:themeColor="text1"/>
          <w:sz w:val="32"/>
          <w:szCs w:val="32"/>
          <w:highlight w:val="none"/>
          <w:u w:val="single"/>
          <w14:textFill>
            <w14:solidFill>
              <w14:schemeClr w14:val="tx1"/>
            </w14:solidFill>
          </w14:textFill>
        </w:rPr>
        <w:t xml:space="preserve">月  </w:t>
      </w:r>
      <w:r>
        <w:rPr>
          <w:rFonts w:hint="eastAsia" w:cs="宋体"/>
          <w:color w:val="000000" w:themeColor="text1"/>
          <w:sz w:val="32"/>
          <w:szCs w:val="32"/>
          <w:highlight w:val="none"/>
          <w:u w:val="single"/>
          <w:lang w:val="en-US" w:eastAsia="zh-CN"/>
          <w14:textFill>
            <w14:solidFill>
              <w14:schemeClr w14:val="tx1"/>
            </w14:solidFill>
          </w14:textFill>
        </w:rPr>
        <w:t xml:space="preserve">    </w:t>
      </w:r>
      <w:r>
        <w:rPr>
          <w:rFonts w:ascii="Times New Roman" w:hAnsi="Times New Roman" w:eastAsia="宋体" w:cs="宋体"/>
          <w:color w:val="000000" w:themeColor="text1"/>
          <w:sz w:val="32"/>
          <w:szCs w:val="32"/>
          <w:highlight w:val="none"/>
          <w:u w:val="single"/>
          <w14:textFill>
            <w14:solidFill>
              <w14:schemeClr w14:val="tx1"/>
            </w14:solidFill>
          </w14:textFill>
        </w:rPr>
        <w:t xml:space="preserve"> </w:t>
      </w:r>
      <w:r>
        <w:rPr>
          <w:rFonts w:hint="eastAsia" w:cs="宋体"/>
          <w:color w:val="000000" w:themeColor="text1"/>
          <w:sz w:val="32"/>
          <w:szCs w:val="32"/>
          <w:highlight w:val="none"/>
          <w:u w:val="single"/>
          <w:lang w:val="en-US" w:eastAsia="zh-CN"/>
          <w14:textFill>
            <w14:solidFill>
              <w14:schemeClr w14:val="tx1"/>
            </w14:solidFill>
          </w14:textFill>
        </w:rPr>
        <w:t xml:space="preserve">   </w:t>
      </w:r>
    </w:p>
    <w:p w14:paraId="2E695E52">
      <w:pPr>
        <w:adjustRightInd w:val="0"/>
        <w:snapToGrid w:val="0"/>
        <w:spacing w:line="288" w:lineRule="auto"/>
        <w:ind w:firstLine="1040"/>
        <w:rPr>
          <w:rFonts w:ascii="Times New Roman" w:hAnsi="Times New Roman" w:eastAsia="宋体" w:cs="宋体"/>
          <w:color w:val="000000" w:themeColor="text1"/>
          <w:sz w:val="36"/>
          <w:szCs w:val="36"/>
          <w:highlight w:val="none"/>
          <w:u w:val="single"/>
          <w14:textFill>
            <w14:solidFill>
              <w14:schemeClr w14:val="tx1"/>
            </w14:solidFill>
          </w14:textFill>
        </w:rPr>
      </w:pPr>
      <w:bookmarkStart w:id="1" w:name="_Hlk57884087"/>
    </w:p>
    <w:p w14:paraId="11C7BC3C">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42443549">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26D80AD5">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bookmarkEnd w:id="1"/>
    <w:p w14:paraId="4902EEFE">
      <w:pPr>
        <w:adjustRightInd w:val="0"/>
        <w:snapToGrid w:val="0"/>
        <w:spacing w:line="288" w:lineRule="auto"/>
        <w:jc w:val="center"/>
        <w:rPr>
          <w:rFonts w:ascii="Times New Roman" w:hAnsi="Times New Roman" w:eastAsia="宋体" w:cs="宋体"/>
          <w:color w:val="000000" w:themeColor="text1"/>
          <w:sz w:val="36"/>
          <w:szCs w:val="36"/>
          <w:highlight w:val="none"/>
          <w14:textFill>
            <w14:solidFill>
              <w14:schemeClr w14:val="tx1"/>
            </w14:solidFill>
          </w14:textFill>
        </w:rPr>
      </w:pPr>
      <w:r>
        <w:rPr>
          <w:rFonts w:hint="eastAsia" w:ascii="Times New Roman" w:hAnsi="Times New Roman" w:eastAsia="宋体" w:cs="宋体"/>
          <w:color w:val="000000" w:themeColor="text1"/>
          <w:sz w:val="36"/>
          <w:szCs w:val="36"/>
          <w:highlight w:val="none"/>
          <w14:textFill>
            <w14:solidFill>
              <w14:schemeClr w14:val="tx1"/>
            </w14:solidFill>
          </w14:textFill>
        </w:rPr>
        <w:t>中华人民共和国生态环境部制</w:t>
      </w:r>
    </w:p>
    <w:p w14:paraId="5D3DD486">
      <w:pPr>
        <w:adjustRightInd w:val="0"/>
        <w:snapToGrid w:val="0"/>
        <w:spacing w:line="288" w:lineRule="auto"/>
        <w:ind w:firstLine="1040"/>
        <w:rPr>
          <w:rFonts w:ascii="Times New Roman" w:hAnsi="Times New Roman" w:eastAsia="宋体" w:cs="宋体"/>
          <w:color w:val="000000" w:themeColor="text1"/>
          <w:sz w:val="36"/>
          <w:szCs w:val="36"/>
          <w:highlight w:val="none"/>
          <w14:textFill>
            <w14:solidFill>
              <w14:schemeClr w14:val="tx1"/>
            </w14:solidFill>
          </w14:textFill>
        </w:rPr>
      </w:pPr>
    </w:p>
    <w:p w14:paraId="3C214D4A">
      <w:pPr>
        <w:pStyle w:val="9"/>
        <w:rPr>
          <w:rFonts w:ascii="Times New Roman" w:hAnsi="Times New Roman" w:eastAsia="宋体" w:cs="宋体"/>
          <w:color w:val="000000" w:themeColor="text1"/>
          <w:highlight w:val="none"/>
          <w14:textFill>
            <w14:solidFill>
              <w14:schemeClr w14:val="tx1"/>
            </w14:solidFill>
          </w14:textFill>
        </w:rPr>
      </w:pPr>
    </w:p>
    <w:p w14:paraId="3EC04ED0">
      <w:pPr>
        <w:pStyle w:val="9"/>
        <w:rPr>
          <w:rFonts w:ascii="Times New Roman" w:hAnsi="Times New Roman" w:eastAsia="宋体" w:cs="宋体"/>
          <w:color w:val="000000" w:themeColor="text1"/>
          <w:sz w:val="36"/>
          <w:szCs w:val="36"/>
          <w:highlight w:val="none"/>
          <w14:textFill>
            <w14:solidFill>
              <w14:schemeClr w14:val="tx1"/>
            </w14:solidFill>
          </w14:textFill>
        </w:rPr>
      </w:pPr>
    </w:p>
    <w:p w14:paraId="6A078F2C">
      <w:pPr>
        <w:pStyle w:val="9"/>
        <w:rPr>
          <w:rFonts w:ascii="Times New Roman" w:hAnsi="Times New Roman" w:eastAsia="宋体" w:cs="宋体"/>
          <w:color w:val="000000" w:themeColor="text1"/>
          <w:sz w:val="36"/>
          <w:szCs w:val="36"/>
          <w:highlight w:val="none"/>
          <w14:textFill>
            <w14:solidFill>
              <w14:schemeClr w14:val="tx1"/>
            </w14:solidFill>
          </w14:textFill>
        </w:rPr>
      </w:pPr>
    </w:p>
    <w:p w14:paraId="67FBF989">
      <w:pPr>
        <w:pStyle w:val="9"/>
        <w:rPr>
          <w:rFonts w:ascii="Times New Roman" w:hAnsi="Times New Roman" w:eastAsia="宋体" w:cs="宋体"/>
          <w:color w:val="000000" w:themeColor="text1"/>
          <w:sz w:val="36"/>
          <w:szCs w:val="36"/>
          <w:highlight w:val="none"/>
          <w14:textFill>
            <w14:solidFill>
              <w14:schemeClr w14:val="tx1"/>
            </w14:solidFill>
          </w14:textFill>
        </w:rPr>
        <w:sectPr>
          <w:footerReference r:id="rId3" w:type="default"/>
          <w:footerReference r:id="rId4" w:type="even"/>
          <w:pgSz w:w="11906" w:h="16838"/>
          <w:pgMar w:top="1701" w:right="1531" w:bottom="1701" w:left="1531" w:header="851" w:footer="1077" w:gutter="0"/>
          <w:pgBorders>
            <w:top w:val="none" w:sz="0" w:space="0"/>
            <w:left w:val="none" w:sz="0" w:space="0"/>
            <w:bottom w:val="none" w:sz="0" w:space="0"/>
            <w:right w:val="none" w:sz="0" w:space="0"/>
          </w:pgBorders>
          <w:pgNumType w:start="3"/>
          <w:cols w:space="720" w:num="1"/>
          <w:docGrid w:linePitch="312" w:charSpace="0"/>
        </w:sectPr>
      </w:pPr>
    </w:p>
    <w:p w14:paraId="00D8761C">
      <w:pPr>
        <w:pStyle w:val="22"/>
        <w:jc w:val="center"/>
        <w:rPr>
          <w:rFonts w:ascii="Times New Roman" w:hAnsi="Times New Roman" w:eastAsia="宋体" w:cs="宋体"/>
          <w:snapToGrid w:val="0"/>
          <w:color w:val="000000" w:themeColor="text1"/>
          <w:sz w:val="36"/>
          <w:szCs w:val="36"/>
          <w:highlight w:val="none"/>
          <w14:textFill>
            <w14:solidFill>
              <w14:schemeClr w14:val="tx1"/>
            </w14:solidFill>
          </w14:textFill>
        </w:rPr>
      </w:pPr>
      <w:r>
        <w:rPr>
          <w:rFonts w:hint="eastAsia" w:ascii="Times New Roman" w:hAnsi="Times New Roman" w:eastAsia="宋体" w:cs="宋体"/>
          <w:snapToGrid w:val="0"/>
          <w:color w:val="000000" w:themeColor="text1"/>
          <w:sz w:val="36"/>
          <w:szCs w:val="36"/>
          <w:highlight w:val="none"/>
          <w14:textFill>
            <w14:solidFill>
              <w14:schemeClr w14:val="tx1"/>
            </w14:solidFill>
          </w14:textFill>
        </w:rPr>
        <w:t>目 录</w:t>
      </w:r>
    </w:p>
    <w:p w14:paraId="3B4142B4">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TOC \o "1-1" \h \u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_Toc16760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一、建设项目基本情况</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_Toc16760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4FA21C41">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_Toc12272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二、建设项目工程分析</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_Toc12272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26</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17492807">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_Toc25308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三、区域环境质量现状、环境保护目标及评价标准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_Toc25308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42</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49589B76">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_Toc13968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四、主要环境影响和保护措施</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_Toc13968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51</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4C729939">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_Toc32703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五、环境保护措施监督检查清单</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_Toc32703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80</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3B5AF321">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color w:val="000000" w:themeColor="text1"/>
          <w:sz w:val="28"/>
          <w:szCs w:val="28"/>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begin"/>
      </w:r>
      <w:r>
        <w:rPr>
          <w:rFonts w:ascii="Times New Roman" w:hAnsi="Times New Roman" w:eastAsia="宋体" w:cs="宋体"/>
          <w:snapToGrid w:val="0"/>
          <w:color w:val="000000" w:themeColor="text1"/>
          <w:sz w:val="28"/>
          <w:szCs w:val="28"/>
          <w:highlight w:val="none"/>
          <w14:textFill>
            <w14:solidFill>
              <w14:schemeClr w14:val="tx1"/>
            </w14:solidFill>
          </w14:textFill>
        </w:rPr>
        <w:instrText xml:space="preserve"> HYPERLINK \l _Toc31294 </w:instrText>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六、结论</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_Toc31294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82</w:t>
      </w:r>
      <w:r>
        <w:rPr>
          <w:color w:val="000000" w:themeColor="text1"/>
          <w:sz w:val="28"/>
          <w:szCs w:val="28"/>
          <w14:textFill>
            <w14:solidFill>
              <w14:schemeClr w14:val="tx1"/>
            </w14:solidFill>
          </w14:textFill>
        </w:rPr>
        <w:fldChar w:fldCharType="end"/>
      </w: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1164CA98">
      <w:pPr>
        <w:pStyle w:val="19"/>
        <w:keepNext w:val="0"/>
        <w:keepLines w:val="0"/>
        <w:pageBreakBefore w:val="0"/>
        <w:widowControl w:val="0"/>
        <w:tabs>
          <w:tab w:val="right" w:leader="dot" w:pos="8844"/>
        </w:tabs>
        <w:kinsoku/>
        <w:wordWrap/>
        <w:overflowPunct/>
        <w:topLinePunct w:val="0"/>
        <w:autoSpaceDE/>
        <w:autoSpaceDN/>
        <w:bidi w:val="0"/>
        <w:adjustRightInd/>
        <w:snapToGrid/>
        <w:spacing w:line="480" w:lineRule="auto"/>
        <w:textAlignment w:val="auto"/>
        <w:rPr>
          <w:rFonts w:ascii="Times New Roman" w:hAnsi="Times New Roman" w:eastAsia="宋体" w:cs="宋体"/>
          <w:snapToGrid w:val="0"/>
          <w:color w:val="000000" w:themeColor="text1"/>
          <w:sz w:val="30"/>
          <w:szCs w:val="30"/>
          <w:highlight w:val="none"/>
          <w14:textFill>
            <w14:solidFill>
              <w14:schemeClr w14:val="tx1"/>
            </w14:solidFill>
          </w14:textFill>
        </w:rPr>
      </w:pPr>
      <w:r>
        <w:rPr>
          <w:rFonts w:ascii="Times New Roman" w:hAnsi="Times New Roman" w:eastAsia="宋体" w:cs="宋体"/>
          <w:snapToGrid w:val="0"/>
          <w:color w:val="000000" w:themeColor="text1"/>
          <w:sz w:val="28"/>
          <w:szCs w:val="28"/>
          <w:highlight w:val="none"/>
          <w14:textFill>
            <w14:solidFill>
              <w14:schemeClr w14:val="tx1"/>
            </w14:solidFill>
          </w14:textFill>
        </w:rPr>
        <w:fldChar w:fldCharType="end"/>
      </w:r>
    </w:p>
    <w:p w14:paraId="207B39A8">
      <w:pPr>
        <w:pStyle w:val="9"/>
        <w:rPr>
          <w:rFonts w:ascii="Times New Roman" w:hAnsi="Times New Roman" w:eastAsia="宋体" w:cs="宋体"/>
          <w:snapToGrid w:val="0"/>
          <w:color w:val="000000" w:themeColor="text1"/>
          <w:sz w:val="30"/>
          <w:szCs w:val="30"/>
          <w:highlight w:val="none"/>
          <w14:textFill>
            <w14:solidFill>
              <w14:schemeClr w14:val="tx1"/>
            </w14:solidFill>
          </w14:textFill>
        </w:rPr>
        <w:sectPr>
          <w:footerReference r:id="rId5"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14:paraId="615FF4E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b/>
          <w:bCs/>
          <w:snapToGrid w:val="0"/>
          <w:color w:val="000000" w:themeColor="text1"/>
          <w:sz w:val="30"/>
          <w:szCs w:val="30"/>
          <w:highlight w:val="none"/>
          <w14:textFill>
            <w14:solidFill>
              <w14:schemeClr w14:val="tx1"/>
            </w14:solidFill>
          </w14:textFill>
        </w:rPr>
      </w:pPr>
      <w:r>
        <w:rPr>
          <w:rFonts w:hint="eastAsia" w:ascii="Times New Roman" w:hAnsi="Times New Roman" w:eastAsia="宋体" w:cs="宋体"/>
          <w:b/>
          <w:bCs/>
          <w:snapToGrid w:val="0"/>
          <w:color w:val="000000" w:themeColor="text1"/>
          <w:sz w:val="30"/>
          <w:szCs w:val="30"/>
          <w:highlight w:val="none"/>
          <w14:textFill>
            <w14:solidFill>
              <w14:schemeClr w14:val="tx1"/>
            </w14:solidFill>
          </w14:textFill>
        </w:rPr>
        <w:t>附图：</w:t>
      </w:r>
    </w:p>
    <w:p w14:paraId="547C06B5">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附图1 项目地理位置图</w:t>
      </w:r>
    </w:p>
    <w:p w14:paraId="391C2D3A">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附图2 项目周边环境状况图</w:t>
      </w:r>
    </w:p>
    <w:p w14:paraId="12DE3537">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附图3 厂区平面布置图</w:t>
      </w:r>
    </w:p>
    <w:p w14:paraId="3B755C56">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附图4 车间设备布置图</w:t>
      </w:r>
    </w:p>
    <w:p w14:paraId="301BB018">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附图5 生态红线规划图</w:t>
      </w:r>
    </w:p>
    <w:p w14:paraId="53A8D5C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6</w:t>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 土地利用规划图</w:t>
      </w:r>
    </w:p>
    <w:p w14:paraId="56810EDE">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附图</w:t>
      </w:r>
      <w:r>
        <w:rPr>
          <w:rFonts w:hint="eastAsia" w:ascii="Times New Roman" w:hAnsi="Times New Roman" w:cs="宋体"/>
          <w:snapToGrid w:val="0"/>
          <w:color w:val="000000" w:themeColor="text1"/>
          <w:sz w:val="28"/>
          <w:szCs w:val="28"/>
          <w:highlight w:val="none"/>
          <w:lang w:val="en-US" w:eastAsia="zh-CN"/>
          <w14:textFill>
            <w14:solidFill>
              <w14:schemeClr w14:val="tx1"/>
            </w14:solidFill>
          </w14:textFill>
        </w:rPr>
        <w:t>7</w:t>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 江苏省生态环境分区管控综合查询报告书</w:t>
      </w:r>
    </w:p>
    <w:p w14:paraId="1C2AD6A7">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b/>
          <w:bCs/>
          <w:snapToGrid w:val="0"/>
          <w:color w:val="000000" w:themeColor="text1"/>
          <w:sz w:val="30"/>
          <w:szCs w:val="30"/>
          <w:highlight w:val="none"/>
          <w14:textFill>
            <w14:solidFill>
              <w14:schemeClr w14:val="tx1"/>
            </w14:solidFill>
          </w14:textFill>
        </w:rPr>
      </w:pPr>
    </w:p>
    <w:p w14:paraId="435A19E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b/>
          <w:bCs/>
          <w:snapToGrid w:val="0"/>
          <w:color w:val="000000" w:themeColor="text1"/>
          <w:sz w:val="30"/>
          <w:szCs w:val="30"/>
          <w:highlight w:val="none"/>
          <w14:textFill>
            <w14:solidFill>
              <w14:schemeClr w14:val="tx1"/>
            </w14:solidFill>
          </w14:textFill>
        </w:rPr>
      </w:pPr>
      <w:r>
        <w:rPr>
          <w:rFonts w:hint="eastAsia" w:ascii="Times New Roman" w:hAnsi="Times New Roman" w:eastAsia="宋体" w:cs="宋体"/>
          <w:b/>
          <w:bCs/>
          <w:snapToGrid w:val="0"/>
          <w:color w:val="000000" w:themeColor="text1"/>
          <w:sz w:val="30"/>
          <w:szCs w:val="30"/>
          <w:highlight w:val="none"/>
          <w14:textFill>
            <w14:solidFill>
              <w14:schemeClr w14:val="tx1"/>
            </w14:solidFill>
          </w14:textFill>
        </w:rPr>
        <w:t>附件：</w:t>
      </w:r>
    </w:p>
    <w:p w14:paraId="196EC900">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lang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附件1 </w:t>
      </w:r>
      <w:r>
        <w:rPr>
          <w:rFonts w:hint="eastAsia" w:ascii="Times New Roman" w:hAnsi="Times New Roman" w:cs="宋体"/>
          <w:snapToGrid w:val="0"/>
          <w:color w:val="000000" w:themeColor="text1"/>
          <w:sz w:val="28"/>
          <w:szCs w:val="28"/>
          <w:highlight w:val="none"/>
          <w:lang w:val="en-US" w:eastAsia="zh-CN"/>
          <w14:textFill>
            <w14:solidFill>
              <w14:schemeClr w14:val="tx1"/>
            </w14:solidFill>
          </w14:textFill>
        </w:rPr>
        <w:t>规划环评</w:t>
      </w:r>
    </w:p>
    <w:p w14:paraId="3D3DEA6A">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宋体" w:cs="宋体"/>
          <w:snapToGrid w:val="0"/>
          <w:color w:val="000000" w:themeColor="text1"/>
          <w:sz w:val="28"/>
          <w:szCs w:val="28"/>
          <w:highlight w:val="none"/>
          <w:lang w:val="en-US"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附件2 备案证</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及申报表</w:t>
      </w:r>
    </w:p>
    <w:p w14:paraId="0093EBF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附件3 营业执照及法人身份证</w:t>
      </w:r>
    </w:p>
    <w:p w14:paraId="56FC3584">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lang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附件4 </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租赁协议</w:t>
      </w:r>
    </w:p>
    <w:p w14:paraId="6E987976">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lang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附件5 </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土地手续</w:t>
      </w:r>
    </w:p>
    <w:p w14:paraId="5A590A95">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附件6 </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接管手续</w:t>
      </w:r>
    </w:p>
    <w:p w14:paraId="59F0FF83">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附件7 检测报告</w:t>
      </w:r>
    </w:p>
    <w:p w14:paraId="3B69758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宋体" w:cs="宋体"/>
          <w:snapToGrid w:val="0"/>
          <w:color w:val="000000" w:themeColor="text1"/>
          <w:sz w:val="28"/>
          <w:szCs w:val="28"/>
          <w:highlight w:val="none"/>
          <w:lang w:val="en-US"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w:t>
      </w:r>
      <w:r>
        <w:rPr>
          <w:rFonts w:hint="eastAsia" w:ascii="Times New Roman" w:hAnsi="Times New Roman" w:cs="宋体"/>
          <w:snapToGrid w:val="0"/>
          <w:color w:val="000000" w:themeColor="text1"/>
          <w:sz w:val="28"/>
          <w:szCs w:val="28"/>
          <w:highlight w:val="none"/>
          <w:lang w:val="en-US" w:eastAsia="zh-CN"/>
          <w14:textFill>
            <w14:solidFill>
              <w14:schemeClr w14:val="tx1"/>
            </w14:solidFill>
          </w14:textFill>
        </w:rPr>
        <w:t>8</w:t>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 </w:t>
      </w:r>
    </w:p>
    <w:p w14:paraId="3DF52257">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eastAsia" w:ascii="Times New Roman" w:hAnsi="Times New Roman" w:eastAsia="宋体" w:cs="宋体"/>
          <w:snapToGrid w:val="0"/>
          <w:color w:val="000000" w:themeColor="text1"/>
          <w:sz w:val="28"/>
          <w:szCs w:val="28"/>
          <w:highlight w:val="none"/>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w:t>
      </w:r>
      <w:r>
        <w:rPr>
          <w:rFonts w:hint="eastAsia" w:ascii="Times New Roman" w:hAnsi="Times New Roman" w:cs="宋体"/>
          <w:snapToGrid w:val="0"/>
          <w:color w:val="000000" w:themeColor="text1"/>
          <w:sz w:val="28"/>
          <w:szCs w:val="28"/>
          <w:highlight w:val="none"/>
          <w:lang w:val="en-US" w:eastAsia="zh-CN"/>
          <w14:textFill>
            <w14:solidFill>
              <w14:schemeClr w14:val="tx1"/>
            </w14:solidFill>
          </w14:textFill>
        </w:rPr>
        <w:t>9</w:t>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 公示证明</w:t>
      </w:r>
    </w:p>
    <w:p w14:paraId="02F6315B">
      <w:pPr>
        <w:pStyle w:val="22"/>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宋体" w:cs="宋体"/>
          <w:snapToGrid w:val="0"/>
          <w:color w:val="000000" w:themeColor="text1"/>
          <w:sz w:val="28"/>
          <w:szCs w:val="28"/>
          <w:highlight w:val="none"/>
          <w:lang w:val="en-US" w:eastAsia="zh-CN"/>
          <w14:textFill>
            <w14:solidFill>
              <w14:schemeClr w14:val="tx1"/>
            </w14:solidFill>
          </w14:textFill>
        </w:rPr>
      </w:pPr>
      <w:r>
        <w:rPr>
          <w:rFonts w:hint="eastAsia" w:ascii="Times New Roman" w:hAnsi="Times New Roman" w:eastAsia="宋体" w:cs="宋体"/>
          <w:snapToGrid w:val="0"/>
          <w:color w:val="000000" w:themeColor="text1"/>
          <w:sz w:val="28"/>
          <w:szCs w:val="28"/>
          <w:highlight w:val="none"/>
          <w14:textFill>
            <w14:solidFill>
              <w14:schemeClr w14:val="tx1"/>
            </w14:solidFill>
          </w14:textFill>
        </w:rPr>
        <w:t>附件</w:t>
      </w:r>
      <w:r>
        <w:rPr>
          <w:rFonts w:hint="eastAsia" w:ascii="Times New Roman" w:hAnsi="Times New Roman" w:eastAsia="宋体" w:cs="宋体"/>
          <w:snapToGrid w:val="0"/>
          <w:color w:val="000000" w:themeColor="text1"/>
          <w:sz w:val="28"/>
          <w:szCs w:val="28"/>
          <w:highlight w:val="none"/>
          <w:lang w:val="en-US" w:eastAsia="zh-CN"/>
          <w14:textFill>
            <w14:solidFill>
              <w14:schemeClr w14:val="tx1"/>
            </w14:solidFill>
          </w14:textFill>
        </w:rPr>
        <w:t>1</w:t>
      </w:r>
      <w:r>
        <w:rPr>
          <w:rFonts w:hint="eastAsia" w:ascii="Times New Roman" w:hAnsi="Times New Roman" w:cs="宋体"/>
          <w:snapToGrid w:val="0"/>
          <w:color w:val="000000" w:themeColor="text1"/>
          <w:sz w:val="28"/>
          <w:szCs w:val="28"/>
          <w:highlight w:val="none"/>
          <w:lang w:val="en-US" w:eastAsia="zh-CN"/>
          <w14:textFill>
            <w14:solidFill>
              <w14:schemeClr w14:val="tx1"/>
            </w14:solidFill>
          </w14:textFill>
        </w:rPr>
        <w:t>0</w:t>
      </w:r>
      <w:r>
        <w:rPr>
          <w:rFonts w:hint="eastAsia" w:ascii="Times New Roman" w:hAnsi="Times New Roman" w:eastAsia="宋体" w:cs="宋体"/>
          <w:snapToGrid w:val="0"/>
          <w:color w:val="000000" w:themeColor="text1"/>
          <w:sz w:val="28"/>
          <w:szCs w:val="28"/>
          <w:highlight w:val="none"/>
          <w14:textFill>
            <w14:solidFill>
              <w14:schemeClr w14:val="tx1"/>
            </w14:solidFill>
          </w14:textFill>
        </w:rPr>
        <w:t xml:space="preserve"> 环评工程师现场工作影像资料</w:t>
      </w:r>
    </w:p>
    <w:p w14:paraId="1AABC5CF">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sectPr>
          <w:footerReference r:id="rId6"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14:paraId="516D7BDA">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pPr>
      <w:bookmarkStart w:id="2" w:name="_Toc16760"/>
      <w:r>
        <w:rPr>
          <w:rFonts w:hint="eastAsia" w:ascii="Times New Roman" w:hAnsi="Times New Roman" w:eastAsia="宋体" w:cs="宋体"/>
          <w:snapToGrid w:val="0"/>
          <w:color w:val="000000" w:themeColor="text1"/>
          <w:sz w:val="30"/>
          <w:szCs w:val="30"/>
          <w:highlight w:val="none"/>
          <w14:textFill>
            <w14:solidFill>
              <w14:schemeClr w14:val="tx1"/>
            </w14:solidFill>
          </w14:textFill>
        </w:rPr>
        <w:t>一、建设项目基本情况</w:t>
      </w:r>
      <w:bookmarkEnd w:id="2"/>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04"/>
        <w:gridCol w:w="2388"/>
        <w:gridCol w:w="27"/>
        <w:gridCol w:w="2098"/>
        <w:gridCol w:w="2753"/>
      </w:tblGrid>
      <w:tr w14:paraId="7260B8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791B950D">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建设项目名称</w:t>
            </w:r>
          </w:p>
        </w:tc>
        <w:tc>
          <w:tcPr>
            <w:tcW w:w="7266" w:type="dxa"/>
            <w:gridSpan w:val="4"/>
            <w:vAlign w:val="center"/>
          </w:tcPr>
          <w:p w14:paraId="284AB8E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扩建年产牛肉卤制品1400吨和牛肉副产品1900吨</w:t>
            </w:r>
            <w:r>
              <w:rPr>
                <w:rFonts w:hint="eastAsia" w:ascii="Times New Roman" w:hAnsi="Times New Roman" w:eastAsia="宋体" w:cs="宋体"/>
                <w:color w:val="000000" w:themeColor="text1"/>
                <w:sz w:val="21"/>
                <w:szCs w:val="21"/>
                <w:highlight w:val="none"/>
                <w14:textFill>
                  <w14:solidFill>
                    <w14:schemeClr w14:val="tx1"/>
                  </w14:solidFill>
                </w14:textFill>
              </w:rPr>
              <w:t>项目</w:t>
            </w:r>
          </w:p>
        </w:tc>
      </w:tr>
      <w:tr w14:paraId="74615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655BBB80">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项目代码</w:t>
            </w:r>
          </w:p>
        </w:tc>
        <w:tc>
          <w:tcPr>
            <w:tcW w:w="7266" w:type="dxa"/>
            <w:gridSpan w:val="4"/>
            <w:vAlign w:val="center"/>
          </w:tcPr>
          <w:p w14:paraId="2C93B079">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2509-320413-04-01-786340</w:t>
            </w:r>
          </w:p>
        </w:tc>
      </w:tr>
      <w:tr w14:paraId="72320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522D9A45">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建设单位联系人</w:t>
            </w:r>
          </w:p>
        </w:tc>
        <w:tc>
          <w:tcPr>
            <w:tcW w:w="2415" w:type="dxa"/>
            <w:gridSpan w:val="2"/>
            <w:vAlign w:val="center"/>
          </w:tcPr>
          <w:p w14:paraId="621FDA16">
            <w:pPr>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沈桂芳</w:t>
            </w:r>
          </w:p>
        </w:tc>
        <w:tc>
          <w:tcPr>
            <w:tcW w:w="2098" w:type="dxa"/>
            <w:vAlign w:val="center"/>
          </w:tcPr>
          <w:p w14:paraId="6EE07289">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联系方式</w:t>
            </w:r>
          </w:p>
        </w:tc>
        <w:tc>
          <w:tcPr>
            <w:tcW w:w="2753" w:type="dxa"/>
            <w:vAlign w:val="center"/>
          </w:tcPr>
          <w:p w14:paraId="452D71C1">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13328174888</w:t>
            </w:r>
          </w:p>
        </w:tc>
      </w:tr>
      <w:tr w14:paraId="65FEDD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75F1249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建设地点</w:t>
            </w:r>
          </w:p>
        </w:tc>
        <w:tc>
          <w:tcPr>
            <w:tcW w:w="7266" w:type="dxa"/>
            <w:gridSpan w:val="4"/>
            <w:vAlign w:val="center"/>
          </w:tcPr>
          <w:p w14:paraId="0BB46075">
            <w:pPr>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江苏省常州市金坛区指前镇社头集镇社兴东路</w:t>
            </w:r>
          </w:p>
        </w:tc>
      </w:tr>
      <w:tr w14:paraId="436A6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2D10612D">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地理坐标</w:t>
            </w:r>
          </w:p>
        </w:tc>
        <w:tc>
          <w:tcPr>
            <w:tcW w:w="7266" w:type="dxa"/>
            <w:gridSpan w:val="4"/>
            <w:vAlign w:val="center"/>
          </w:tcPr>
          <w:p w14:paraId="1E3FCA52">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东经</w:t>
            </w:r>
            <w:r>
              <w:rPr>
                <w:rFonts w:hint="eastAsia" w:ascii="Times New Roman" w:hAnsi="Times New Roman" w:eastAsia="宋体" w:cs="宋体"/>
                <w:color w:val="000000" w:themeColor="text1"/>
                <w:sz w:val="21"/>
                <w:szCs w:val="21"/>
                <w:highlight w:val="none"/>
                <w:u w:val="single"/>
                <w:lang w:val="en-US" w:eastAsia="zh-CN"/>
                <w14:textFill>
                  <w14:solidFill>
                    <w14:schemeClr w14:val="tx1"/>
                  </w14:solidFill>
                </w14:textFill>
              </w:rPr>
              <w:t>119</w:t>
            </w:r>
            <w:r>
              <w:rPr>
                <w:rFonts w:ascii="Times New Roman" w:hAnsi="Times New Roman" w:eastAsia="宋体" w:cs="宋体"/>
                <w:color w:val="000000" w:themeColor="text1"/>
                <w:sz w:val="21"/>
                <w:szCs w:val="21"/>
                <w:highlight w:val="none"/>
                <w14:textFill>
                  <w14:solidFill>
                    <w14:schemeClr w14:val="tx1"/>
                  </w14:solidFill>
                </w14:textFill>
              </w:rPr>
              <w:t>度</w:t>
            </w:r>
            <w:r>
              <w:rPr>
                <w:rFonts w:hint="eastAsia" w:ascii="Times New Roman" w:hAnsi="Times New Roman" w:eastAsia="宋体" w:cs="宋体"/>
                <w:color w:val="000000" w:themeColor="text1"/>
                <w:sz w:val="21"/>
                <w:szCs w:val="21"/>
                <w:highlight w:val="none"/>
                <w:u w:val="single"/>
                <w:lang w:val="en-US" w:eastAsia="zh-CN"/>
                <w14:textFill>
                  <w14:solidFill>
                    <w14:schemeClr w14:val="tx1"/>
                  </w14:solidFill>
                </w14:textFill>
              </w:rPr>
              <w:t>28</w:t>
            </w:r>
            <w:r>
              <w:rPr>
                <w:rFonts w:ascii="Times New Roman" w:hAnsi="Times New Roman" w:eastAsia="宋体" w:cs="宋体"/>
                <w:color w:val="000000" w:themeColor="text1"/>
                <w:sz w:val="21"/>
                <w:szCs w:val="21"/>
                <w:highlight w:val="none"/>
                <w14:textFill>
                  <w14:solidFill>
                    <w14:schemeClr w14:val="tx1"/>
                  </w14:solidFill>
                </w14:textFill>
              </w:rPr>
              <w:t>分</w:t>
            </w:r>
            <w:r>
              <w:rPr>
                <w:rFonts w:hint="eastAsia" w:ascii="Times New Roman" w:hAnsi="Times New Roman" w:eastAsia="宋体" w:cs="宋体"/>
                <w:color w:val="000000" w:themeColor="text1"/>
                <w:sz w:val="21"/>
                <w:szCs w:val="21"/>
                <w:highlight w:val="none"/>
                <w:u w:val="single"/>
                <w:lang w:val="en-US" w:eastAsia="zh-CN"/>
                <w14:textFill>
                  <w14:solidFill>
                    <w14:schemeClr w14:val="tx1"/>
                  </w14:solidFill>
                </w14:textFill>
              </w:rPr>
              <w:t>25.117</w:t>
            </w:r>
            <w:r>
              <w:rPr>
                <w:rFonts w:ascii="Times New Roman" w:hAnsi="Times New Roman" w:eastAsia="宋体" w:cs="宋体"/>
                <w:color w:val="000000" w:themeColor="text1"/>
                <w:sz w:val="21"/>
                <w:szCs w:val="21"/>
                <w:highlight w:val="none"/>
                <w14:textFill>
                  <w14:solidFill>
                    <w14:schemeClr w14:val="tx1"/>
                  </w14:solidFill>
                </w14:textFill>
              </w:rPr>
              <w:t>秒，</w:t>
            </w:r>
            <w:r>
              <w:rPr>
                <w:rFonts w:hint="eastAsia" w:ascii="Times New Roman" w:hAnsi="Times New Roman" w:eastAsia="宋体" w:cs="宋体"/>
                <w:color w:val="000000" w:themeColor="text1"/>
                <w:sz w:val="21"/>
                <w:szCs w:val="21"/>
                <w:highlight w:val="none"/>
                <w14:textFill>
                  <w14:solidFill>
                    <w14:schemeClr w14:val="tx1"/>
                  </w14:solidFill>
                </w14:textFill>
              </w:rPr>
              <w:t>北纬</w:t>
            </w:r>
            <w:r>
              <w:rPr>
                <w:rFonts w:hint="eastAsia" w:ascii="Times New Roman" w:hAnsi="Times New Roman" w:eastAsia="宋体" w:cs="宋体"/>
                <w:color w:val="000000" w:themeColor="text1"/>
                <w:sz w:val="21"/>
                <w:szCs w:val="21"/>
                <w:highlight w:val="none"/>
                <w:u w:val="single"/>
                <w14:textFill>
                  <w14:solidFill>
                    <w14:schemeClr w14:val="tx1"/>
                  </w14:solidFill>
                </w14:textFill>
              </w:rPr>
              <w:t>31</w:t>
            </w:r>
            <w:r>
              <w:rPr>
                <w:rFonts w:ascii="Times New Roman" w:hAnsi="Times New Roman" w:eastAsia="宋体" w:cs="宋体"/>
                <w:color w:val="000000" w:themeColor="text1"/>
                <w:sz w:val="21"/>
                <w:szCs w:val="21"/>
                <w:highlight w:val="none"/>
                <w14:textFill>
                  <w14:solidFill>
                    <w14:schemeClr w14:val="tx1"/>
                  </w14:solidFill>
                </w14:textFill>
              </w:rPr>
              <w:t>度</w:t>
            </w:r>
            <w:r>
              <w:rPr>
                <w:rFonts w:hint="eastAsia" w:ascii="Times New Roman" w:hAnsi="Times New Roman" w:eastAsia="宋体" w:cs="宋体"/>
                <w:color w:val="000000" w:themeColor="text1"/>
                <w:sz w:val="21"/>
                <w:szCs w:val="21"/>
                <w:highlight w:val="none"/>
                <w:u w:val="single"/>
                <w:lang w:val="en-US" w:eastAsia="zh-CN"/>
                <w14:textFill>
                  <w14:solidFill>
                    <w14:schemeClr w14:val="tx1"/>
                  </w14:solidFill>
                </w14:textFill>
              </w:rPr>
              <w:t>38</w:t>
            </w:r>
            <w:r>
              <w:rPr>
                <w:rFonts w:ascii="Times New Roman" w:hAnsi="Times New Roman" w:eastAsia="宋体" w:cs="宋体"/>
                <w:color w:val="000000" w:themeColor="text1"/>
                <w:sz w:val="21"/>
                <w:szCs w:val="21"/>
                <w:highlight w:val="none"/>
                <w14:textFill>
                  <w14:solidFill>
                    <w14:schemeClr w14:val="tx1"/>
                  </w14:solidFill>
                </w14:textFill>
              </w:rPr>
              <w:t>分</w:t>
            </w:r>
            <w:r>
              <w:rPr>
                <w:rFonts w:hint="eastAsia" w:ascii="Times New Roman" w:hAnsi="Times New Roman" w:eastAsia="宋体" w:cs="宋体"/>
                <w:color w:val="000000" w:themeColor="text1"/>
                <w:sz w:val="21"/>
                <w:szCs w:val="21"/>
                <w:highlight w:val="none"/>
                <w:u w:val="single"/>
                <w:lang w:val="en-US" w:eastAsia="zh-CN"/>
                <w14:textFill>
                  <w14:solidFill>
                    <w14:schemeClr w14:val="tx1"/>
                  </w14:solidFill>
                </w14:textFill>
              </w:rPr>
              <w:t>47.941</w:t>
            </w:r>
            <w:r>
              <w:rPr>
                <w:rFonts w:ascii="Times New Roman" w:hAnsi="Times New Roman" w:eastAsia="宋体" w:cs="宋体"/>
                <w:color w:val="000000" w:themeColor="text1"/>
                <w:sz w:val="21"/>
                <w:szCs w:val="21"/>
                <w:highlight w:val="none"/>
                <w14:textFill>
                  <w14:solidFill>
                    <w14:schemeClr w14:val="tx1"/>
                  </w14:solidFill>
                </w14:textFill>
              </w:rPr>
              <w:t>秒）</w:t>
            </w:r>
          </w:p>
        </w:tc>
      </w:tr>
      <w:tr w14:paraId="603ACC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01CD28A6">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国民经济行业类别</w:t>
            </w:r>
          </w:p>
        </w:tc>
        <w:tc>
          <w:tcPr>
            <w:tcW w:w="2415" w:type="dxa"/>
            <w:gridSpan w:val="2"/>
            <w:vAlign w:val="center"/>
          </w:tcPr>
          <w:p w14:paraId="51C075E2">
            <w:pPr>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C1351牲畜屠宰、C1353肉制品及副产品加工</w:t>
            </w:r>
          </w:p>
        </w:tc>
        <w:tc>
          <w:tcPr>
            <w:tcW w:w="2098" w:type="dxa"/>
            <w:vAlign w:val="center"/>
          </w:tcPr>
          <w:p w14:paraId="77E522C0">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建设项目行业类别</w:t>
            </w:r>
          </w:p>
        </w:tc>
        <w:tc>
          <w:tcPr>
            <w:tcW w:w="2753" w:type="dxa"/>
            <w:vAlign w:val="center"/>
          </w:tcPr>
          <w:p w14:paraId="582C27E1">
            <w:pP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十、农副食品加工业13、18屠宰及肉类加工135中的“其他屠宰；年加工2万吨及以上的肉类加工”</w:t>
            </w:r>
          </w:p>
        </w:tc>
      </w:tr>
      <w:tr w14:paraId="5CDD49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0C0597DD">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建设性质</w:t>
            </w:r>
          </w:p>
        </w:tc>
        <w:tc>
          <w:tcPr>
            <w:tcW w:w="2415" w:type="dxa"/>
            <w:gridSpan w:val="2"/>
            <w:vAlign w:val="center"/>
          </w:tcPr>
          <w:p w14:paraId="1C8C68CB">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新建（迁建）</w:t>
            </w:r>
          </w:p>
          <w:p w14:paraId="2BD7D668">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改建</w:t>
            </w:r>
          </w:p>
          <w:p w14:paraId="1767CD64">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扩建</w:t>
            </w:r>
          </w:p>
          <w:p w14:paraId="37EE4CF0">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□技术改造</w:t>
            </w:r>
          </w:p>
        </w:tc>
        <w:tc>
          <w:tcPr>
            <w:tcW w:w="2098" w:type="dxa"/>
            <w:vAlign w:val="center"/>
          </w:tcPr>
          <w:p w14:paraId="767A4C11">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建设项目申报情形</w:t>
            </w:r>
          </w:p>
        </w:tc>
        <w:tc>
          <w:tcPr>
            <w:tcW w:w="2753" w:type="dxa"/>
            <w:vAlign w:val="center"/>
          </w:tcPr>
          <w:p w14:paraId="71DC80E8">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☑首次申报项目</w:t>
            </w:r>
          </w:p>
          <w:p w14:paraId="79AD65D4">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□不予批准后再次申报项目</w:t>
            </w:r>
          </w:p>
          <w:p w14:paraId="4FC19835">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□超五年重新审核项目</w:t>
            </w:r>
          </w:p>
          <w:p w14:paraId="4E5CF927">
            <w:pPr>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□重大变动重新报批项目</w:t>
            </w:r>
          </w:p>
        </w:tc>
      </w:tr>
      <w:tr w14:paraId="249DB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1604" w:type="dxa"/>
            <w:tcMar>
              <w:top w:w="16" w:type="dxa"/>
              <w:left w:w="16" w:type="dxa"/>
              <w:right w:w="16" w:type="dxa"/>
            </w:tcMar>
            <w:vAlign w:val="center"/>
          </w:tcPr>
          <w:p w14:paraId="12D54293">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项目审批</w:t>
            </w:r>
          </w:p>
          <w:p w14:paraId="53FBD887">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（核准</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备案）部门</w:t>
            </w:r>
          </w:p>
        </w:tc>
        <w:tc>
          <w:tcPr>
            <w:tcW w:w="2415" w:type="dxa"/>
            <w:gridSpan w:val="2"/>
            <w:vAlign w:val="center"/>
          </w:tcPr>
          <w:p w14:paraId="57A60CDF">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常州市金坛区发展和改革局</w:t>
            </w:r>
          </w:p>
        </w:tc>
        <w:tc>
          <w:tcPr>
            <w:tcW w:w="2098" w:type="dxa"/>
            <w:vAlign w:val="center"/>
          </w:tcPr>
          <w:p w14:paraId="00C7DCC9">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项目审批</w:t>
            </w:r>
          </w:p>
          <w:p w14:paraId="70E0F266">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（核准</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备案）文号</w:t>
            </w:r>
          </w:p>
        </w:tc>
        <w:tc>
          <w:tcPr>
            <w:tcW w:w="2753" w:type="dxa"/>
            <w:vAlign w:val="center"/>
          </w:tcPr>
          <w:p w14:paraId="6C07F00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坛发改备</w:t>
            </w:r>
            <w:r>
              <w:rPr>
                <w:rFonts w:hint="eastAsia" w:ascii="Times New Roman" w:hAnsi="Times New Roman" w:eastAsia="宋体" w:cs="宋体"/>
                <w:color w:val="000000" w:themeColor="text1"/>
                <w:sz w:val="21"/>
                <w:szCs w:val="21"/>
                <w:highlight w:val="none"/>
                <w14:textFill>
                  <w14:solidFill>
                    <w14:schemeClr w14:val="tx1"/>
                  </w14:solidFill>
                </w14:textFill>
              </w:rPr>
              <w:t>〔202</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5</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1494</w:t>
            </w:r>
            <w:r>
              <w:rPr>
                <w:rFonts w:hint="eastAsia" w:ascii="Times New Roman" w:hAnsi="Times New Roman" w:eastAsia="宋体" w:cs="宋体"/>
                <w:color w:val="000000" w:themeColor="text1"/>
                <w:sz w:val="21"/>
                <w:szCs w:val="21"/>
                <w:highlight w:val="none"/>
                <w14:textFill>
                  <w14:solidFill>
                    <w14:schemeClr w14:val="tx1"/>
                  </w14:solidFill>
                </w14:textFill>
              </w:rPr>
              <w:t>号</w:t>
            </w:r>
          </w:p>
        </w:tc>
      </w:tr>
      <w:tr w14:paraId="39BBD4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35295BF9">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总投资（万元）</w:t>
            </w:r>
          </w:p>
        </w:tc>
        <w:tc>
          <w:tcPr>
            <w:tcW w:w="2415" w:type="dxa"/>
            <w:gridSpan w:val="2"/>
            <w:vAlign w:val="center"/>
          </w:tcPr>
          <w:p w14:paraId="7D55163C">
            <w:pPr>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500.00</w:t>
            </w:r>
          </w:p>
        </w:tc>
        <w:tc>
          <w:tcPr>
            <w:tcW w:w="2098" w:type="dxa"/>
            <w:tcMar>
              <w:top w:w="16" w:type="dxa"/>
              <w:left w:w="16" w:type="dxa"/>
              <w:right w:w="16" w:type="dxa"/>
            </w:tcMar>
            <w:vAlign w:val="center"/>
          </w:tcPr>
          <w:p w14:paraId="21C80A6A">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环保投资（万元）</w:t>
            </w:r>
          </w:p>
        </w:tc>
        <w:tc>
          <w:tcPr>
            <w:tcW w:w="2753" w:type="dxa"/>
            <w:vAlign w:val="center"/>
          </w:tcPr>
          <w:p w14:paraId="275DB829">
            <w:pPr>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20</w:t>
            </w:r>
          </w:p>
        </w:tc>
      </w:tr>
      <w:tr w14:paraId="2082E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4F5B736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环保投资占比（</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w:t>
            </w:r>
          </w:p>
        </w:tc>
        <w:tc>
          <w:tcPr>
            <w:tcW w:w="2415" w:type="dxa"/>
            <w:gridSpan w:val="2"/>
            <w:vAlign w:val="center"/>
          </w:tcPr>
          <w:p w14:paraId="7AC1AE0D">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4</w:t>
            </w:r>
          </w:p>
        </w:tc>
        <w:tc>
          <w:tcPr>
            <w:tcW w:w="2098" w:type="dxa"/>
            <w:tcMar>
              <w:top w:w="16" w:type="dxa"/>
              <w:left w:w="16" w:type="dxa"/>
              <w:right w:w="16" w:type="dxa"/>
            </w:tcMar>
            <w:vAlign w:val="center"/>
          </w:tcPr>
          <w:p w14:paraId="10F6E3C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施工工期</w:t>
            </w:r>
          </w:p>
        </w:tc>
        <w:tc>
          <w:tcPr>
            <w:tcW w:w="2753" w:type="dxa"/>
            <w:vAlign w:val="center"/>
          </w:tcPr>
          <w:p w14:paraId="5383EFEA">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月</w:t>
            </w:r>
          </w:p>
        </w:tc>
      </w:tr>
      <w:tr w14:paraId="4E0C60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04" w:type="dxa"/>
            <w:tcMar>
              <w:top w:w="16" w:type="dxa"/>
              <w:left w:w="16" w:type="dxa"/>
              <w:right w:w="16" w:type="dxa"/>
            </w:tcMar>
            <w:vAlign w:val="center"/>
          </w:tcPr>
          <w:p w14:paraId="1565E0B7">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是否开工建设</w:t>
            </w:r>
          </w:p>
        </w:tc>
        <w:tc>
          <w:tcPr>
            <w:tcW w:w="2415" w:type="dxa"/>
            <w:gridSpan w:val="2"/>
            <w:vAlign w:val="center"/>
          </w:tcPr>
          <w:p w14:paraId="2CB892D6">
            <w:pP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☑否</w:t>
            </w:r>
          </w:p>
          <w:p w14:paraId="1FF73D83">
            <w:pP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□是：</w:t>
            </w:r>
          </w:p>
        </w:tc>
        <w:tc>
          <w:tcPr>
            <w:tcW w:w="2098" w:type="dxa"/>
            <w:tcMar>
              <w:top w:w="16" w:type="dxa"/>
              <w:left w:w="16" w:type="dxa"/>
              <w:right w:w="16" w:type="dxa"/>
            </w:tcMar>
            <w:vAlign w:val="center"/>
          </w:tcPr>
          <w:p w14:paraId="0E5361E1">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pacing w:val="-6"/>
                <w:sz w:val="21"/>
                <w:szCs w:val="21"/>
                <w:highlight w:val="none"/>
                <w14:textFill>
                  <w14:solidFill>
                    <w14:schemeClr w14:val="tx1"/>
                  </w14:solidFill>
                </w14:textFill>
              </w:rPr>
              <w:t>用地（用海）面积（</w:t>
            </w:r>
            <w:r>
              <w:rPr>
                <w:rFonts w:ascii="Times New Roman" w:hAnsi="Times New Roman" w:eastAsia="宋体" w:cs="宋体"/>
                <w:color w:val="000000" w:themeColor="text1"/>
                <w:spacing w:val="-6"/>
                <w:sz w:val="21"/>
                <w:szCs w:val="21"/>
                <w:highlight w:val="none"/>
                <w14:textFill>
                  <w14:solidFill>
                    <w14:schemeClr w14:val="tx1"/>
                  </w14:solidFill>
                </w14:textFill>
              </w:rPr>
              <w:t>m</w:t>
            </w:r>
            <w:r>
              <w:rPr>
                <w:rFonts w:ascii="Times New Roman" w:hAnsi="Times New Roman" w:eastAsia="宋体" w:cs="宋体"/>
                <w:color w:val="000000" w:themeColor="text1"/>
                <w:spacing w:val="-6"/>
                <w:sz w:val="21"/>
                <w:szCs w:val="21"/>
                <w:highlight w:val="none"/>
                <w:vertAlign w:val="superscript"/>
                <w14:textFill>
                  <w14:solidFill>
                    <w14:schemeClr w14:val="tx1"/>
                  </w14:solidFill>
                </w14:textFill>
              </w:rPr>
              <w:t>2</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w:t>
            </w:r>
          </w:p>
        </w:tc>
        <w:tc>
          <w:tcPr>
            <w:tcW w:w="2753" w:type="dxa"/>
            <w:vAlign w:val="center"/>
          </w:tcPr>
          <w:p w14:paraId="1052AD00">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2099</w:t>
            </w:r>
          </w:p>
        </w:tc>
      </w:tr>
      <w:tr w14:paraId="115E1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604" w:type="dxa"/>
            <w:vAlign w:val="center"/>
          </w:tcPr>
          <w:p w14:paraId="0DCEE03B">
            <w:pPr>
              <w:autoSpaceDE w:val="0"/>
              <w:autoSpaceDN w:val="0"/>
              <w:adjustRightInd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专项评价设置情况</w:t>
            </w:r>
          </w:p>
        </w:tc>
        <w:tc>
          <w:tcPr>
            <w:tcW w:w="7266" w:type="dxa"/>
            <w:gridSpan w:val="4"/>
            <w:vAlign w:val="center"/>
          </w:tcPr>
          <w:p w14:paraId="5A859288">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表1-1  专项评价设置对照表</w:t>
            </w:r>
          </w:p>
          <w:tbl>
            <w:tblPr>
              <w:tblStyle w:val="24"/>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705"/>
              <w:gridCol w:w="2679"/>
              <w:gridCol w:w="2662"/>
            </w:tblGrid>
            <w:tr w14:paraId="734272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3265EE4E">
                  <w:pPr>
                    <w:autoSpaceDE w:val="0"/>
                    <w:autoSpaceDN w:val="0"/>
                    <w:snapToGrid w:val="0"/>
                    <w:jc w:val="center"/>
                    <w:rPr>
                      <w:rFonts w:ascii="Times New Roman" w:hAnsi="Times New Roman" w:eastAsia="宋体" w:cs="宋体"/>
                      <w:b/>
                      <w:bCs/>
                      <w:color w:val="000000" w:themeColor="text1"/>
                      <w:kern w:val="0"/>
                      <w:sz w:val="21"/>
                      <w:szCs w:val="21"/>
                      <w:highlight w:val="none"/>
                      <w14:textFill>
                        <w14:solidFill>
                          <w14:schemeClr w14:val="tx1"/>
                        </w14:solidFill>
                      </w14:textFill>
                    </w:rPr>
                  </w:pPr>
                  <w:r>
                    <w:rPr>
                      <w:rFonts w:ascii="Times New Roman" w:hAnsi="Times New Roman" w:eastAsia="宋体" w:cs="宋体"/>
                      <w:b/>
                      <w:bCs/>
                      <w:color w:val="000000" w:themeColor="text1"/>
                      <w:kern w:val="0"/>
                      <w:sz w:val="21"/>
                      <w:szCs w:val="21"/>
                      <w:highlight w:val="none"/>
                      <w14:textFill>
                        <w14:solidFill>
                          <w14:schemeClr w14:val="tx1"/>
                        </w14:solidFill>
                      </w14:textFill>
                    </w:rPr>
                    <w:t>专项评价的类别</w:t>
                  </w:r>
                </w:p>
              </w:tc>
              <w:tc>
                <w:tcPr>
                  <w:tcW w:w="1901" w:type="pct"/>
                  <w:vAlign w:val="center"/>
                </w:tcPr>
                <w:p w14:paraId="4EDB8BE6">
                  <w:pPr>
                    <w:autoSpaceDE w:val="0"/>
                    <w:autoSpaceDN w:val="0"/>
                    <w:snapToGrid w:val="0"/>
                    <w:jc w:val="center"/>
                    <w:rPr>
                      <w:rFonts w:ascii="Times New Roman" w:hAnsi="Times New Roman" w:eastAsia="宋体" w:cs="宋体"/>
                      <w:b/>
                      <w:bCs/>
                      <w:color w:val="000000" w:themeColor="text1"/>
                      <w:kern w:val="0"/>
                      <w:sz w:val="21"/>
                      <w:szCs w:val="21"/>
                      <w:highlight w:val="none"/>
                      <w14:textFill>
                        <w14:solidFill>
                          <w14:schemeClr w14:val="tx1"/>
                        </w14:solidFill>
                      </w14:textFill>
                    </w:rPr>
                  </w:pPr>
                  <w:r>
                    <w:rPr>
                      <w:rFonts w:ascii="Times New Roman" w:hAnsi="Times New Roman" w:eastAsia="宋体" w:cs="宋体"/>
                      <w:b/>
                      <w:bCs/>
                      <w:color w:val="000000" w:themeColor="text1"/>
                      <w:kern w:val="0"/>
                      <w:sz w:val="21"/>
                      <w:szCs w:val="21"/>
                      <w:highlight w:val="none"/>
                      <w14:textFill>
                        <w14:solidFill>
                          <w14:schemeClr w14:val="tx1"/>
                        </w14:solidFill>
                      </w14:textFill>
                    </w:rPr>
                    <w:t>设置原则</w:t>
                  </w:r>
                </w:p>
              </w:tc>
              <w:tc>
                <w:tcPr>
                  <w:tcW w:w="1888" w:type="pct"/>
                  <w:vAlign w:val="center"/>
                </w:tcPr>
                <w:p w14:paraId="3C560CC1">
                  <w:pPr>
                    <w:autoSpaceDE w:val="0"/>
                    <w:autoSpaceDN w:val="0"/>
                    <w:snapToGrid w:val="0"/>
                    <w:jc w:val="center"/>
                    <w:rPr>
                      <w:rFonts w:ascii="Times New Roman" w:hAnsi="Times New Roman" w:eastAsia="宋体" w:cs="宋体"/>
                      <w:b/>
                      <w:bCs/>
                      <w:color w:val="000000" w:themeColor="text1"/>
                      <w:kern w:val="0"/>
                      <w:sz w:val="21"/>
                      <w:szCs w:val="21"/>
                      <w:highlight w:val="none"/>
                      <w14:textFill>
                        <w14:solidFill>
                          <w14:schemeClr w14:val="tx1"/>
                        </w14:solidFill>
                      </w14:textFill>
                    </w:rPr>
                  </w:pPr>
                  <w:r>
                    <w:rPr>
                      <w:rFonts w:ascii="Times New Roman" w:hAnsi="Times New Roman" w:eastAsia="宋体" w:cs="宋体"/>
                      <w:b/>
                      <w:bCs/>
                      <w:color w:val="000000" w:themeColor="text1"/>
                      <w:kern w:val="0"/>
                      <w:sz w:val="21"/>
                      <w:szCs w:val="21"/>
                      <w:highlight w:val="none"/>
                      <w14:textFill>
                        <w14:solidFill>
                          <w14:schemeClr w14:val="tx1"/>
                        </w14:solidFill>
                      </w14:textFill>
                    </w:rPr>
                    <w:t>对照</w:t>
                  </w:r>
                </w:p>
              </w:tc>
            </w:tr>
            <w:tr w14:paraId="66E53F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5F855C8B">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大气</w:t>
                  </w:r>
                </w:p>
              </w:tc>
              <w:tc>
                <w:tcPr>
                  <w:tcW w:w="1901" w:type="pct"/>
                  <w:vAlign w:val="center"/>
                </w:tcPr>
                <w:p w14:paraId="122696BC">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排放废气含有有毒污染物</w:t>
                  </w:r>
                  <w:r>
                    <w:rPr>
                      <w:rFonts w:hint="eastAsia" w:ascii="Times New Roman" w:hAnsi="Times New Roman" w:eastAsia="宋体" w:cs="宋体"/>
                      <w:color w:val="000000" w:themeColor="text1"/>
                      <w:kern w:val="0"/>
                      <w:sz w:val="21"/>
                      <w:szCs w:val="21"/>
                      <w:highlight w:val="none"/>
                      <w:vertAlign w:val="superscript"/>
                      <w14:textFill>
                        <w14:solidFill>
                          <w14:schemeClr w14:val="tx1"/>
                        </w14:solidFill>
                      </w14:textFill>
                    </w:rPr>
                    <w:t>1</w:t>
                  </w:r>
                  <w:r>
                    <w:rPr>
                      <w:rFonts w:hint="eastAsia" w:ascii="Times New Roman" w:hAnsi="Times New Roman" w:eastAsia="宋体" w:cs="宋体"/>
                      <w:color w:val="000000" w:themeColor="text1"/>
                      <w:kern w:val="0"/>
                      <w:sz w:val="21"/>
                      <w:szCs w:val="21"/>
                      <w:highlight w:val="none"/>
                      <w14:textFill>
                        <w14:solidFill>
                          <w14:schemeClr w14:val="tx1"/>
                        </w14:solidFill>
                      </w14:textFill>
                    </w:rPr>
                    <w:t>、二噁英、苯并[</w:t>
                  </w: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α</w:t>
                  </w:r>
                  <w:r>
                    <w:rPr>
                      <w:rFonts w:hint="eastAsia" w:ascii="Times New Roman" w:hAnsi="Times New Roman" w:eastAsia="宋体" w:cs="宋体"/>
                      <w:color w:val="000000" w:themeColor="text1"/>
                      <w:kern w:val="0"/>
                      <w:sz w:val="21"/>
                      <w:szCs w:val="21"/>
                      <w:highlight w:val="none"/>
                      <w14:textFill>
                        <w14:solidFill>
                          <w14:schemeClr w14:val="tx1"/>
                        </w14:solidFill>
                      </w14:textFill>
                    </w:rPr>
                    <w:t>]芘、氰化物、氯气且厂界外500米范围内有环境空气保护目标</w:t>
                  </w:r>
                  <w:r>
                    <w:rPr>
                      <w:rFonts w:hint="eastAsia" w:ascii="Times New Roman" w:hAnsi="Times New Roman" w:eastAsia="宋体" w:cs="宋体"/>
                      <w:color w:val="000000" w:themeColor="text1"/>
                      <w:kern w:val="0"/>
                      <w:sz w:val="21"/>
                      <w:szCs w:val="21"/>
                      <w:highlight w:val="none"/>
                      <w:vertAlign w:val="superscript"/>
                      <w14:textFill>
                        <w14:solidFill>
                          <w14:schemeClr w14:val="tx1"/>
                        </w14:solidFill>
                      </w14:textFill>
                    </w:rPr>
                    <w:t>2</w:t>
                  </w:r>
                  <w:r>
                    <w:rPr>
                      <w:rFonts w:hint="eastAsia" w:ascii="Times New Roman" w:hAnsi="Times New Roman" w:eastAsia="宋体" w:cs="宋体"/>
                      <w:color w:val="000000" w:themeColor="text1"/>
                      <w:kern w:val="0"/>
                      <w:sz w:val="21"/>
                      <w:szCs w:val="21"/>
                      <w:highlight w:val="none"/>
                      <w14:textFill>
                        <w14:solidFill>
                          <w14:schemeClr w14:val="tx1"/>
                        </w14:solidFill>
                      </w14:textFill>
                    </w:rPr>
                    <w:t>的建设项目</w:t>
                  </w:r>
                </w:p>
              </w:tc>
              <w:tc>
                <w:tcPr>
                  <w:tcW w:w="1888" w:type="pct"/>
                  <w:vAlign w:val="center"/>
                </w:tcPr>
                <w:p w14:paraId="3417B82C">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本项目排放废气不含有毒污染物</w:t>
                  </w:r>
                  <w:r>
                    <w:rPr>
                      <w:rFonts w:hint="eastAsia" w:ascii="Times New Roman" w:hAnsi="Times New Roman" w:eastAsia="宋体" w:cs="宋体"/>
                      <w:color w:val="000000" w:themeColor="text1"/>
                      <w:kern w:val="0"/>
                      <w:sz w:val="21"/>
                      <w:szCs w:val="21"/>
                      <w:highlight w:val="none"/>
                      <w14:textFill>
                        <w14:solidFill>
                          <w14:schemeClr w14:val="tx1"/>
                        </w14:solidFill>
                      </w14:textFill>
                    </w:rPr>
                    <w:t>等前述的污染因子，无需设置大气专项评价</w:t>
                  </w:r>
                </w:p>
              </w:tc>
            </w:tr>
            <w:tr w14:paraId="2045DC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34FA7154">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地表水</w:t>
                  </w:r>
                </w:p>
              </w:tc>
              <w:tc>
                <w:tcPr>
                  <w:tcW w:w="1901" w:type="pct"/>
                  <w:vAlign w:val="center"/>
                </w:tcPr>
                <w:p w14:paraId="7FA53816">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新增工业废水直排建设项目</w:t>
                  </w:r>
                  <w:r>
                    <w:rPr>
                      <w:rFonts w:hint="eastAsia" w:ascii="Times New Roman" w:hAnsi="Times New Roman" w:eastAsia="宋体" w:cs="宋体"/>
                      <w:color w:val="000000" w:themeColor="text1"/>
                      <w:kern w:val="0"/>
                      <w:sz w:val="21"/>
                      <w:szCs w:val="21"/>
                      <w:highlight w:val="none"/>
                      <w14:textFill>
                        <w14:solidFill>
                          <w14:schemeClr w14:val="tx1"/>
                        </w14:solidFill>
                      </w14:textFill>
                    </w:rPr>
                    <w:t>（槽罐车外送污水处理厂的除外）；新增废水直排的污水集中处理厂</w:t>
                  </w:r>
                </w:p>
              </w:tc>
              <w:tc>
                <w:tcPr>
                  <w:tcW w:w="1888" w:type="pct"/>
                  <w:vAlign w:val="center"/>
                </w:tcPr>
                <w:p w14:paraId="2589D669">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本项目无工业废水直排</w:t>
                  </w:r>
                  <w:r>
                    <w:rPr>
                      <w:rFonts w:hint="eastAsia" w:ascii="Times New Roman" w:hAnsi="Times New Roman" w:eastAsia="宋体" w:cs="宋体"/>
                      <w:color w:val="000000" w:themeColor="text1"/>
                      <w:kern w:val="0"/>
                      <w:sz w:val="21"/>
                      <w:szCs w:val="21"/>
                      <w:highlight w:val="none"/>
                      <w14:textFill>
                        <w14:solidFill>
                          <w14:schemeClr w14:val="tx1"/>
                        </w14:solidFill>
                      </w14:textFill>
                    </w:rPr>
                    <w:t>，无需设置地表水专项评价</w:t>
                  </w:r>
                </w:p>
              </w:tc>
            </w:tr>
            <w:tr w14:paraId="6A64F2F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176A981C">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环境风险</w:t>
                  </w:r>
                </w:p>
              </w:tc>
              <w:tc>
                <w:tcPr>
                  <w:tcW w:w="1901" w:type="pct"/>
                  <w:vAlign w:val="center"/>
                </w:tcPr>
                <w:p w14:paraId="745B415D">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有毒有害和易燃易爆危险物质存储量超过临界量</w:t>
                  </w:r>
                  <w:r>
                    <w:rPr>
                      <w:rFonts w:hint="eastAsia" w:ascii="Times New Roman" w:hAnsi="Times New Roman" w:eastAsia="宋体" w:cs="宋体"/>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的建设项目</w:t>
                  </w:r>
                </w:p>
              </w:tc>
              <w:tc>
                <w:tcPr>
                  <w:tcW w:w="1888" w:type="pct"/>
                  <w:vAlign w:val="center"/>
                </w:tcPr>
                <w:p w14:paraId="0B196273">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本项目各危险物质存储量均未超过临界量</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无需设置环境风险专项评价</w:t>
                  </w:r>
                </w:p>
              </w:tc>
            </w:tr>
            <w:tr w14:paraId="7B063B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31AC9D0E">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生态</w:t>
                  </w:r>
                </w:p>
              </w:tc>
              <w:tc>
                <w:tcPr>
                  <w:tcW w:w="1901" w:type="pct"/>
                  <w:vAlign w:val="center"/>
                </w:tcPr>
                <w:p w14:paraId="7D077BEC">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取水口下游</w:t>
                  </w:r>
                  <w:r>
                    <w:rPr>
                      <w:rFonts w:hint="eastAsia" w:ascii="Times New Roman" w:hAnsi="Times New Roman" w:eastAsia="宋体" w:cs="宋体"/>
                      <w:color w:val="000000" w:themeColor="text1"/>
                      <w:kern w:val="0"/>
                      <w:sz w:val="21"/>
                      <w:szCs w:val="21"/>
                      <w:highlight w:val="none"/>
                      <w14:textFill>
                        <w14:solidFill>
                          <w14:schemeClr w14:val="tx1"/>
                        </w14:solidFill>
                      </w14:textFill>
                    </w:rPr>
                    <w:t>500米范围内有重要水生生物的自然产卵场、索饵场、越冬场和洄游通道的新增河道取水的污染类建设项目</w:t>
                  </w:r>
                </w:p>
              </w:tc>
              <w:tc>
                <w:tcPr>
                  <w:tcW w:w="1888" w:type="pct"/>
                  <w:vAlign w:val="center"/>
                </w:tcPr>
                <w:p w14:paraId="467A7ABD">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本项目无河道取水</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无需设置生态专项评价</w:t>
                  </w:r>
                </w:p>
              </w:tc>
            </w:tr>
            <w:tr w14:paraId="2C5A49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10" w:type="pct"/>
                  <w:vAlign w:val="center"/>
                </w:tcPr>
                <w:p w14:paraId="2D6F3C2A">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海洋</w:t>
                  </w:r>
                </w:p>
              </w:tc>
              <w:tc>
                <w:tcPr>
                  <w:tcW w:w="1901" w:type="pct"/>
                  <w:vAlign w:val="center"/>
                </w:tcPr>
                <w:p w14:paraId="3AD53747">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直接向海排放污染物的</w:t>
                  </w:r>
                  <w:r>
                    <w:rPr>
                      <w:rFonts w:hint="eastAsia" w:ascii="Times New Roman" w:hAnsi="Times New Roman" w:eastAsia="宋体" w:cs="宋体"/>
                      <w:color w:val="000000" w:themeColor="text1"/>
                      <w:kern w:val="0"/>
                      <w:sz w:val="21"/>
                      <w:szCs w:val="21"/>
                      <w:highlight w:val="none"/>
                      <w14:textFill>
                        <w14:solidFill>
                          <w14:schemeClr w14:val="tx1"/>
                        </w14:solidFill>
                      </w14:textFill>
                    </w:rPr>
                    <w:t>海洋</w:t>
                  </w:r>
                  <w:r>
                    <w:rPr>
                      <w:rFonts w:ascii="Times New Roman" w:hAnsi="Times New Roman" w:eastAsia="宋体" w:cs="宋体"/>
                      <w:color w:val="000000" w:themeColor="text1"/>
                      <w:kern w:val="0"/>
                      <w:sz w:val="21"/>
                      <w:szCs w:val="21"/>
                      <w:highlight w:val="none"/>
                      <w14:textFill>
                        <w14:solidFill>
                          <w14:schemeClr w14:val="tx1"/>
                        </w14:solidFill>
                      </w14:textFill>
                    </w:rPr>
                    <w:t>工程建设项目</w:t>
                  </w:r>
                </w:p>
              </w:tc>
              <w:tc>
                <w:tcPr>
                  <w:tcW w:w="1888" w:type="pct"/>
                  <w:vAlign w:val="center"/>
                </w:tcPr>
                <w:p w14:paraId="39C59C78">
                  <w:pPr>
                    <w:keepNext w:val="0"/>
                    <w:keepLines w:val="0"/>
                    <w:pageBreakBefore w:val="0"/>
                    <w:widowControl w:val="0"/>
                    <w:kinsoku/>
                    <w:wordWrap/>
                    <w:overflowPunct/>
                    <w:topLinePunct w:val="0"/>
                    <w:autoSpaceDE w:val="0"/>
                    <w:autoSpaceDN w:val="0"/>
                    <w:bidi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本项目不属于海洋工程建设项目</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不直接向海排放污染物</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无需设置海洋专项评价</w:t>
                  </w:r>
                </w:p>
              </w:tc>
            </w:tr>
          </w:tbl>
          <w:p w14:paraId="5DAE7791">
            <w:pPr>
              <w:keepNext w:val="0"/>
              <w:keepLines w:val="0"/>
              <w:pageBreakBefore w:val="0"/>
              <w:widowControl w:val="0"/>
              <w:kinsoku/>
              <w:wordWrap/>
              <w:overflowPunct/>
              <w:topLinePunct w:val="0"/>
              <w:autoSpaceDE w:val="0"/>
              <w:autoSpaceDN w:val="0"/>
              <w:bidi w:val="0"/>
              <w:adjustRightInd w:val="0"/>
              <w:snapToGrid w:val="0"/>
              <w:spacing w:line="300" w:lineRule="auto"/>
              <w:jc w:val="left"/>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注</w:t>
            </w:r>
            <w:r>
              <w:rPr>
                <w:rFonts w:hint="eastAsia" w:ascii="Times New Roman" w:hAnsi="Times New Roman" w:eastAsia="宋体" w:cs="宋体"/>
                <w:color w:val="000000" w:themeColor="text1"/>
                <w:kern w:val="0"/>
                <w:sz w:val="21"/>
                <w:szCs w:val="21"/>
                <w:highlight w:val="none"/>
                <w14:textFill>
                  <w14:solidFill>
                    <w14:schemeClr w14:val="tx1"/>
                  </w14:solidFill>
                </w14:textFill>
              </w:rPr>
              <w:t>：1、废气中有毒有害污染物指纳入《有毒有害大气污染物名录》的污染物（不包括无排放标准的污染物）。</w:t>
            </w:r>
          </w:p>
          <w:p w14:paraId="4FFB7B6F">
            <w:pPr>
              <w:keepNext w:val="0"/>
              <w:keepLines w:val="0"/>
              <w:pageBreakBefore w:val="0"/>
              <w:widowControl w:val="0"/>
              <w:kinsoku/>
              <w:wordWrap/>
              <w:overflowPunct/>
              <w:topLinePunct w:val="0"/>
              <w:autoSpaceDE w:val="0"/>
              <w:autoSpaceDN w:val="0"/>
              <w:bidi w:val="0"/>
              <w:adjustRightInd w:val="0"/>
              <w:snapToGrid w:val="0"/>
              <w:spacing w:line="300" w:lineRule="auto"/>
              <w:ind w:firstLine="420" w:firstLineChars="200"/>
              <w:jc w:val="left"/>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2、环境空气保护目标指自然保护区、风景名胜区、居住区、文化区和农村地区中人群较集中的区域。</w:t>
            </w:r>
          </w:p>
          <w:p w14:paraId="070F7AF6">
            <w:pPr>
              <w:keepNext w:val="0"/>
              <w:keepLines w:val="0"/>
              <w:pageBreakBefore w:val="0"/>
              <w:widowControl w:val="0"/>
              <w:kinsoku/>
              <w:wordWrap/>
              <w:overflowPunct/>
              <w:topLinePunct w:val="0"/>
              <w:autoSpaceDE w:val="0"/>
              <w:autoSpaceDN w:val="0"/>
              <w:bidi w:val="0"/>
              <w:adjustRightInd w:val="0"/>
              <w:snapToGrid w:val="0"/>
              <w:spacing w:line="300" w:lineRule="auto"/>
              <w:ind w:firstLine="420" w:firstLineChars="200"/>
              <w:jc w:val="left"/>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3、临界量及其计算方法可参考《建设项目环境风向评价技术导则》（HJ169）附录B、附录C。</w:t>
            </w:r>
          </w:p>
        </w:tc>
      </w:tr>
      <w:tr w14:paraId="1FD2A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restart"/>
            <w:vAlign w:val="center"/>
          </w:tcPr>
          <w:p w14:paraId="681CEE3E">
            <w:pPr>
              <w:autoSpaceDE w:val="0"/>
              <w:autoSpaceDN w:val="0"/>
              <w:adjustRightInd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规划情况</w:t>
            </w:r>
          </w:p>
        </w:tc>
        <w:tc>
          <w:tcPr>
            <w:tcW w:w="2388" w:type="dxa"/>
            <w:vAlign w:val="center"/>
          </w:tcPr>
          <w:p w14:paraId="365F39B8">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规划名称</w:t>
            </w:r>
          </w:p>
        </w:tc>
        <w:tc>
          <w:tcPr>
            <w:tcW w:w="4878" w:type="dxa"/>
            <w:gridSpan w:val="3"/>
            <w:vAlign w:val="center"/>
          </w:tcPr>
          <w:p w14:paraId="05E0F1D8">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指前镇社头工业集中区发展规划</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（2024-2035年）》</w:t>
            </w:r>
          </w:p>
        </w:tc>
      </w:tr>
      <w:tr w14:paraId="0EC670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33820F0C">
            <w:pPr>
              <w:autoSpaceDE w:val="0"/>
              <w:autoSpaceDN w:val="0"/>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701E4469">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审批机关</w:t>
            </w:r>
          </w:p>
        </w:tc>
        <w:tc>
          <w:tcPr>
            <w:tcW w:w="4878" w:type="dxa"/>
            <w:gridSpan w:val="3"/>
            <w:vAlign w:val="center"/>
          </w:tcPr>
          <w:p w14:paraId="67AE6871">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default" w:ascii="Times New Roman" w:hAnsi="Times New Roman" w:eastAsia="宋体" w:cs="宋体"/>
                <w:color w:val="000000" w:themeColor="text1"/>
                <w:kern w:val="0"/>
                <w:sz w:val="21"/>
                <w:szCs w:val="21"/>
                <w:highlight w:val="none"/>
                <w14:textFill>
                  <w14:solidFill>
                    <w14:schemeClr w14:val="tx1"/>
                  </w14:solidFill>
                </w14:textFill>
              </w:rPr>
              <w:t>常州市金坛区人民政府</w:t>
            </w:r>
          </w:p>
        </w:tc>
      </w:tr>
      <w:tr w14:paraId="6C9D5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1F8863D6">
            <w:pPr>
              <w:autoSpaceDE w:val="0"/>
              <w:autoSpaceDN w:val="0"/>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29063667">
            <w:pPr>
              <w:keepNext/>
              <w:keepLines/>
              <w:pageBreakBefore w:val="0"/>
              <w:widowControl w:val="0"/>
              <w:kinsoku/>
              <w:wordWrap/>
              <w:overflowPunct/>
              <w:topLinePunct w:val="0"/>
              <w:autoSpaceDE w:val="0"/>
              <w:autoSpaceDN w:val="0"/>
              <w:bidi w:val="0"/>
              <w:spacing w:line="300" w:lineRule="auto"/>
              <w:jc w:val="center"/>
              <w:textAlignment w:val="auto"/>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审查文件名称</w:t>
            </w:r>
          </w:p>
        </w:tc>
        <w:tc>
          <w:tcPr>
            <w:tcW w:w="4878" w:type="dxa"/>
            <w:gridSpan w:val="3"/>
            <w:vAlign w:val="center"/>
          </w:tcPr>
          <w:p w14:paraId="2783D463">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hint="eastAsia" w:ascii="Times New Roman" w:hAnsi="Times New Roman" w:eastAsia="宋体" w:cs="宋体"/>
                <w:smallCaps w:val="0"/>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t>/</w:t>
            </w:r>
          </w:p>
        </w:tc>
      </w:tr>
      <w:tr w14:paraId="07853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47D91F02">
            <w:pPr>
              <w:autoSpaceDE w:val="0"/>
              <w:autoSpaceDN w:val="0"/>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698BAA05">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审批文件文号</w:t>
            </w:r>
          </w:p>
        </w:tc>
        <w:tc>
          <w:tcPr>
            <w:tcW w:w="4878" w:type="dxa"/>
            <w:gridSpan w:val="3"/>
            <w:vAlign w:val="center"/>
          </w:tcPr>
          <w:p w14:paraId="208A7DB8">
            <w:pPr>
              <w:keepNext/>
              <w:keepLines/>
              <w:pageBreakBefore w:val="0"/>
              <w:widowControl w:val="0"/>
              <w:kinsoku/>
              <w:wordWrap/>
              <w:overflowPunct/>
              <w:topLinePunct w:val="0"/>
              <w:autoSpaceDE w:val="0"/>
              <w:autoSpaceDN w:val="0"/>
              <w:bidi w:val="0"/>
              <w:spacing w:line="300" w:lineRule="auto"/>
              <w:jc w:val="center"/>
              <w:textAlignment w:val="auto"/>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p>
        </w:tc>
      </w:tr>
      <w:tr w14:paraId="5F833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restart"/>
            <w:vAlign w:val="center"/>
          </w:tcPr>
          <w:p w14:paraId="01921CF2">
            <w:pPr>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规划环境影响评价情况</w:t>
            </w:r>
          </w:p>
        </w:tc>
        <w:tc>
          <w:tcPr>
            <w:tcW w:w="2388" w:type="dxa"/>
            <w:vAlign w:val="center"/>
          </w:tcPr>
          <w:p w14:paraId="541E1F6E">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规划环境影响评价文件名称</w:t>
            </w:r>
          </w:p>
        </w:tc>
        <w:tc>
          <w:tcPr>
            <w:tcW w:w="4878" w:type="dxa"/>
            <w:gridSpan w:val="3"/>
            <w:vAlign w:val="center"/>
          </w:tcPr>
          <w:p w14:paraId="340BA08B">
            <w:pPr>
              <w:pageBreakBefore w:val="0"/>
              <w:widowControl w:val="0"/>
              <w:kinsoku/>
              <w:wordWrap/>
              <w:overflowPunct/>
              <w:topLinePunct w:val="0"/>
              <w:autoSpaceDE w:val="0"/>
              <w:autoSpaceDN w:val="0"/>
              <w:bidi w:val="0"/>
              <w:adjustRightInd w:val="0"/>
              <w:snapToGrid w:val="0"/>
              <w:spacing w:line="300" w:lineRule="auto"/>
              <w:jc w:val="center"/>
              <w:textAlignment w:val="auto"/>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宋体"/>
                <w:smallCaps w:val="0"/>
                <w:color w:val="000000" w:themeColor="text1"/>
                <w:kern w:val="0"/>
                <w:sz w:val="21"/>
                <w:szCs w:val="21"/>
                <w:highlight w:val="none"/>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指前镇社头工业集中区（2024-2035）发展规划环境影响报告书</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w:t>
            </w:r>
          </w:p>
        </w:tc>
      </w:tr>
      <w:tr w14:paraId="6391A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3AE2686E">
            <w:pPr>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1EA5F2A1">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召集审查机关</w:t>
            </w:r>
          </w:p>
        </w:tc>
        <w:tc>
          <w:tcPr>
            <w:tcW w:w="4878" w:type="dxa"/>
            <w:gridSpan w:val="3"/>
            <w:vAlign w:val="center"/>
          </w:tcPr>
          <w:p w14:paraId="71F0185B">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常州市生态环境局</w:t>
            </w:r>
          </w:p>
        </w:tc>
      </w:tr>
      <w:tr w14:paraId="40ADC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55829143">
            <w:pPr>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4E4408E9">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审查文件名称</w:t>
            </w:r>
          </w:p>
        </w:tc>
        <w:tc>
          <w:tcPr>
            <w:tcW w:w="4878" w:type="dxa"/>
            <w:gridSpan w:val="3"/>
            <w:vAlign w:val="center"/>
          </w:tcPr>
          <w:p w14:paraId="451626FA">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《市生态环境局关于指前镇社头工业集中区（2024-2035）发展规划环境影响报告书的审查意见》</w:t>
            </w:r>
          </w:p>
        </w:tc>
      </w:tr>
      <w:tr w14:paraId="4027A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04" w:type="dxa"/>
            <w:vMerge w:val="continue"/>
            <w:vAlign w:val="center"/>
          </w:tcPr>
          <w:p w14:paraId="0FDAC6C4">
            <w:pPr>
              <w:adjustRightInd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388" w:type="dxa"/>
            <w:vAlign w:val="center"/>
          </w:tcPr>
          <w:p w14:paraId="0A3A4779">
            <w:pPr>
              <w:keepNext/>
              <w:keepLines/>
              <w:pageBreakBefore w:val="0"/>
              <w:widowControl w:val="0"/>
              <w:kinsoku/>
              <w:wordWrap/>
              <w:overflowPunct/>
              <w:topLinePunct w:val="0"/>
              <w:autoSpaceDE w:val="0"/>
              <w:autoSpaceDN w:val="0"/>
              <w:bidi w:val="0"/>
              <w:spacing w:line="300" w:lineRule="auto"/>
              <w:jc w:val="center"/>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审查文件文号</w:t>
            </w:r>
          </w:p>
        </w:tc>
        <w:tc>
          <w:tcPr>
            <w:tcW w:w="4878" w:type="dxa"/>
            <w:gridSpan w:val="3"/>
            <w:vAlign w:val="center"/>
          </w:tcPr>
          <w:p w14:paraId="7657E8CD">
            <w:pPr>
              <w:keepLines/>
              <w:pageBreakBefore w:val="0"/>
              <w:widowControl w:val="0"/>
              <w:kinsoku/>
              <w:wordWrap/>
              <w:overflowPunct/>
              <w:topLinePunct w:val="0"/>
              <w:autoSpaceDE w:val="0"/>
              <w:autoSpaceDN w:val="0"/>
              <w:bidi w:val="0"/>
              <w:adjustRightInd w:val="0"/>
              <w:snapToGrid w:val="0"/>
              <w:spacing w:line="300" w:lineRule="auto"/>
              <w:jc w:val="center"/>
              <w:textAlignment w:val="auto"/>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常金环审</w:t>
            </w:r>
            <w:r>
              <w:rPr>
                <w:rFonts w:hint="eastAsia" w:ascii="Times New Roman" w:hAnsi="Times New Roman" w:eastAsia="宋体" w:cs="宋体"/>
                <w:color w:val="000000" w:themeColor="text1"/>
                <w:sz w:val="21"/>
                <w:szCs w:val="21"/>
                <w:highlight w:val="none"/>
                <w14:textFill>
                  <w14:solidFill>
                    <w14:schemeClr w14:val="tx1"/>
                  </w14:solidFill>
                </w14:textFill>
              </w:rPr>
              <w:t>〔202</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151号</w:t>
            </w:r>
          </w:p>
        </w:tc>
      </w:tr>
      <w:tr w14:paraId="034B37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04" w:type="dxa"/>
            <w:vAlign w:val="center"/>
          </w:tcPr>
          <w:p w14:paraId="69A77198">
            <w:pPr>
              <w:autoSpaceDE w:val="0"/>
              <w:autoSpaceDN w:val="0"/>
              <w:adjustRightInd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规划及规划环境影响评价符合性分析</w:t>
            </w:r>
          </w:p>
        </w:tc>
        <w:tc>
          <w:tcPr>
            <w:tcW w:w="7266" w:type="dxa"/>
            <w:gridSpan w:val="4"/>
            <w:vAlign w:val="center"/>
          </w:tcPr>
          <w:p w14:paraId="0CBFF789">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pPr>
            <w:r>
              <w:rPr>
                <w:rFonts w:hint="eastAsia"/>
                <w:b/>
                <w:bCs/>
                <w:smallCaps w:val="0"/>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、规划相符性分析</w:t>
            </w:r>
          </w:p>
          <w:p w14:paraId="0F1A3E6A">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t>《指前镇社头工业集中区发展规划》（2024-2035年）相符性分析：</w:t>
            </w:r>
          </w:p>
          <w:p w14:paraId="63EEE093">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t>园区规划范围</w:t>
            </w:r>
            <w:r>
              <w:rPr>
                <w:rFonts w:hint="eastAsia"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t>规划用地面积1.103平方公里，西至南北大河，北至社头北大河，东侧、南侧至现状河道。</w:t>
            </w:r>
          </w:p>
          <w:p w14:paraId="5CE6C1C0">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smallCaps w:val="0"/>
                <w:color w:val="000000" w:themeColor="text1"/>
                <w:sz w:val="21"/>
                <w:szCs w:val="21"/>
                <w:highlight w:val="none"/>
                <w:lang w:val="en-US" w:eastAsia="zh-CN"/>
                <w14:textFill>
                  <w14:solidFill>
                    <w14:schemeClr w14:val="tx1"/>
                  </w14:solidFill>
                </w14:textFill>
              </w:rPr>
              <w:t>产业定位：机械装备、新材料、纺织服装、电子通讯等。</w:t>
            </w:r>
          </w:p>
          <w:p w14:paraId="05B03CD9">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default" w:ascii="Times New Roman" w:hAnsi="Times New Roman" w:eastAsia="宋体"/>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本项目位于江苏省常州市金坛区指前镇社头集镇社兴东路，在</w:t>
            </w:r>
            <w:bookmarkStart w:id="3" w:name="OLE_LINK1"/>
            <w:bookmarkStart w:id="4" w:name="OLE_LINK2"/>
            <w:r>
              <w:rPr>
                <w:rFonts w:hint="eastAsia"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社头工业集中区</w:t>
            </w:r>
            <w:bookmarkEnd w:id="3"/>
            <w:bookmarkEnd w:id="4"/>
            <w:r>
              <w:rPr>
                <w:rFonts w:hint="eastAsia"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规划范围内，对照园区用地规划图（详见附图6），本项目所在地块为工业用地，</w:t>
            </w:r>
            <w:r>
              <w:rPr>
                <w:rFonts w:hint="default"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根据企业提供的土地证</w:t>
            </w:r>
            <w:r>
              <w:rPr>
                <w:rFonts w:hint="eastAsia"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（坛国用（2013）第4736号）</w:t>
            </w:r>
            <w:r>
              <w:rPr>
                <w:rFonts w:hint="default"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地类（用途）为工业用地</w:t>
            </w:r>
            <w:r>
              <w:rPr>
                <w:rFonts w:hint="default" w:ascii="Times New Roman" w:hAnsi="Times New Roman" w:eastAsia="宋体" w:cs="Times New Roman"/>
                <w:b/>
                <w:bCs/>
                <w:smallCaps w:val="0"/>
                <w:color w:val="000000" w:themeColor="text1"/>
                <w:sz w:val="21"/>
                <w:szCs w:val="21"/>
                <w:highlight w:val="none"/>
                <w:lang w:val="en-US" w:eastAsia="zh-CN"/>
                <w14:textFill>
                  <w14:solidFill>
                    <w14:schemeClr w14:val="tx1"/>
                  </w14:solidFill>
                </w14:textFill>
              </w:rPr>
              <w:t>。</w:t>
            </w:r>
          </w:p>
          <w:p w14:paraId="5F63DFA6">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ascii="Times New Roman" w:hAnsi="Times New Roman" w:eastAsia="宋体"/>
                <w:b/>
                <w:bCs/>
                <w:smallCaps w:val="0"/>
                <w:color w:val="000000" w:themeColor="text1"/>
                <w:sz w:val="21"/>
                <w:szCs w:val="21"/>
                <w:highlight w:val="none"/>
                <w14:textFill>
                  <w14:solidFill>
                    <w14:schemeClr w14:val="tx1"/>
                  </w14:solidFill>
                </w14:textFill>
              </w:rPr>
            </w:pPr>
            <w:r>
              <w:rPr>
                <w:rFonts w:hint="eastAsia"/>
                <w:b/>
                <w:bCs/>
                <w:smallCaps w:val="0"/>
                <w:color w:val="000000" w:themeColor="text1"/>
                <w:sz w:val="21"/>
                <w:szCs w:val="21"/>
                <w:highlight w:val="none"/>
                <w:lang w:val="en-US" w:eastAsia="zh-CN"/>
                <w14:textFill>
                  <w14:solidFill>
                    <w14:schemeClr w14:val="tx1"/>
                  </w14:solidFill>
                </w14:textFill>
              </w:rPr>
              <w:t>2</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b/>
                <w:bCs/>
                <w:smallCaps w:val="0"/>
                <w:color w:val="000000" w:themeColor="text1"/>
                <w:sz w:val="21"/>
                <w:szCs w:val="21"/>
                <w:highlight w:val="none"/>
                <w14:textFill>
                  <w14:solidFill>
                    <w14:schemeClr w14:val="tx1"/>
                  </w14:solidFill>
                </w14:textFill>
              </w:rPr>
              <w:t>规划</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环境影响评价</w:t>
            </w:r>
            <w:r>
              <w:rPr>
                <w:rFonts w:hint="eastAsia" w:ascii="Times New Roman" w:hAnsi="Times New Roman" w:eastAsia="宋体"/>
                <w:b/>
                <w:bCs/>
                <w:smallCaps w:val="0"/>
                <w:color w:val="000000" w:themeColor="text1"/>
                <w:sz w:val="21"/>
                <w:szCs w:val="21"/>
                <w:highlight w:val="none"/>
                <w14:textFill>
                  <w14:solidFill>
                    <w14:schemeClr w14:val="tx1"/>
                  </w14:solidFill>
                </w14:textFill>
              </w:rPr>
              <w:t>相符性分析</w:t>
            </w:r>
          </w:p>
          <w:p w14:paraId="68D1C60D">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pPr>
            <w:r>
              <w:rPr>
                <w:rFonts w:hint="eastAsia" w:cs="宋体"/>
                <w:b w:val="0"/>
                <w:bCs w:val="0"/>
                <w:smallCaps w:val="0"/>
                <w:color w:val="000000" w:themeColor="text1"/>
                <w:kern w:val="0"/>
                <w:sz w:val="21"/>
                <w:szCs w:val="21"/>
                <w:highlight w:val="none"/>
                <w:lang w:val="en-US" w:eastAsia="zh-CN"/>
                <w14:textFill>
                  <w14:solidFill>
                    <w14:schemeClr w14:val="tx1"/>
                  </w14:solidFill>
                </w14:textFill>
              </w:rPr>
              <w:t>本项目属于食品制造业，根据</w:t>
            </w: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《指前镇社头工业集中区（2024-2035）发展规划环境影响报告书》</w:t>
            </w:r>
            <w:r>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t>3.2.3.2章节入区产业及布局存在问题：本规划产业园产业定位为电子通讯、机械装备、纺织服装以及新材料等。产业园现有机械装备产业包括机械加工、金属制品、黑色金属铸造、有色金属铸造、机械零部件制造为主导产业上下游配套，属于主导产业范畴。主导产业中产业链上下游企业，与主导产业不冲突，不在园区负面清单内，环保手续完善，各类污染物能够实现稳定达标排放，未发生环境事故并无投诉情况，建议保留。</w:t>
            </w:r>
          </w:p>
          <w:p w14:paraId="34243326">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t>但目前规划区的已建企业中，仍有部分其他类别企业，与本次规划的产业定位不一致，属于不符合产业园开发产业发展导向的。不符合产业园产业发展导向的包括涉及食品1家、交通运输业1家、液化石油气充装1家。</w:t>
            </w:r>
          </w:p>
          <w:p w14:paraId="051E29E8">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t>3家不符合产业园开发产业发展导向的企业本次评价建议：其余产业要求开展污染物排查，对于现状污染防治措施建设满足环境管理要求且能稳定达标排放的企业，建议保留，并且督促企业转型升级；对于措施不健全要求企业限时整改，整改完成并满足现行环境管理要求并能稳定达标排放的企业暂时保留，不能完成整改要求的开展清退工作。</w:t>
            </w:r>
          </w:p>
          <w:p w14:paraId="037A6199">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t>规划期内完成瑞华电子、腾创金属、罗盛焊接等闲置资源盘活，嫁接优质项目，实现零地招商。</w:t>
            </w:r>
          </w:p>
          <w:p w14:paraId="730E6C3F">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default"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t>本项目待宰、屠宰、废水处理设施废气经密闭收集，生物除臭装置处理，15m高排气筒FQ-1排放；生产废水经预处理后与生活污水</w:t>
            </w:r>
            <w:r>
              <w:rPr>
                <w:rFonts w:hint="eastAsia" w:cs="宋体"/>
                <w:b/>
                <w:bCs/>
                <w:smallCaps w:val="0"/>
                <w:color w:val="000000" w:themeColor="text1"/>
                <w:kern w:val="0"/>
                <w:sz w:val="21"/>
                <w:szCs w:val="21"/>
                <w:highlight w:val="none"/>
                <w:lang w:val="en-US" w:eastAsia="zh-CN"/>
                <w14:textFill>
                  <w14:solidFill>
                    <w14:schemeClr w14:val="tx1"/>
                  </w14:solidFill>
                </w14:textFill>
              </w:rPr>
              <w:t>经厂区污水处理站处理后</w:t>
            </w:r>
            <w:r>
              <w:rPr>
                <w:rFonts w:hint="eastAsia"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t>接管至指前污水处理厂；通过车间隔声、距离衰减，采取噪声防治措施；固体废物均</w:t>
            </w:r>
            <w:r>
              <w:rPr>
                <w:rFonts w:hint="eastAsia" w:cs="宋体"/>
                <w:b/>
                <w:bCs/>
                <w:color w:val="000000" w:themeColor="text1"/>
                <w:sz w:val="21"/>
                <w:szCs w:val="21"/>
                <w:highlight w:val="none"/>
                <w:lang w:eastAsia="zh-CN"/>
                <w14:textFill>
                  <w14:solidFill>
                    <w14:schemeClr w14:val="tx1"/>
                  </w14:solidFill>
                </w14:textFill>
              </w:rPr>
              <w:t>得到有效的</w:t>
            </w:r>
            <w:r>
              <w:rPr>
                <w:rFonts w:ascii="Times New Roman" w:hAnsi="Times New Roman" w:eastAsia="宋体" w:cs="宋体"/>
                <w:b/>
                <w:bCs/>
                <w:color w:val="000000" w:themeColor="text1"/>
                <w:sz w:val="21"/>
                <w:szCs w:val="21"/>
                <w:highlight w:val="none"/>
                <w14:textFill>
                  <w14:solidFill>
                    <w14:schemeClr w14:val="tx1"/>
                  </w14:solidFill>
                </w14:textFill>
              </w:rPr>
              <w:t>处理处置，不外排</w:t>
            </w:r>
            <w:r>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在采取上述措施后可满足现行环境管理要求，稳定达标排放，且建设单位为金坛区定点屠宰场所，属于民生工程，因此在</w:t>
            </w:r>
            <w:r>
              <w:rPr>
                <w:rFonts w:hint="eastAsia" w:ascii="Times New Roman" w:hAnsi="Times New Roman" w:eastAsia="宋体" w:cs="宋体"/>
                <w:b/>
                <w:bCs/>
                <w:smallCaps w:val="0"/>
                <w:color w:val="000000" w:themeColor="text1"/>
                <w:kern w:val="0"/>
                <w:sz w:val="21"/>
                <w:szCs w:val="21"/>
                <w:highlight w:val="none"/>
                <w:lang w:eastAsia="zh-CN"/>
                <w14:textFill>
                  <w14:solidFill>
                    <w14:schemeClr w14:val="tx1"/>
                  </w14:solidFill>
                </w14:textFill>
              </w:rPr>
              <w:t>指前镇社头工业集中区</w:t>
            </w:r>
            <w:r>
              <w:rPr>
                <w:rFonts w:hint="eastAsia"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t>建设本项目可行</w:t>
            </w: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w:t>
            </w:r>
          </w:p>
          <w:p w14:paraId="5C514A67">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《指前镇社头工业集中区（2024-2035）发展规划环境影响报告书》</w:t>
            </w:r>
            <w:r>
              <w:rPr>
                <w:rFonts w:hint="eastAsia" w:ascii="Times New Roman" w:hAnsi="Times New Roman" w:eastAsia="宋体" w:cs="宋体"/>
                <w:b w:val="0"/>
                <w:bCs w:val="0"/>
                <w:smallCaps w:val="0"/>
                <w:color w:val="000000" w:themeColor="text1"/>
                <w:kern w:val="0"/>
                <w:sz w:val="21"/>
                <w:szCs w:val="21"/>
                <w:highlight w:val="none"/>
                <w:lang w:val="en-US" w:eastAsia="zh-CN"/>
                <w14:textFill>
                  <w14:solidFill>
                    <w14:schemeClr w14:val="tx1"/>
                  </w14:solidFill>
                </w14:textFill>
              </w:rPr>
              <w:t>相符性分析：</w:t>
            </w:r>
          </w:p>
          <w:p w14:paraId="48F487D5">
            <w:pPr>
              <w:tabs>
                <w:tab w:val="left" w:pos="960"/>
              </w:tabs>
              <w:spacing w:beforeLines="50"/>
              <w:jc w:val="cente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表1-2</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与常金环审〔202</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4</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〕151号对照分析情况</w:t>
            </w:r>
          </w:p>
          <w:tbl>
            <w:tblPr>
              <w:tblStyle w:val="25"/>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3878"/>
              <w:gridCol w:w="3171"/>
            </w:tblGrid>
            <w:tr w14:paraId="2130D2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50" w:type="pct"/>
                  <w:tcBorders>
                    <w:tl2br w:val="nil"/>
                    <w:tr2bl w:val="nil"/>
                  </w:tcBorders>
                  <w:shd w:val="clear" w:color="auto" w:fill="auto"/>
                  <w:vAlign w:val="center"/>
                </w:tcPr>
                <w:p w14:paraId="319603A6">
                  <w:pPr>
                    <w:pStyle w:val="71"/>
                    <w:adjustRightInd w:val="0"/>
                    <w:snapToGrid w:val="0"/>
                    <w:rPr>
                      <w:rFonts w:hint="eastAsia" w:ascii="Times New Roman" w:hAnsi="Times New Roman" w:eastAsia="宋体" w:cs="Times New Roman"/>
                      <w:b/>
                      <w:bCs/>
                      <w:color w:val="000000" w:themeColor="text1"/>
                      <w:kern w:val="44"/>
                      <w:sz w:val="21"/>
                      <w:szCs w:val="21"/>
                      <w:lang w:val="en-US" w:eastAsia="zh-CN" w:bidi="ar-SA"/>
                      <w14:textFill>
                        <w14:solidFill>
                          <w14:schemeClr w14:val="tx1"/>
                        </w14:solidFill>
                      </w14:textFill>
                    </w:rPr>
                  </w:pPr>
                  <w:r>
                    <w:rPr>
                      <w:rFonts w:ascii="Times New Roman" w:hAnsi="Times New Roman" w:eastAsia="宋体"/>
                      <w:b/>
                      <w:bCs/>
                      <w:color w:val="000000" w:themeColor="text1"/>
                      <w:sz w:val="21"/>
                      <w:szCs w:val="21"/>
                      <w14:textFill>
                        <w14:solidFill>
                          <w14:schemeClr w14:val="tx1"/>
                        </w14:solidFill>
                      </w14:textFill>
                    </w:rPr>
                    <w:t>区域环评审查意见</w:t>
                  </w:r>
                </w:p>
              </w:tc>
              <w:tc>
                <w:tcPr>
                  <w:tcW w:w="2249" w:type="pct"/>
                  <w:tcBorders>
                    <w:tl2br w:val="nil"/>
                    <w:tr2bl w:val="nil"/>
                  </w:tcBorders>
                  <w:shd w:val="clear" w:color="auto" w:fill="auto"/>
                  <w:vAlign w:val="center"/>
                </w:tcPr>
                <w:p w14:paraId="063671BA">
                  <w:pPr>
                    <w:pStyle w:val="71"/>
                    <w:adjustRightInd w:val="0"/>
                    <w:snapToGrid w:val="0"/>
                    <w:rPr>
                      <w:rFonts w:hint="default" w:ascii="Times New Roman" w:hAnsi="Times New Roman" w:eastAsia="宋体" w:cs="Times New Roman"/>
                      <w:b/>
                      <w:bCs/>
                      <w:color w:val="000000" w:themeColor="text1"/>
                      <w:kern w:val="44"/>
                      <w:sz w:val="21"/>
                      <w:szCs w:val="21"/>
                      <w:lang w:val="en-US" w:eastAsia="zh-CN" w:bidi="ar-SA"/>
                      <w14:textFill>
                        <w14:solidFill>
                          <w14:schemeClr w14:val="tx1"/>
                        </w14:solidFill>
                      </w14:textFill>
                    </w:rPr>
                  </w:pPr>
                  <w:r>
                    <w:rPr>
                      <w:rFonts w:hint="eastAsia" w:ascii="Times New Roman" w:hAnsi="Times New Roman" w:eastAsia="宋体" w:cs="Times New Roman"/>
                      <w:b/>
                      <w:bCs/>
                      <w:color w:val="000000" w:themeColor="text1"/>
                      <w:kern w:val="44"/>
                      <w:sz w:val="21"/>
                      <w:szCs w:val="21"/>
                      <w:lang w:val="en-US" w:eastAsia="zh-CN" w:bidi="ar-SA"/>
                      <w14:textFill>
                        <w14:solidFill>
                          <w14:schemeClr w14:val="tx1"/>
                        </w14:solidFill>
                      </w14:textFill>
                    </w:rPr>
                    <w:t>本项目对照分析</w:t>
                  </w:r>
                </w:p>
              </w:tc>
            </w:tr>
            <w:tr w14:paraId="6D8F58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255" w:hRule="atLeast"/>
              </w:trPr>
              <w:tc>
                <w:tcPr>
                  <w:tcW w:w="2750" w:type="pct"/>
                  <w:tcBorders>
                    <w:tl2br w:val="nil"/>
                    <w:tr2bl w:val="nil"/>
                  </w:tcBorders>
                  <w:shd w:val="clear" w:color="auto" w:fill="auto"/>
                  <w:vAlign w:val="center"/>
                </w:tcPr>
                <w:p w14:paraId="2B61965B">
                  <w:pPr>
                    <w:pStyle w:val="71"/>
                    <w:snapToGrid w:val="0"/>
                    <w:spacing w:line="320" w:lineRule="exact"/>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园区规划范围：规划用地面积1.103平方公里，西至南北大河，北至社头北大河，东侧、南侧至现状河道。</w:t>
                  </w:r>
                </w:p>
              </w:tc>
              <w:tc>
                <w:tcPr>
                  <w:tcW w:w="2249" w:type="pct"/>
                  <w:tcBorders>
                    <w:tl2br w:val="nil"/>
                    <w:tr2bl w:val="nil"/>
                  </w:tcBorders>
                  <w:shd w:val="clear" w:color="auto" w:fill="auto"/>
                  <w:vAlign w:val="center"/>
                </w:tcPr>
                <w:p w14:paraId="6BE20615">
                  <w:pPr>
                    <w:pStyle w:val="71"/>
                    <w:snapToGrid w:val="0"/>
                    <w:spacing w:line="320" w:lineRule="exact"/>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本项目位于</w:t>
                  </w:r>
                  <w:r>
                    <w:rPr>
                      <w:rFonts w:hint="eastAsia" w:ascii="Times New Roman" w:hAnsi="Times New Roman" w:eastAsia="宋体"/>
                      <w:color w:val="000000" w:themeColor="text1"/>
                      <w:sz w:val="21"/>
                      <w:szCs w:val="21"/>
                      <w:lang w:eastAsia="zh-CN"/>
                      <w14:textFill>
                        <w14:solidFill>
                          <w14:schemeClr w14:val="tx1"/>
                        </w14:solidFill>
                      </w14:textFill>
                    </w:rPr>
                    <w:t>江苏省常州市金坛区指前镇社头集镇社兴东路</w:t>
                  </w:r>
                  <w:r>
                    <w:rPr>
                      <w:rFonts w:ascii="Times New Roman" w:hAnsi="Times New Roman" w:eastAsia="宋体"/>
                      <w:color w:val="000000" w:themeColor="text1"/>
                      <w:sz w:val="21"/>
                      <w:szCs w:val="21"/>
                      <w14:textFill>
                        <w14:solidFill>
                          <w14:schemeClr w14:val="tx1"/>
                        </w14:solidFill>
                      </w14:textFill>
                    </w:rPr>
                    <w:t>，属于社头工业集中区范围内，</w:t>
                  </w:r>
                  <w:r>
                    <w:rPr>
                      <w:rFonts w:hint="eastAsia" w:ascii="Times New Roman" w:hAnsi="Times New Roman" w:eastAsia="宋体"/>
                      <w:color w:val="000000" w:themeColor="text1"/>
                      <w:sz w:val="21"/>
                      <w:szCs w:val="21"/>
                      <w:lang w:val="en-US" w:eastAsia="zh-CN"/>
                      <w14:textFill>
                        <w14:solidFill>
                          <w14:schemeClr w14:val="tx1"/>
                        </w14:solidFill>
                      </w14:textFill>
                    </w:rPr>
                    <w:t>根据附图6土地利用规划图，</w:t>
                  </w:r>
                  <w:r>
                    <w:rPr>
                      <w:rFonts w:ascii="Times New Roman" w:hAnsi="Times New Roman" w:eastAsia="宋体"/>
                      <w:color w:val="000000" w:themeColor="text1"/>
                      <w:sz w:val="21"/>
                      <w:szCs w:val="21"/>
                      <w14:textFill>
                        <w14:solidFill>
                          <w14:schemeClr w14:val="tx1"/>
                        </w14:solidFill>
                      </w14:textFill>
                    </w:rPr>
                    <w:t>用地性质与规划相符，选址合理。</w:t>
                  </w:r>
                </w:p>
              </w:tc>
            </w:tr>
            <w:tr w14:paraId="1C00C8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50" w:type="pct"/>
                  <w:tcBorders>
                    <w:tl2br w:val="nil"/>
                    <w:tr2bl w:val="nil"/>
                  </w:tcBorders>
                  <w:shd w:val="clear" w:color="auto" w:fill="auto"/>
                  <w:vAlign w:val="center"/>
                </w:tcPr>
                <w:p w14:paraId="086FE2F9">
                  <w:pPr>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本规划产业园产业定位为电子通讯、机械装备、纺织服装以及新材料</w:t>
                  </w:r>
                  <w:r>
                    <w:rPr>
                      <w:rFonts w:hint="eastAsia" w:cs="Times New Roman"/>
                      <w:color w:val="000000" w:themeColor="text1"/>
                      <w14:textFill>
                        <w14:solidFill>
                          <w14:schemeClr w14:val="tx1"/>
                        </w14:solidFill>
                      </w14:textFill>
                    </w:rPr>
                    <w:t>等。产业园现有机械装备产业包括机械加工、金属制品、黑色金属铸造、有色金属铸造、机械零部件制造为主导产业上下游配套，属于主导产业范畴。主导产业中产业链上下游企业，与主导产业不冲突，不在园区负面清单内，环保手续完善，各类污染物能够实现稳定达标排放，未发生环境事故并无投诉情况，建议保留。</w:t>
                  </w:r>
                </w:p>
                <w:p w14:paraId="2B4204DE">
                  <w:pPr>
                    <w:ind w:firstLine="56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但目前规划区的已建企业中，仍有部分其他类别企业，与本次规划的产业定位不一致，属于不符合产业园开发产业发展导向的。不符合产业园产业发展导向的包括涉及食品1家、交通运输业1家、液化石油气充装1家。</w:t>
                  </w:r>
                </w:p>
                <w:p w14:paraId="5AB9A1F5">
                  <w:pPr>
                    <w:ind w:firstLine="560"/>
                    <w:rPr>
                      <w:rFonts w:hint="eastAsia" w:ascii="Times New Roman" w:hAnsi="Times New Roman" w:eastAsia="仿宋_GB2312" w:cs="Times New Roman"/>
                      <w:color w:val="000000" w:themeColor="text1"/>
                      <w:kern w:val="44"/>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3家不符合产业园开发产业发展导向的企业本次评价建议：其余产业要求开展污染物排查，对于现状污染防治措施建设满足环境管理要求且能稳定达标排放的企业，建议保留</w:t>
                  </w:r>
                  <w:r>
                    <w:rPr>
                      <w:rFonts w:hint="eastAsia" w:ascii="Times New Roman" w:hAnsi="Times New Roman" w:eastAsia="宋体" w:cs="Times New Roman"/>
                      <w:color w:val="000000" w:themeColor="text1"/>
                      <w:lang w:eastAsia="zh-CN"/>
                      <w14:textFill>
                        <w14:solidFill>
                          <w14:schemeClr w14:val="tx1"/>
                        </w14:solidFill>
                      </w14:textFill>
                    </w:rPr>
                    <w:t>。</w:t>
                  </w:r>
                </w:p>
              </w:tc>
              <w:tc>
                <w:tcPr>
                  <w:tcW w:w="2249" w:type="pct"/>
                  <w:tcBorders>
                    <w:tl2br w:val="nil"/>
                    <w:tr2bl w:val="nil"/>
                  </w:tcBorders>
                  <w:shd w:val="clear" w:color="auto" w:fill="auto"/>
                  <w:vAlign w:val="center"/>
                </w:tcPr>
                <w:p w14:paraId="480F2DB8">
                  <w:pPr>
                    <w:pStyle w:val="71"/>
                    <w:snapToGrid w:val="0"/>
                    <w:spacing w:line="320" w:lineRule="exact"/>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本</w:t>
                  </w:r>
                  <w:r>
                    <w:rPr>
                      <w:rFonts w:hint="default" w:ascii="Times New Roman" w:hAnsi="Times New Roman" w:eastAsia="宋体"/>
                      <w:color w:val="000000" w:themeColor="text1"/>
                      <w:sz w:val="21"/>
                      <w:szCs w:val="21"/>
                      <w:lang w:val="en-US" w:eastAsia="zh-CN"/>
                      <w14:textFill>
                        <w14:solidFill>
                          <w14:schemeClr w14:val="tx1"/>
                        </w14:solidFill>
                      </w14:textFill>
                    </w:rPr>
                    <w:t>项目产品</w:t>
                  </w:r>
                  <w:r>
                    <w:rPr>
                      <w:rFonts w:hint="eastAsia" w:ascii="Times New Roman" w:hAnsi="Times New Roman" w:eastAsia="宋体"/>
                      <w:color w:val="000000" w:themeColor="text1"/>
                      <w:sz w:val="21"/>
                      <w:szCs w:val="21"/>
                      <w:lang w:val="en-US" w:eastAsia="zh-CN"/>
                      <w14:textFill>
                        <w14:solidFill>
                          <w14:schemeClr w14:val="tx1"/>
                        </w14:solidFill>
                      </w14:textFill>
                    </w:rPr>
                    <w:t>牛肉卤制品及副产品</w:t>
                  </w:r>
                  <w:r>
                    <w:rPr>
                      <w:rFonts w:hint="default" w:ascii="Times New Roman" w:hAnsi="Times New Roman" w:eastAsia="宋体"/>
                      <w:color w:val="000000" w:themeColor="text1"/>
                      <w:sz w:val="21"/>
                      <w:szCs w:val="21"/>
                      <w:lang w:val="en-US" w:eastAsia="zh-CN"/>
                      <w14:textFill>
                        <w14:solidFill>
                          <w14:schemeClr w14:val="tx1"/>
                        </w14:solidFill>
                      </w14:textFill>
                    </w:rPr>
                    <w:t>，属于</w:t>
                  </w:r>
                  <w:r>
                    <w:rPr>
                      <w:rFonts w:hint="eastAsia" w:ascii="Times New Roman" w:hAnsi="Times New Roman" w:eastAsia="宋体"/>
                      <w:color w:val="000000" w:themeColor="text1"/>
                      <w:sz w:val="21"/>
                      <w:szCs w:val="21"/>
                      <w:lang w:val="en-US" w:eastAsia="zh-CN"/>
                      <w14:textFill>
                        <w14:solidFill>
                          <w14:schemeClr w14:val="tx1"/>
                        </w14:solidFill>
                      </w14:textFill>
                    </w:rPr>
                    <w:t>食品</w:t>
                  </w:r>
                  <w:r>
                    <w:rPr>
                      <w:rFonts w:hint="default" w:ascii="Times New Roman" w:hAnsi="Times New Roman" w:eastAsia="宋体"/>
                      <w:color w:val="000000" w:themeColor="text1"/>
                      <w:sz w:val="21"/>
                      <w:szCs w:val="21"/>
                      <w:lang w:val="en-US" w:eastAsia="zh-CN"/>
                      <w14:textFill>
                        <w14:solidFill>
                          <w14:schemeClr w14:val="tx1"/>
                        </w14:solidFill>
                      </w14:textFill>
                    </w:rPr>
                    <w:t>制造业</w:t>
                  </w:r>
                  <w:r>
                    <w:rPr>
                      <w:rFonts w:ascii="Times New Roman" w:hAnsi="Times New Roman" w:eastAsia="宋体"/>
                      <w:color w:val="000000" w:themeColor="text1"/>
                      <w:sz w:val="21"/>
                      <w:szCs w:val="21"/>
                      <w14:textFill>
                        <w14:solidFill>
                          <w14:schemeClr w14:val="tx1"/>
                        </w14:solidFill>
                      </w14:textFill>
                    </w:rPr>
                    <w:t>，</w:t>
                  </w:r>
                  <w:r>
                    <w:rPr>
                      <w:rFonts w:hint="eastAsia" w:ascii="Times New Roman" w:hAnsi="Times New Roman" w:eastAsia="宋体"/>
                      <w:color w:val="000000" w:themeColor="text1"/>
                      <w:sz w:val="21"/>
                      <w:szCs w:val="21"/>
                      <w:lang w:val="en-US" w:eastAsia="zh-CN"/>
                      <w14:textFill>
                        <w14:solidFill>
                          <w14:schemeClr w14:val="tx1"/>
                        </w14:solidFill>
                      </w14:textFill>
                    </w:rPr>
                    <w:t>在采取相应环境保护措施后可满足现行环境管理要求，稳定达标排放，因此满足规划环评要求</w:t>
                  </w:r>
                  <w:r>
                    <w:rPr>
                      <w:rFonts w:ascii="Times New Roman" w:hAnsi="Times New Roman" w:eastAsia="宋体"/>
                      <w:color w:val="000000" w:themeColor="text1"/>
                      <w:sz w:val="21"/>
                      <w:szCs w:val="21"/>
                      <w14:textFill>
                        <w14:solidFill>
                          <w14:schemeClr w14:val="tx1"/>
                        </w14:solidFill>
                      </w14:textFill>
                    </w:rPr>
                    <w:t>。</w:t>
                  </w:r>
                </w:p>
              </w:tc>
            </w:tr>
            <w:tr w14:paraId="397E58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50" w:type="pct"/>
                  <w:tcBorders>
                    <w:tl2br w:val="nil"/>
                    <w:tr2bl w:val="nil"/>
                  </w:tcBorders>
                  <w:shd w:val="clear" w:color="auto" w:fill="auto"/>
                  <w:vAlign w:val="center"/>
                </w:tcPr>
                <w:p w14:paraId="024DA184">
                  <w:pPr>
                    <w:pStyle w:val="71"/>
                    <w:snapToGrid w:val="0"/>
                    <w:spacing w:line="320" w:lineRule="exact"/>
                    <w:jc w:val="both"/>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环保基础设施：园区给水由金坛区域供水系统统筹供水，以长荡湖为水源；园区规划形成雨污分流的排水体制，主要沿205县道、镇东路等主干道路布置污水DN300-400管往东经提升泵站提升后送入指前污水处理厂处理，镇东路与205县道交汇处设置1#泵站，规模为1000t/d</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园区内计划于2025年底全面敷设污水收集管网，污水收集后统一送至指前镇污水处理厂处理，消除污水处理空白区；依据河道及道路合理划分排水区域，收集后分散排入周边道路现状或规划雨水管网；规划期内园区内不实行集中供热，由各企业按照环保要求、安全要求、能源消耗要求等自行供热；将高中压调压站出口端天然气中压管引入工业区，逐步构建中压网络，结合公建设置中低压调压站，中低压调压站应靠近片区负荷中心设置，保留现状205县道中压管，规划随新建道路敷设DN100-DN150中压管，地块内根据需要设置燃气调压设施。</w:t>
                  </w:r>
                </w:p>
              </w:tc>
              <w:tc>
                <w:tcPr>
                  <w:tcW w:w="2249" w:type="pct"/>
                  <w:tcBorders>
                    <w:tl2br w:val="nil"/>
                    <w:tr2bl w:val="nil"/>
                  </w:tcBorders>
                  <w:shd w:val="clear" w:color="auto" w:fill="auto"/>
                  <w:vAlign w:val="center"/>
                </w:tcPr>
                <w:p w14:paraId="07D6EDBE">
                  <w:pPr>
                    <w:pStyle w:val="71"/>
                    <w:snapToGrid w:val="0"/>
                    <w:spacing w:line="320" w:lineRule="exact"/>
                    <w:rPr>
                      <w:rFonts w:hint="default"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本项目所在地环保基础设施齐全，</w:t>
                  </w:r>
                  <w:r>
                    <w:rPr>
                      <w:rFonts w:ascii="Times New Roman" w:hAnsi="Times New Roman" w:eastAsia="宋体"/>
                      <w:color w:val="000000" w:themeColor="text1"/>
                      <w:sz w:val="21"/>
                      <w:szCs w:val="21"/>
                      <w14:textFill>
                        <w14:solidFill>
                          <w14:schemeClr w14:val="tx1"/>
                        </w14:solidFill>
                      </w14:textFill>
                    </w:rPr>
                    <w:t>给水由金坛区域供水系统统筹供水</w:t>
                  </w:r>
                  <w:r>
                    <w:rPr>
                      <w:rFonts w:hint="eastAsia" w:ascii="Times New Roman" w:hAnsi="Times New Roman" w:eastAsia="宋体"/>
                      <w:color w:val="000000" w:themeColor="text1"/>
                      <w:sz w:val="21"/>
                      <w:szCs w:val="21"/>
                      <w:lang w:val="en-US" w:eastAsia="zh-CN"/>
                      <w14:textFill>
                        <w14:solidFill>
                          <w14:schemeClr w14:val="tx1"/>
                        </w14:solidFill>
                      </w14:textFill>
                    </w:rPr>
                    <w:t>，项目所在地已雨污分流，项目废水经厂区污水处理站处理后可接管指前污水处理站处理。</w:t>
                  </w:r>
                </w:p>
              </w:tc>
            </w:tr>
            <w:tr w14:paraId="36C967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50" w:type="pct"/>
                  <w:tcBorders>
                    <w:tl2br w:val="nil"/>
                    <w:tr2bl w:val="nil"/>
                  </w:tcBorders>
                  <w:shd w:val="clear" w:color="auto" w:fill="auto"/>
                  <w:vAlign w:val="center"/>
                </w:tcPr>
                <w:p w14:paraId="558D2AB5">
                  <w:pPr>
                    <w:pStyle w:val="71"/>
                    <w:snapToGrid w:val="0"/>
                    <w:spacing w:line="320" w:lineRule="exact"/>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环境管理：园区由指前镇综合行政执法局负责企业日常环境管理工作及环境检查事宜，对园区内企业污染物排放、污染控制设施运行等方面进行监督和管理；常州市生态环境监控中心金坛分中心对企业污染源及污染治理设施的运转状况进行定期或不定期的监督性监测；入区企业均配备了环保专职或兼职人员，负责厂内生产设施及污染防治设施运行的日常管理，建立各项台账记录。</w:t>
                  </w:r>
                </w:p>
              </w:tc>
              <w:tc>
                <w:tcPr>
                  <w:tcW w:w="2249" w:type="pct"/>
                  <w:tcBorders>
                    <w:tl2br w:val="nil"/>
                    <w:tr2bl w:val="nil"/>
                  </w:tcBorders>
                  <w:shd w:val="clear" w:color="auto" w:fill="auto"/>
                  <w:vAlign w:val="center"/>
                </w:tcPr>
                <w:p w14:paraId="5B811771">
                  <w:pPr>
                    <w:pStyle w:val="71"/>
                    <w:snapToGrid w:val="0"/>
                    <w:spacing w:line="320" w:lineRule="exact"/>
                    <w:rPr>
                      <w:rFonts w:hint="eastAsia" w:ascii="Times New Roman" w:hAnsi="Times New Roman" w:eastAsia="宋体" w:cs="Times New Roman"/>
                      <w:color w:val="000000" w:themeColor="text1"/>
                      <w:kern w:val="44"/>
                      <w:sz w:val="21"/>
                      <w:szCs w:val="21"/>
                      <w:lang w:val="en-US" w:eastAsia="zh-CN" w:bidi="ar-SA"/>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本项目将严格落实环境管理要求，配备环保管理人员，严格执行环保“三同时”制度。</w:t>
                  </w:r>
                </w:p>
              </w:tc>
            </w:tr>
          </w:tbl>
          <w:p w14:paraId="1FE2FF8F">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基础设施概况</w:t>
            </w:r>
          </w:p>
          <w:p w14:paraId="014EE9F1">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（1）给水工程规划</w:t>
            </w:r>
          </w:p>
          <w:p w14:paraId="064E5A23">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园区给水由金坛区域供水系统统筹供水，以长荡湖为水源。</w:t>
            </w:r>
          </w:p>
          <w:p w14:paraId="6641BC64">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用水量预测：生活用水量按居住人口及人均综合生活用水量指标计算，工业用水量按地均指标及用地面积计算，规划期末园区用水需求量为0.193万m</w:t>
            </w:r>
            <w:r>
              <w:rPr>
                <w:rFonts w:ascii="Times New Roman" w:hAnsi="Times New Roman" w:eastAsia="宋体"/>
                <w:bCs/>
                <w:color w:val="000000" w:themeColor="text1"/>
                <w:kern w:val="0"/>
                <w:sz w:val="21"/>
                <w:szCs w:val="21"/>
                <w:vertAlign w:val="superscript"/>
                <w14:textFill>
                  <w14:solidFill>
                    <w14:schemeClr w14:val="tx1"/>
                  </w14:solidFill>
                </w14:textFill>
              </w:rPr>
              <w:t>3</w:t>
            </w:r>
            <w:r>
              <w:rPr>
                <w:rFonts w:ascii="Times New Roman" w:hAnsi="Times New Roman" w:eastAsia="宋体"/>
                <w:bCs/>
                <w:color w:val="000000" w:themeColor="text1"/>
                <w:kern w:val="0"/>
                <w:sz w:val="21"/>
                <w:szCs w:val="21"/>
                <w14:textFill>
                  <w14:solidFill>
                    <w14:schemeClr w14:val="tx1"/>
                  </w14:solidFill>
                </w14:textFill>
              </w:rPr>
              <w:t>/d。</w:t>
            </w:r>
          </w:p>
          <w:p w14:paraId="0FDBA159">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给水管网：保留沿205县道DN200-DN400区域供水管。园区管网考虑供水的安全延续性，管网以环状布置，保留现有干管，支管采用DN200。给水管一般沿园区道路西、北侧埋设。加大、加快对落后陈旧管道改造，近期重点对以前铺设的管道及材质差、经常爆管、积垢淤塞和对供水水质安全影响较大的管道进行改造，保障供水的可靠性和安全性。</w:t>
            </w:r>
          </w:p>
          <w:p w14:paraId="35216E5B">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本项目给水由区域供水</w:t>
            </w:r>
            <w:r>
              <w:rPr>
                <w:rFonts w:hint="eastAsia" w:ascii="Times New Roman" w:hAnsi="Times New Roman" w:eastAsia="宋体"/>
                <w:bCs/>
                <w:color w:val="000000" w:themeColor="text1"/>
                <w:kern w:val="0"/>
                <w:sz w:val="21"/>
                <w:szCs w:val="21"/>
                <w:lang w:eastAsia="zh-CN"/>
                <w14:textFill>
                  <w14:solidFill>
                    <w14:schemeClr w14:val="tx1"/>
                  </w14:solidFill>
                </w14:textFill>
              </w:rPr>
              <w:t>，</w:t>
            </w:r>
            <w:r>
              <w:rPr>
                <w:rFonts w:ascii="Times New Roman" w:hAnsi="Times New Roman" w:eastAsia="宋体"/>
                <w:bCs/>
                <w:color w:val="000000" w:themeColor="text1"/>
                <w:kern w:val="0"/>
                <w:sz w:val="21"/>
                <w:szCs w:val="21"/>
                <w14:textFill>
                  <w14:solidFill>
                    <w14:schemeClr w14:val="tx1"/>
                  </w14:solidFill>
                </w14:textFill>
              </w:rPr>
              <w:t>目前园区内</w:t>
            </w:r>
            <w:r>
              <w:rPr>
                <w:rFonts w:hint="eastAsia" w:ascii="Times New Roman" w:hAnsi="Times New Roman" w:eastAsia="宋体"/>
                <w:bCs/>
                <w:color w:val="000000" w:themeColor="text1"/>
                <w:kern w:val="0"/>
                <w:sz w:val="21"/>
                <w:szCs w:val="21"/>
                <w14:textFill>
                  <w14:solidFill>
                    <w14:schemeClr w14:val="tx1"/>
                  </w14:solidFill>
                </w14:textFill>
              </w:rPr>
              <w:t>给水</w:t>
            </w:r>
            <w:r>
              <w:rPr>
                <w:rFonts w:ascii="Times New Roman" w:hAnsi="Times New Roman" w:eastAsia="宋体"/>
                <w:bCs/>
                <w:color w:val="000000" w:themeColor="text1"/>
                <w:kern w:val="0"/>
                <w:sz w:val="21"/>
                <w:szCs w:val="21"/>
                <w14:textFill>
                  <w14:solidFill>
                    <w14:schemeClr w14:val="tx1"/>
                  </w14:solidFill>
                </w14:textFill>
              </w:rPr>
              <w:t>管网已基本铺设到位</w:t>
            </w: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w:t>
            </w:r>
          </w:p>
          <w:p w14:paraId="0DF7736C">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（2）污水工程规划</w:t>
            </w:r>
          </w:p>
          <w:p w14:paraId="5A9553DB">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园区规划形成雨污分流的排水体制。</w:t>
            </w:r>
          </w:p>
          <w:p w14:paraId="141598AC">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hint="eastAsia" w:ascii="Times New Roman" w:hAnsi="Times New Roman" w:eastAsia="宋体"/>
                <w:bCs/>
                <w:color w:val="000000" w:themeColor="text1"/>
                <w:kern w:val="0"/>
                <w:sz w:val="21"/>
                <w:szCs w:val="21"/>
                <w:lang w:val="en-US" w:eastAsia="zh-CN"/>
                <w14:textFill>
                  <w14:solidFill>
                    <w14:schemeClr w14:val="tx1"/>
                  </w14:solidFill>
                </w14:textFill>
              </w:rPr>
              <w:t>①</w:t>
            </w:r>
            <w:r>
              <w:rPr>
                <w:rFonts w:ascii="Times New Roman" w:hAnsi="Times New Roman" w:eastAsia="宋体"/>
                <w:bCs/>
                <w:color w:val="000000" w:themeColor="text1"/>
                <w:kern w:val="0"/>
                <w:sz w:val="21"/>
                <w:szCs w:val="21"/>
                <w14:textFill>
                  <w14:solidFill>
                    <w14:schemeClr w14:val="tx1"/>
                  </w14:solidFill>
                </w14:textFill>
              </w:rPr>
              <w:t>雨水工程</w:t>
            </w:r>
          </w:p>
          <w:p w14:paraId="1D883054">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规划雨水管网沿道路布置，雨水采用分散就近排放的原则，高地自排，低地机排。镇区雨水根据排水排涝布局就近排往周边内河，禁止直接排往外河。</w:t>
            </w:r>
          </w:p>
          <w:p w14:paraId="42F406A7">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依据河道及道路合理划分排水区域。收集后分散排入周边道路现状或规划雨水管网，规划雨水主干网管径d800-d1300，支管管径为d500-d300。设置雨水管时，其管径尽可能考虑到周边用地的排水接入，为今后发展留有余地。</w:t>
            </w:r>
          </w:p>
          <w:p w14:paraId="40248A03">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hint="eastAsia" w:ascii="Times New Roman" w:hAnsi="Times New Roman" w:eastAsia="宋体"/>
                <w:bCs/>
                <w:color w:val="000000" w:themeColor="text1"/>
                <w:kern w:val="0"/>
                <w:sz w:val="21"/>
                <w:szCs w:val="21"/>
                <w:lang w:val="en-US" w:eastAsia="zh-CN"/>
                <w14:textFill>
                  <w14:solidFill>
                    <w14:schemeClr w14:val="tx1"/>
                  </w14:solidFill>
                </w14:textFill>
              </w:rPr>
              <w:t>②</w:t>
            </w:r>
            <w:r>
              <w:rPr>
                <w:rFonts w:ascii="Times New Roman" w:hAnsi="Times New Roman" w:eastAsia="宋体"/>
                <w:bCs/>
                <w:color w:val="000000" w:themeColor="text1"/>
                <w:kern w:val="0"/>
                <w:sz w:val="21"/>
                <w:szCs w:val="21"/>
                <w14:textFill>
                  <w14:solidFill>
                    <w14:schemeClr w14:val="tx1"/>
                  </w14:solidFill>
                </w14:textFill>
              </w:rPr>
              <w:t>污水工程</w:t>
            </w:r>
          </w:p>
          <w:p w14:paraId="1FB675D1">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园区内已建企业和拟入区企业生活污水和少量生产废水均规划接入指前污水处理厂进行集中处理。工业园区内大部分企业生产废水回用，能实现企业生产废水零排放；少部分企业生产废水需接管至污水处理厂集中处理，待远景规划的区域工业污水厂建成后，园区生活污水接管进指前镇污水处理厂集中处置，生产废水接入规划的工业污水厂集中处置，实现分类收集、分质处理。按照用水量预测，确定规划末期园区污水量约为0.154万m</w:t>
            </w:r>
            <w:r>
              <w:rPr>
                <w:rFonts w:ascii="Times New Roman" w:hAnsi="Times New Roman" w:eastAsia="宋体"/>
                <w:bCs/>
                <w:color w:val="000000" w:themeColor="text1"/>
                <w:kern w:val="0"/>
                <w:sz w:val="21"/>
                <w:szCs w:val="21"/>
                <w:vertAlign w:val="superscript"/>
                <w14:textFill>
                  <w14:solidFill>
                    <w14:schemeClr w14:val="tx1"/>
                  </w14:solidFill>
                </w14:textFill>
              </w:rPr>
              <w:t>3</w:t>
            </w:r>
            <w:r>
              <w:rPr>
                <w:rFonts w:ascii="Times New Roman" w:hAnsi="Times New Roman" w:eastAsia="宋体"/>
                <w:bCs/>
                <w:color w:val="000000" w:themeColor="text1"/>
                <w:kern w:val="0"/>
                <w:sz w:val="21"/>
                <w:szCs w:val="21"/>
                <w14:textFill>
                  <w14:solidFill>
                    <w14:schemeClr w14:val="tx1"/>
                  </w14:solidFill>
                </w14:textFill>
              </w:rPr>
              <w:t>/d。</w:t>
            </w:r>
          </w:p>
          <w:p w14:paraId="6DA4D94C">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指前镇污水处理厂：社头中心村纳入指前污水处理厂服务范围，指前镇污水处理厂位于233国道以西的工业园区内，丹金溧漕河畔，用地规模2.99公顷。指前镇污水处理厂总规模近期为0.5万m</w:t>
            </w:r>
            <w:r>
              <w:rPr>
                <w:rFonts w:ascii="Times New Roman" w:hAnsi="Times New Roman" w:eastAsia="宋体"/>
                <w:bCs/>
                <w:color w:val="000000" w:themeColor="text1"/>
                <w:kern w:val="0"/>
                <w:sz w:val="21"/>
                <w:szCs w:val="21"/>
                <w:vertAlign w:val="superscript"/>
                <w14:textFill>
                  <w14:solidFill>
                    <w14:schemeClr w14:val="tx1"/>
                  </w14:solidFill>
                </w14:textFill>
              </w:rPr>
              <w:t>3</w:t>
            </w:r>
            <w:r>
              <w:rPr>
                <w:rFonts w:ascii="Times New Roman" w:hAnsi="Times New Roman" w:eastAsia="宋体"/>
                <w:bCs/>
                <w:color w:val="000000" w:themeColor="text1"/>
                <w:kern w:val="0"/>
                <w:sz w:val="21"/>
                <w:szCs w:val="21"/>
                <w14:textFill>
                  <w14:solidFill>
                    <w14:schemeClr w14:val="tx1"/>
                  </w14:solidFill>
                </w14:textFill>
              </w:rPr>
              <w:t>/d，远期为1万m</w:t>
            </w:r>
            <w:r>
              <w:rPr>
                <w:rFonts w:ascii="Times New Roman" w:hAnsi="Times New Roman" w:eastAsia="宋体"/>
                <w:bCs/>
                <w:color w:val="000000" w:themeColor="text1"/>
                <w:kern w:val="0"/>
                <w:sz w:val="21"/>
                <w:szCs w:val="21"/>
                <w:vertAlign w:val="superscript"/>
                <w14:textFill>
                  <w14:solidFill>
                    <w14:schemeClr w14:val="tx1"/>
                  </w14:solidFill>
                </w14:textFill>
              </w:rPr>
              <w:t>3</w:t>
            </w:r>
            <w:r>
              <w:rPr>
                <w:rFonts w:ascii="Times New Roman" w:hAnsi="Times New Roman" w:eastAsia="宋体"/>
                <w:bCs/>
                <w:color w:val="000000" w:themeColor="text1"/>
                <w:kern w:val="0"/>
                <w:sz w:val="21"/>
                <w:szCs w:val="21"/>
                <w14:textFill>
                  <w14:solidFill>
                    <w14:schemeClr w14:val="tx1"/>
                  </w14:solidFill>
                </w14:textFill>
              </w:rPr>
              <w:t>/d。</w:t>
            </w:r>
          </w:p>
          <w:p w14:paraId="6A512C6C">
            <w:pPr>
              <w:autoSpaceDE w:val="0"/>
              <w:autoSpaceDN w:val="0"/>
              <w:adjustRightInd w:val="0"/>
              <w:snapToGrid w:val="0"/>
              <w:spacing w:line="360" w:lineRule="auto"/>
              <w:ind w:firstLine="420" w:firstLineChars="200"/>
              <w:rPr>
                <w:rFonts w:ascii="Times New Roman" w:hAnsi="Times New Roman" w:eastAsia="宋体"/>
                <w:bCs/>
                <w:color w:val="000000" w:themeColor="text1"/>
                <w:kern w:val="0"/>
                <w:sz w:val="21"/>
                <w:szCs w:val="21"/>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污水管网：主要沿205县道、镇东路等主干道路布置污水DN300-400管往东经提升泵站提升后送入指前污水处理厂处理。污水管沿园区道路东、南侧布置，埋设于车行道下方，埋深不低于0.7米。镇东路与205县道交汇处设置1#泵站，规模为1000t/d。园区内计划于2025年底全面敷设污水收集管网，污水收集后统一送至指前镇污水处理厂处理，消除污水处理空白区。</w:t>
            </w:r>
          </w:p>
          <w:p w14:paraId="0B35A0DC">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pPr>
            <w:r>
              <w:rPr>
                <w:rFonts w:ascii="Times New Roman" w:hAnsi="Times New Roman" w:eastAsia="宋体"/>
                <w:bCs/>
                <w:color w:val="000000" w:themeColor="text1"/>
                <w:kern w:val="0"/>
                <w:sz w:val="21"/>
                <w:szCs w:val="21"/>
                <w14:textFill>
                  <w14:solidFill>
                    <w14:schemeClr w14:val="tx1"/>
                  </w14:solidFill>
                </w14:textFill>
              </w:rPr>
              <w:t>接管要求：工业污水应经预处理达到接管标准后接入城镇管网</w:t>
            </w:r>
            <w:r>
              <w:rPr>
                <w:rFonts w:hint="eastAsia" w:ascii="Times New Roman" w:hAnsi="Times New Roman" w:eastAsia="宋体" w:cs="宋体"/>
                <w:b w:val="0"/>
                <w:bCs w:val="0"/>
                <w:smallCaps w:val="0"/>
                <w:color w:val="000000" w:themeColor="text1"/>
                <w:kern w:val="0"/>
                <w:sz w:val="21"/>
                <w:szCs w:val="21"/>
                <w:highlight w:val="none"/>
                <w:lang w:eastAsia="zh-CN"/>
                <w14:textFill>
                  <w14:solidFill>
                    <w14:schemeClr w14:val="tx1"/>
                  </w14:solidFill>
                </w14:textFill>
              </w:rPr>
              <w:t>。</w:t>
            </w:r>
          </w:p>
          <w:p w14:paraId="4A62995A">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b/>
                <w:color w:val="000000" w:themeColor="text1"/>
                <w:kern w:val="0"/>
                <w:sz w:val="21"/>
                <w:szCs w:val="21"/>
                <w14:textFill>
                  <w14:solidFill>
                    <w14:schemeClr w14:val="tx1"/>
                  </w14:solidFill>
                </w14:textFill>
              </w:rPr>
              <w:t>本项目位于常州市金坛区指前镇社兴东路，处于镇东路南侧，规划该道路建设污水管网连接社头河指前镇区，</w:t>
            </w:r>
            <w:r>
              <w:rPr>
                <w:rFonts w:hint="eastAsia" w:ascii="Times New Roman" w:hAnsi="Times New Roman" w:eastAsia="宋体"/>
                <w:b/>
                <w:color w:val="000000" w:themeColor="text1"/>
                <w:kern w:val="0"/>
                <w:sz w:val="21"/>
                <w:szCs w:val="21"/>
                <w14:textFill>
                  <w14:solidFill>
                    <w14:schemeClr w14:val="tx1"/>
                  </w14:solidFill>
                </w14:textFill>
              </w:rPr>
              <w:t>现状市政</w:t>
            </w:r>
            <w:r>
              <w:rPr>
                <w:rFonts w:ascii="Times New Roman" w:hAnsi="Times New Roman" w:eastAsia="宋体"/>
                <w:b/>
                <w:color w:val="000000" w:themeColor="text1"/>
                <w:kern w:val="0"/>
                <w:sz w:val="21"/>
                <w:szCs w:val="21"/>
                <w14:textFill>
                  <w14:solidFill>
                    <w14:schemeClr w14:val="tx1"/>
                  </w14:solidFill>
                </w14:textFill>
              </w:rPr>
              <w:t>污水管网</w:t>
            </w:r>
            <w:r>
              <w:rPr>
                <w:rFonts w:hint="eastAsia"/>
                <w:b/>
                <w:color w:val="000000" w:themeColor="text1"/>
                <w:kern w:val="0"/>
                <w:sz w:val="21"/>
                <w:szCs w:val="21"/>
                <w:lang w:val="en-US" w:eastAsia="zh-CN"/>
                <w14:textFill>
                  <w14:solidFill>
                    <w14:schemeClr w14:val="tx1"/>
                  </w14:solidFill>
                </w14:textFill>
              </w:rPr>
              <w:t>已</w:t>
            </w:r>
            <w:r>
              <w:rPr>
                <w:rFonts w:ascii="Times New Roman" w:hAnsi="Times New Roman" w:eastAsia="宋体"/>
                <w:b/>
                <w:color w:val="000000" w:themeColor="text1"/>
                <w:kern w:val="0"/>
                <w:sz w:val="21"/>
                <w:szCs w:val="21"/>
                <w14:textFill>
                  <w14:solidFill>
                    <w14:schemeClr w14:val="tx1"/>
                  </w14:solidFill>
                </w14:textFill>
              </w:rPr>
              <w:t>建设完成，</w:t>
            </w:r>
            <w:r>
              <w:rPr>
                <w:rFonts w:hint="eastAsia"/>
                <w:b/>
                <w:color w:val="000000" w:themeColor="text1"/>
                <w:kern w:val="0"/>
                <w:sz w:val="21"/>
                <w:szCs w:val="21"/>
                <w:lang w:val="en-US" w:eastAsia="zh-CN"/>
                <w14:textFill>
                  <w14:solidFill>
                    <w14:schemeClr w14:val="tx1"/>
                  </w14:solidFill>
                </w14:textFill>
              </w:rPr>
              <w:t>项目废水经厂区污水处理厂处理后可接管至指前污水处理厂处理</w:t>
            </w:r>
            <w:r>
              <w:rPr>
                <w:rFonts w:hint="eastAsia"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t>。</w:t>
            </w:r>
          </w:p>
          <w:p w14:paraId="4E341A68">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default" w:ascii="Times New Roman" w:hAnsi="Times New Roman" w:eastAsia="宋体"/>
                <w:b/>
                <w:bCs/>
                <w:smallCaps w:val="0"/>
                <w:color w:val="000000" w:themeColor="text1"/>
                <w:sz w:val="21"/>
                <w:szCs w:val="21"/>
                <w:highlight w:val="none"/>
                <w:lang w:val="en-US" w:eastAsia="zh-CN"/>
                <w14:textFill>
                  <w14:solidFill>
                    <w14:schemeClr w14:val="tx1"/>
                  </w14:solidFill>
                </w14:textFill>
              </w:rPr>
            </w:pPr>
            <w:r>
              <w:rPr>
                <w:rFonts w:hint="eastAsia"/>
                <w:b/>
                <w:bCs/>
                <w:smallCaps w:val="0"/>
                <w:color w:val="000000" w:themeColor="text1"/>
                <w:sz w:val="21"/>
                <w:szCs w:val="21"/>
                <w:highlight w:val="none"/>
                <w:lang w:val="en-US" w:eastAsia="zh-CN"/>
                <w14:textFill>
                  <w14:solidFill>
                    <w14:schemeClr w14:val="tx1"/>
                  </w14:solidFill>
                </w14:textFill>
              </w:rPr>
              <w:t>3</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、国土空间总体规划相符性分析</w:t>
            </w:r>
          </w:p>
          <w:p w14:paraId="4183392E">
            <w:pPr>
              <w:autoSpaceDE w:val="0"/>
              <w:autoSpaceDN w:val="0"/>
              <w:adjustRightInd w:val="0"/>
              <w:snapToGrid w:val="0"/>
              <w:spacing w:line="360" w:lineRule="auto"/>
              <w:ind w:firstLine="420" w:firstLineChars="200"/>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根据《自然资源部关于在全国开展“三区三线”划定工作的函》（自然资函〔202</w:t>
            </w:r>
            <w:r>
              <w:rPr>
                <w:rFonts w:hint="eastAsia" w:ascii="Times New Roman" w:hAnsi="Times New Roman" w:eastAsia="宋体"/>
                <w:color w:val="000000" w:themeColor="text1"/>
                <w:sz w:val="21"/>
                <w:szCs w:val="21"/>
                <w:lang w:val="en-US" w:eastAsia="zh-CN"/>
                <w14:textFill>
                  <w14:solidFill>
                    <w14:schemeClr w14:val="tx1"/>
                  </w14:solidFill>
                </w14:textFill>
              </w:rPr>
              <w:t>2</w:t>
            </w:r>
            <w:r>
              <w:rPr>
                <w:rFonts w:hint="eastAsia" w:ascii="Times New Roman" w:hAnsi="Times New Roman" w:eastAsia="宋体"/>
                <w:color w:val="000000" w:themeColor="text1"/>
                <w:sz w:val="21"/>
                <w:szCs w:val="21"/>
                <w14:textFill>
                  <w14:solidFill>
                    <w14:schemeClr w14:val="tx1"/>
                  </w14:solidFill>
                </w14:textFill>
              </w:rPr>
              <w:t>〕47号）以及《江苏省国土空间规划（2021-2035年）》，文件提出创建全国生态文明试验区，以底线约束和安全韧性为前提，优先保障生态、农业、安全等保护性空间。按照耕地和永久基本农田、生态保护红线、城镇开发边界的优先序，统筹划定“三区三线”：到2035年，江苏省耕地保有量不低于5977万亩，其中永久基本农田保护面积不低于5344万亩；生态保护红线不低于1.82万平方千米，其中海洋生态保护红线不低于0.95万平方千米；城镇开发边界扩展倍数控制在基于2020年城镇建设用地规模的1.3倍以内。加强自然资源整体保护与高效利用，统筹安排防灾减灾救灾和重大突发公共事件的应急空间，为保障粮食安全、生态安全、能源安全提供了基础保障。</w:t>
            </w:r>
          </w:p>
          <w:p w14:paraId="02F9325E">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pPr>
            <w:r>
              <w:rPr>
                <w:rFonts w:hint="eastAsia"/>
                <w:b/>
                <w:bCs/>
                <w:smallCaps w:val="0"/>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与《常州市国土空间总体规划（2021-2035年）》相符性分析：</w:t>
            </w:r>
          </w:p>
          <w:p w14:paraId="5DD052B4">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（1）</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规划范围</w:t>
            </w:r>
          </w:p>
          <w:p w14:paraId="5FD8151E">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规划范围为常州市行政管辖范围，分为市域、市辖区和中心城区三个层次。</w:t>
            </w:r>
          </w:p>
          <w:p w14:paraId="6C8E8170">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市域</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常州市行政管辖范围，面积约4372平方公里。</w:t>
            </w:r>
          </w:p>
          <w:p w14:paraId="301DF220">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市辖区</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包括金坛区、武进区、新北区、天宁区、钟楼区和常州经济开发区，面积约2838平方公里。</w:t>
            </w:r>
          </w:p>
          <w:p w14:paraId="10ADD270">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中心城区</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市辖区内规划的集中建设连绵区，面积约724平方公里。</w:t>
            </w:r>
          </w:p>
          <w:p w14:paraId="641F5B52">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（2）</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国土空间规划分区</w:t>
            </w:r>
          </w:p>
          <w:p w14:paraId="1EBA6F3B">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三区三线</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根据城镇空间、农业空间、生态空间三种类型的空间，分别对应划定的城镇开发边界、永久基本农田保护红线、生态保护红线三条控制线。</w:t>
            </w:r>
          </w:p>
          <w:p w14:paraId="60265447">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永久基本农田</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常州市永久基本农田保护任务为114.9600万亩，市域划定永久基本农田112.9589万亩，占</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市域</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面积的17.22%。</w:t>
            </w:r>
          </w:p>
          <w:p w14:paraId="16EBDEC8">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生态保护红线</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市域划定生态保护红线346.10平方公里</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占市域面积的7.92%。</w:t>
            </w:r>
          </w:p>
          <w:p w14:paraId="39517959">
            <w:pPr>
              <w:keepLines/>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城镇开发边界</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市域划定城镇开发边界925.05平方公里</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占市域面积的21.16%。其中，城镇集中建设区911.38平方公里</w:t>
            </w:r>
            <w:r>
              <w:rPr>
                <w:rFonts w:hint="eastAsia"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，城镇弹</w:t>
            </w:r>
            <w:r>
              <w:rPr>
                <w:rFonts w:hint="default" w:ascii="Times New Roman" w:hAnsi="Times New Roman" w:eastAsia="宋体"/>
                <w:b w:val="0"/>
                <w:bCs w:val="0"/>
                <w:smallCaps w:val="0"/>
                <w:color w:val="000000" w:themeColor="text1"/>
                <w:sz w:val="21"/>
                <w:szCs w:val="21"/>
                <w:highlight w:val="none"/>
                <w:lang w:val="en-US" w:eastAsia="zh-CN"/>
                <w14:textFill>
                  <w14:solidFill>
                    <w14:schemeClr w14:val="tx1"/>
                  </w14:solidFill>
                </w14:textFill>
              </w:rPr>
              <w:t>性发展区13.67平方公里。</w:t>
            </w:r>
          </w:p>
          <w:p w14:paraId="1355091C">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pPr>
            <w:r>
              <w:rPr>
                <w:rFonts w:hint="eastAsia"/>
                <w:b/>
                <w:bCs/>
                <w:smallCaps w:val="0"/>
                <w:color w:val="000000" w:themeColor="text1"/>
                <w:sz w:val="21"/>
                <w:szCs w:val="21"/>
                <w:highlight w:val="none"/>
                <w:lang w:val="en-US" w:eastAsia="zh-CN"/>
                <w14:textFill>
                  <w14:solidFill>
                    <w14:schemeClr w14:val="tx1"/>
                  </w14:solidFill>
                </w14:textFill>
              </w:rPr>
              <w:t>（2）</w:t>
            </w: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与《常州市金坛区国土空间总体规划（2020-2035年）》相符性分析：</w:t>
            </w:r>
          </w:p>
          <w:p w14:paraId="44282CB3">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金坛区全域面积975.7平方公里，现辖6个镇、3个街道、1个省级经济开发区、1个省级高新技术开发区，2个省级旅游度假区，常住人口56.35万人，是全国综合实力百强区、科技创新百强区、投资潜力百强区。</w:t>
            </w:r>
          </w:p>
          <w:p w14:paraId="2809E723">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发展目标</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常州西部新城区、发展重要增长极。</w:t>
            </w:r>
          </w:p>
          <w:p w14:paraId="1AAE03D5">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发展策略</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积极融入国家和全省战略布局，加强与区域交通网络互联互通，建设江苏中轴枢纽节点城市；区域协同带动产业发展，共建宁杭生态经济带，深度融入南京都市圈，全方位接轨常州。</w:t>
            </w:r>
          </w:p>
          <w:p w14:paraId="4347434C">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功能结构</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一轴三带、两城四区。</w:t>
            </w:r>
          </w:p>
          <w:p w14:paraId="26B7AE0A">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一轴：城乡联动发展轴；</w:t>
            </w:r>
          </w:p>
          <w:p w14:paraId="45F09893">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三带：茅山旅游生态带、长荡湖旅游生态带、圩田湿地旅游生态带；</w:t>
            </w:r>
          </w:p>
          <w:p w14:paraId="74895EFC">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两城：金沙老城、滨湖新城；</w:t>
            </w:r>
          </w:p>
          <w:p w14:paraId="213624EB">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四区：金坛经开区、华罗庚高新区、茅山旅游度假区、长荡湖旅游度假区。</w:t>
            </w:r>
          </w:p>
          <w:p w14:paraId="40297260">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交通体系</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贯通区域南北通道，打造</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十字</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交通枢纽城市。加强南北通道建设，对外交通格局由</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承东启西</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向与</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沟通南北</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并重转变。规划形成十字形的铁路网、两纵两横高速公路网。</w:t>
            </w:r>
          </w:p>
          <w:p w14:paraId="17DD1BE6">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加速融入常州，构建</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高效</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绿色</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品质</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的城市交通系统。在井字型高速公路基础上，重点向东构筑与主城区联系的快速通道；完善</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七横七纵</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干路网。</w:t>
            </w:r>
          </w:p>
          <w:p w14:paraId="6E4C4B32">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生态安全格局</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一环四横六纵，四核多节点交通体系。</w:t>
            </w:r>
          </w:p>
          <w:p w14:paraId="0C9263FD">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一环：由新丹金溧漕河、钱资湖及东河和尧塘河形成的新城生态环；</w:t>
            </w:r>
          </w:p>
          <w:p w14:paraId="29F36D30">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四横：沿江高速、S340、通济河、薛埠河；</w:t>
            </w:r>
          </w:p>
          <w:p w14:paraId="347B9435">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六纵：扬溧高速、常溧高速、S241、S240、丹金溧漕河、新孟河；</w:t>
            </w:r>
          </w:p>
          <w:p w14:paraId="578721B2">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四核：茅山和茅东森林公园、长荡湖、钱资湖、天荒湖；</w:t>
            </w:r>
          </w:p>
          <w:p w14:paraId="126C968B">
            <w:pPr>
              <w:spacing w:line="360" w:lineRule="auto"/>
              <w:ind w:left="-42" w:firstLine="455" w:firstLineChars="217"/>
              <w:rPr>
                <w:rFonts w:hint="eastAsia" w:ascii="Times New Roman" w:hAnsi="Times New Roman" w:eastAsia="宋体"/>
                <w:color w:val="000000" w:themeColor="text1"/>
                <w:sz w:val="2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多节点：河流交汇处、河流入湖处、道路互通</w:t>
            </w:r>
            <w:r>
              <w:rPr>
                <w:rFonts w:hint="eastAsia" w:ascii="Times New Roman" w:hAnsi="Times New Roman" w:eastAsia="宋体"/>
                <w:color w:val="000000" w:themeColor="text1"/>
                <w:sz w:val="21"/>
                <w:szCs w:val="21"/>
                <w:lang w:eastAsia="zh-CN"/>
                <w14:textFill>
                  <w14:solidFill>
                    <w14:schemeClr w14:val="tx1"/>
                  </w14:solidFill>
                </w14:textFill>
              </w:rPr>
              <w:t>。</w:t>
            </w:r>
          </w:p>
          <w:p w14:paraId="0F3CD3A0">
            <w:pPr>
              <w:spacing w:line="360" w:lineRule="auto"/>
              <w:ind w:left="-42" w:firstLine="455" w:firstLineChars="217"/>
              <w:rPr>
                <w:rFonts w:hint="eastAsia" w:ascii="Times New Roman" w:hAnsi="Times New Roman" w:eastAsia="宋体"/>
                <w:color w:val="000000" w:themeColor="text1"/>
                <w:sz w:val="2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绿地与开敞空间</w:t>
            </w:r>
            <w:r>
              <w:rPr>
                <w:rFonts w:hint="eastAsia" w:ascii="Times New Roman" w:hAnsi="Times New Roman" w:eastAsia="宋体"/>
                <w:color w:val="000000" w:themeColor="text1"/>
                <w:sz w:val="21"/>
                <w:szCs w:val="21"/>
                <w:lang w:eastAsia="zh-CN"/>
                <w14:textFill>
                  <w14:solidFill>
                    <w14:schemeClr w14:val="tx1"/>
                  </w14:solidFill>
                </w14:textFill>
              </w:rPr>
              <w:t>：</w:t>
            </w:r>
            <w:r>
              <w:rPr>
                <w:rFonts w:ascii="Times New Roman" w:hAnsi="Times New Roman" w:eastAsia="宋体"/>
                <w:color w:val="000000" w:themeColor="text1"/>
                <w:sz w:val="21"/>
                <w:szCs w:val="21"/>
                <w14:textFill>
                  <w14:solidFill>
                    <w14:schemeClr w14:val="tx1"/>
                  </w14:solidFill>
                </w14:textFill>
              </w:rPr>
              <w:t>一脉、一环、一核、多园、多廊</w:t>
            </w:r>
            <w:r>
              <w:rPr>
                <w:rFonts w:hint="eastAsia" w:ascii="Times New Roman" w:hAnsi="Times New Roman" w:eastAsia="宋体"/>
                <w:color w:val="000000" w:themeColor="text1"/>
                <w:sz w:val="21"/>
                <w:szCs w:val="21"/>
                <w:lang w:eastAsia="zh-CN"/>
                <w14:textFill>
                  <w14:solidFill>
                    <w14:schemeClr w14:val="tx1"/>
                  </w14:solidFill>
                </w14:textFill>
              </w:rPr>
              <w:t>。</w:t>
            </w:r>
          </w:p>
          <w:p w14:paraId="0640147F">
            <w:pPr>
              <w:spacing w:line="360" w:lineRule="auto"/>
              <w:ind w:left="-42" w:firstLine="455" w:firstLineChars="217"/>
              <w:rPr>
                <w:rFonts w:hint="eastAsia" w:ascii="Times New Roman" w:hAnsi="Times New Roman" w:eastAsia="宋体"/>
                <w:color w:val="000000" w:themeColor="text1"/>
                <w:sz w:val="2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一脉：湿地公园—丹金溧漕河（局部）—下塘河—岸头河形成纵贯整个金坛城区的水脉</w:t>
            </w:r>
            <w:r>
              <w:rPr>
                <w:rFonts w:hint="eastAsia" w:ascii="Times New Roman" w:hAnsi="Times New Roman" w:eastAsia="宋体"/>
                <w:color w:val="000000" w:themeColor="text1"/>
                <w:sz w:val="21"/>
                <w:szCs w:val="21"/>
                <w:lang w:eastAsia="zh-CN"/>
                <w14:textFill>
                  <w14:solidFill>
                    <w14:schemeClr w14:val="tx1"/>
                  </w14:solidFill>
                </w14:textFill>
              </w:rPr>
              <w:t>；</w:t>
            </w:r>
          </w:p>
          <w:p w14:paraId="4061607E">
            <w:pPr>
              <w:spacing w:line="360" w:lineRule="auto"/>
              <w:ind w:left="-42" w:firstLine="455" w:firstLineChars="217"/>
              <w:rPr>
                <w:rFonts w:hint="eastAsia" w:ascii="Times New Roman" w:hAnsi="Times New Roman" w:eastAsia="宋体"/>
                <w:color w:val="000000" w:themeColor="text1"/>
                <w:sz w:val="2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一环：由老丹金溧漕河、钱资湖、钱资东河、尧塘河形成的具有城市历史地域特色的水环，兼具城市休闲、生态涵养功能</w:t>
            </w:r>
            <w:r>
              <w:rPr>
                <w:rFonts w:hint="eastAsia" w:ascii="Times New Roman" w:hAnsi="Times New Roman" w:eastAsia="宋体"/>
                <w:color w:val="000000" w:themeColor="text1"/>
                <w:sz w:val="21"/>
                <w:szCs w:val="21"/>
                <w:lang w:eastAsia="zh-CN"/>
                <w14:textFill>
                  <w14:solidFill>
                    <w14:schemeClr w14:val="tx1"/>
                  </w14:solidFill>
                </w14:textFill>
              </w:rPr>
              <w:t>；</w:t>
            </w:r>
          </w:p>
          <w:p w14:paraId="6B2ACE0D">
            <w:pPr>
              <w:spacing w:line="360" w:lineRule="auto"/>
              <w:ind w:left="-42" w:firstLine="455" w:firstLineChars="217"/>
              <w:rPr>
                <w:rFonts w:hint="eastAsia" w:ascii="Times New Roman" w:hAnsi="Times New Roman" w:eastAsia="宋体"/>
                <w:color w:val="000000" w:themeColor="text1"/>
                <w:sz w:val="2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一核：多个重要城市公园</w:t>
            </w:r>
            <w:r>
              <w:rPr>
                <w:rFonts w:hint="eastAsia" w:ascii="Times New Roman" w:hAnsi="Times New Roman" w:eastAsia="宋体"/>
                <w:color w:val="000000" w:themeColor="text1"/>
                <w:sz w:val="21"/>
                <w:szCs w:val="21"/>
                <w:lang w:eastAsia="zh-CN"/>
                <w14:textFill>
                  <w14:solidFill>
                    <w14:schemeClr w14:val="tx1"/>
                  </w14:solidFill>
                </w14:textFill>
              </w:rPr>
              <w:t>；</w:t>
            </w:r>
          </w:p>
          <w:p w14:paraId="7B72CF85">
            <w:pPr>
              <w:spacing w:line="360" w:lineRule="auto"/>
              <w:ind w:left="-42" w:firstLine="455" w:firstLineChars="217"/>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多廊：依托大柘荡、新丹金溧漕河、常合高速（江东大道）、银湖路（阜溧高速）形成。</w:t>
            </w:r>
          </w:p>
          <w:p w14:paraId="08631BBF">
            <w:pPr>
              <w:autoSpaceDE w:val="0"/>
              <w:autoSpaceDN w:val="0"/>
              <w:adjustRightInd w:val="0"/>
              <w:snapToGrid w:val="0"/>
              <w:spacing w:line="360" w:lineRule="auto"/>
              <w:ind w:firstLine="422" w:firstLineChars="200"/>
              <w:rPr>
                <w:rFonts w:ascii="Times New Roman" w:hAnsi="Times New Roman" w:eastAsia="宋体"/>
                <w:b/>
                <w:bCs/>
                <w:color w:val="000000" w:themeColor="text1"/>
                <w:sz w:val="21"/>
                <w:szCs w:val="21"/>
                <w14:textFill>
                  <w14:solidFill>
                    <w14:schemeClr w14:val="tx1"/>
                  </w14:solidFill>
                </w14:textFill>
              </w:rPr>
            </w:pPr>
            <w:r>
              <w:rPr>
                <w:rFonts w:hint="eastAsia" w:ascii="Times New Roman" w:hAnsi="Times New Roman" w:eastAsia="宋体"/>
                <w:b/>
                <w:bCs/>
                <w:color w:val="000000" w:themeColor="text1"/>
                <w:sz w:val="21"/>
                <w:szCs w:val="21"/>
                <w14:textFill>
                  <w14:solidFill>
                    <w14:schemeClr w14:val="tx1"/>
                  </w14:solidFill>
                </w14:textFill>
              </w:rPr>
              <w:t>根据《江苏省2023年度生态环境分区管控动态更新成果公告》附件2常州市生态环境管控单元更新情况-附表1常州市优先保护单元更新情况，本项目不在金坛区的11个优先保护单元</w:t>
            </w:r>
            <w:r>
              <w:rPr>
                <w:rFonts w:hint="eastAsia" w:ascii="Times New Roman" w:hAnsi="Times New Roman" w:eastAsia="宋体"/>
                <w:b/>
                <w:bCs/>
                <w:color w:val="000000" w:themeColor="text1"/>
                <w:sz w:val="21"/>
                <w:szCs w:val="21"/>
                <w:lang w:eastAsia="zh-CN"/>
                <w14:textFill>
                  <w14:solidFill>
                    <w14:schemeClr w14:val="tx1"/>
                  </w14:solidFill>
                </w14:textFill>
              </w:rPr>
              <w:t>（</w:t>
            </w:r>
            <w:r>
              <w:rPr>
                <w:rFonts w:hint="eastAsia" w:ascii="Times New Roman" w:hAnsi="Times New Roman" w:eastAsia="宋体"/>
                <w:b/>
                <w:bCs/>
                <w:color w:val="000000" w:themeColor="text1"/>
                <w:sz w:val="21"/>
                <w:szCs w:val="21"/>
                <w14:textFill>
                  <w14:solidFill>
                    <w14:schemeClr w14:val="tx1"/>
                  </w14:solidFill>
                </w14:textFill>
              </w:rPr>
              <w:t>2023年版</w:t>
            </w:r>
            <w:r>
              <w:rPr>
                <w:rFonts w:hint="eastAsia" w:ascii="Times New Roman" w:hAnsi="Times New Roman" w:eastAsia="宋体"/>
                <w:b/>
                <w:bCs/>
                <w:color w:val="000000" w:themeColor="text1"/>
                <w:sz w:val="21"/>
                <w:szCs w:val="21"/>
                <w:lang w:eastAsia="zh-CN"/>
                <w14:textFill>
                  <w14:solidFill>
                    <w14:schemeClr w14:val="tx1"/>
                  </w14:solidFill>
                </w14:textFill>
              </w:rPr>
              <w:t>）</w:t>
            </w:r>
            <w:r>
              <w:rPr>
                <w:rFonts w:hint="eastAsia" w:ascii="Times New Roman" w:hAnsi="Times New Roman" w:eastAsia="宋体"/>
                <w:b/>
                <w:bCs/>
                <w:color w:val="000000" w:themeColor="text1"/>
                <w:sz w:val="21"/>
                <w:szCs w:val="21"/>
                <w14:textFill>
                  <w14:solidFill>
                    <w14:schemeClr w14:val="tx1"/>
                  </w14:solidFill>
                </w14:textFill>
              </w:rPr>
              <w:t>范围内。本项目最近的优先保护单元-丹金溧漕河（金坛区）洪水调蓄区</w:t>
            </w:r>
            <w:r>
              <w:rPr>
                <w:rFonts w:hint="eastAsia" w:ascii="Times New Roman" w:hAnsi="Times New Roman" w:eastAsia="宋体"/>
                <w:b/>
                <w:bCs/>
                <w:color w:val="000000" w:themeColor="text1"/>
                <w:sz w:val="21"/>
                <w:szCs w:val="21"/>
                <w:lang w:val="en-US" w:eastAsia="zh-CN"/>
                <w14:textFill>
                  <w14:solidFill>
                    <w14:schemeClr w14:val="tx1"/>
                  </w14:solidFill>
                </w14:textFill>
              </w:rPr>
              <w:t>距离</w:t>
            </w:r>
            <w:r>
              <w:rPr>
                <w:rFonts w:hint="eastAsia" w:ascii="Times New Roman" w:hAnsi="Times New Roman" w:eastAsia="宋体"/>
                <w:b/>
                <w:bCs/>
                <w:color w:val="000000" w:themeColor="text1"/>
                <w:sz w:val="21"/>
                <w:szCs w:val="21"/>
                <w14:textFill>
                  <w14:solidFill>
                    <w14:schemeClr w14:val="tx1"/>
                  </w14:solidFill>
                </w14:textFill>
              </w:rPr>
              <w:t>为</w:t>
            </w:r>
            <w:r>
              <w:rPr>
                <w:rFonts w:hint="eastAsia" w:ascii="Times New Roman" w:hAnsi="Times New Roman" w:eastAsia="宋体"/>
                <w:b/>
                <w:bCs/>
                <w:color w:val="000000" w:themeColor="text1"/>
                <w:sz w:val="21"/>
                <w:szCs w:val="21"/>
                <w:lang w:val="en-US" w:eastAsia="zh-CN"/>
                <w14:textFill>
                  <w14:solidFill>
                    <w14:schemeClr w14:val="tx1"/>
                  </w14:solidFill>
                </w14:textFill>
              </w:rPr>
              <w:t>3</w:t>
            </w:r>
            <w:r>
              <w:rPr>
                <w:rFonts w:hint="eastAsia" w:ascii="Times New Roman" w:hAnsi="Times New Roman" w:eastAsia="宋体"/>
                <w:b/>
                <w:bCs/>
                <w:color w:val="000000" w:themeColor="text1"/>
                <w:sz w:val="21"/>
                <w:szCs w:val="21"/>
                <w14:textFill>
                  <w14:solidFill>
                    <w14:schemeClr w14:val="tx1"/>
                  </w14:solidFill>
                </w14:textFill>
              </w:rPr>
              <w:t>km。</w:t>
            </w:r>
          </w:p>
          <w:p w14:paraId="07277519">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bCs/>
                <w:smallCaps w:val="0"/>
                <w:color w:val="000000" w:themeColor="text1"/>
                <w:sz w:val="21"/>
                <w:szCs w:val="21"/>
                <w:highlight w:val="none"/>
                <w:lang w:val="en-US" w:eastAsia="zh-CN"/>
                <w14:textFill>
                  <w14:solidFill>
                    <w14:schemeClr w14:val="tx1"/>
                  </w14:solidFill>
                </w14:textFill>
              </w:rPr>
              <w:t>根据《常州市国土空间总体规划（2021-2035年）》（详见附图8）可知，本项目不占用耕地和永久基本农田，不涉及生态保护红线，因此本项目满足国土空间规划及“三区三线”要求。</w:t>
            </w:r>
          </w:p>
          <w:p w14:paraId="4147E28D">
            <w:pPr>
              <w:keepLines/>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hint="default" w:ascii="Times New Roman" w:hAnsi="Times New Roman" w:eastAsia="宋体" w:cs="宋体"/>
                <w:b/>
                <w:bCs/>
                <w:smallCaps w:val="0"/>
                <w:color w:val="000000" w:themeColor="text1"/>
                <w:kern w:val="0"/>
                <w:sz w:val="21"/>
                <w:szCs w:val="21"/>
                <w:highlight w:val="none"/>
                <w:lang w:val="en-US" w:eastAsia="zh-CN"/>
                <w14:textFill>
                  <w14:solidFill>
                    <w14:schemeClr w14:val="tx1"/>
                  </w14:solidFill>
                </w14:textFill>
              </w:rPr>
            </w:pPr>
          </w:p>
        </w:tc>
      </w:tr>
      <w:tr w14:paraId="2DEB8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604" w:type="dxa"/>
            <w:vAlign w:val="center"/>
          </w:tcPr>
          <w:p w14:paraId="34D7677A">
            <w:pPr>
              <w:autoSpaceDE w:val="0"/>
              <w:autoSpaceDN w:val="0"/>
              <w:adjustRightInd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其他符合性分析</w:t>
            </w:r>
          </w:p>
        </w:tc>
        <w:tc>
          <w:tcPr>
            <w:tcW w:w="7266" w:type="dxa"/>
            <w:gridSpan w:val="4"/>
            <w:vAlign w:val="center"/>
          </w:tcPr>
          <w:p w14:paraId="6225F089">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1</w:t>
            </w:r>
            <w:r>
              <w:rPr>
                <w:rFonts w:hint="eastAsia" w:ascii="Times New Roman" w:hAnsi="Times New Roman" w:eastAsia="宋体" w:cs="宋体"/>
                <w:b/>
                <w:bCs/>
                <w:color w:val="000000" w:themeColor="text1"/>
                <w:sz w:val="21"/>
                <w:szCs w:val="21"/>
                <w:highlight w:val="none"/>
                <w14:textFill>
                  <w14:solidFill>
                    <w14:schemeClr w14:val="tx1"/>
                  </w14:solidFill>
                </w14:textFill>
              </w:rPr>
              <w:t>、产业政策及用地项目相符性分析</w:t>
            </w:r>
          </w:p>
          <w:p w14:paraId="2EAE355D">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牛肉卤制品及副产品制造</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本次环评评价评价量为肉牛7000头。</w:t>
            </w:r>
          </w:p>
          <w:p w14:paraId="611D8707">
            <w:pPr>
              <w:spacing w:line="360" w:lineRule="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根据</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产业结构调整指导目录（2024年本）</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本项目属于</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限制类</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中</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十二、轻工</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24.年屠宰生猪15万头及以下、肉牛1万头及以下、肉羊15万只及以下、活禽1000万只及以下的屠宰建设项目（少数民族地区除外）。</w:t>
            </w:r>
          </w:p>
          <w:p w14:paraId="77111AB7">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常州市金坛区动物疫病预防控制中心出具的证明文件，</w:t>
            </w:r>
            <w:r>
              <w:rPr>
                <w:rFonts w:hint="eastAsia" w:ascii="Times New Roman" w:hAnsi="Times New Roman" w:eastAsia="宋体" w:cs="宋体"/>
                <w:color w:val="000000" w:themeColor="text1"/>
                <w:sz w:val="21"/>
                <w:szCs w:val="21"/>
                <w:highlight w:val="none"/>
                <w14:textFill>
                  <w14:solidFill>
                    <w14:schemeClr w14:val="tx1"/>
                  </w14:solidFill>
                </w14:textFill>
              </w:rPr>
              <w:t>畜禽屠宰布点通知，常州市金坛区二呆子牛肉有限公司目前是金坛区定点的肉牛屠宰厂以及牛肉、牛肉副产品加工单位，符合布点规划</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满足产业政策要求。</w:t>
            </w:r>
          </w:p>
          <w:p w14:paraId="484DCE3E">
            <w:pPr>
              <w:spacing w:line="360" w:lineRule="auto"/>
              <w:ind w:firstLine="420" w:firstLineChars="200"/>
              <w:rPr>
                <w:color w:val="000000" w:themeColor="text1"/>
                <w:sz w:val="21"/>
                <w:szCs w:val="21"/>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本项目</w:t>
            </w:r>
            <w:r>
              <w:rPr>
                <w:rFonts w:ascii="Times New Roman" w:hAnsi="Times New Roman" w:eastAsia="宋体" w:cs="宋体"/>
                <w:bCs/>
                <w:color w:val="000000" w:themeColor="text1"/>
                <w:sz w:val="21"/>
                <w:szCs w:val="21"/>
                <w:highlight w:val="none"/>
                <w14:textFill>
                  <w14:solidFill>
                    <w14:schemeClr w14:val="tx1"/>
                  </w14:solidFill>
                </w14:textFill>
              </w:rPr>
              <w:t>不属于</w:t>
            </w:r>
            <w:r>
              <w:rPr>
                <w:rFonts w:hint="eastAsia" w:ascii="Times New Roman" w:hAnsi="Times New Roman" w:eastAsia="宋体" w:cs="宋体"/>
                <w:bCs/>
                <w:color w:val="000000" w:themeColor="text1"/>
                <w:sz w:val="21"/>
                <w:szCs w:val="21"/>
                <w:highlight w:val="none"/>
                <w:lang w:eastAsia="zh-CN"/>
                <w14:textFill>
                  <w14:solidFill>
                    <w14:schemeClr w14:val="tx1"/>
                  </w14:solidFill>
                </w14:textFill>
              </w:rPr>
              <w:t>《自然资源要素支撑产业高质量发展指导目录（2024年本）》</w:t>
            </w:r>
            <w:r>
              <w:rPr>
                <w:rFonts w:ascii="Times New Roman" w:hAnsi="Times New Roman" w:eastAsia="宋体" w:cs="宋体"/>
                <w:color w:val="000000" w:themeColor="text1"/>
                <w:sz w:val="21"/>
                <w:szCs w:val="21"/>
                <w:highlight w:val="none"/>
                <w14:textFill>
                  <w14:solidFill>
                    <w14:schemeClr w14:val="tx1"/>
                  </w14:solidFill>
                </w14:textFill>
              </w:rPr>
              <w:t>中的</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鼓励类</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限制类</w:t>
            </w:r>
            <w:r>
              <w:rPr>
                <w:rFonts w:hint="eastAsia" w:ascii="Times New Roman" w:hAnsi="Times New Roman" w:eastAsia="宋体" w:cs="宋体"/>
                <w:color w:val="000000" w:themeColor="text1"/>
                <w:sz w:val="21"/>
                <w:szCs w:val="21"/>
                <w:highlight w:val="none"/>
                <w14:textFill>
                  <w14:solidFill>
                    <w14:schemeClr w14:val="tx1"/>
                  </w14:solidFill>
                </w14:textFill>
              </w:rPr>
              <w:t>”和“</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禁止</w:t>
            </w:r>
            <w:r>
              <w:rPr>
                <w:rFonts w:ascii="Times New Roman" w:hAnsi="Times New Roman" w:eastAsia="宋体" w:cs="宋体"/>
                <w:color w:val="000000" w:themeColor="text1"/>
                <w:sz w:val="21"/>
                <w:szCs w:val="21"/>
                <w:highlight w:val="none"/>
                <w14:textFill>
                  <w14:solidFill>
                    <w14:schemeClr w14:val="tx1"/>
                  </w14:solidFill>
                </w14:textFill>
              </w:rPr>
              <w:t>类</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有关条款</w:t>
            </w:r>
            <w:r>
              <w:rPr>
                <w:rFonts w:hint="eastAsia" w:cs="宋体"/>
                <w:bCs/>
                <w:color w:val="000000" w:themeColor="text1"/>
                <w:sz w:val="21"/>
                <w:szCs w:val="21"/>
                <w:highlight w:val="none"/>
                <w:lang w:eastAsia="zh-CN"/>
                <w14:textFill>
                  <w14:solidFill>
                    <w14:schemeClr w14:val="tx1"/>
                  </w14:solidFill>
                </w14:textFill>
              </w:rPr>
              <w:t>；</w:t>
            </w:r>
            <w:r>
              <w:rPr>
                <w:rFonts w:hint="eastAsia" w:cs="宋体"/>
                <w:bCs/>
                <w:color w:val="000000" w:themeColor="text1"/>
                <w:sz w:val="21"/>
                <w:szCs w:val="21"/>
                <w:highlight w:val="none"/>
                <w:lang w:val="en-US" w:eastAsia="zh-CN"/>
                <w14:textFill>
                  <w14:solidFill>
                    <w14:schemeClr w14:val="tx1"/>
                  </w14:solidFill>
                </w14:textFill>
              </w:rPr>
              <w:t>不属于</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《江苏省太湖流域禁止和限制的产业产品目录（2024年本）》</w:t>
            </w:r>
            <w:r>
              <w:rPr>
                <w:rFonts w:ascii="Times New Roman" w:hAnsi="Times New Roman" w:eastAsia="宋体" w:cs="宋体"/>
                <w:color w:val="000000" w:themeColor="text1"/>
                <w:sz w:val="21"/>
                <w:szCs w:val="21"/>
                <w:highlight w:val="none"/>
                <w14:textFill>
                  <w14:solidFill>
                    <w14:schemeClr w14:val="tx1"/>
                  </w14:solidFill>
                </w14:textFill>
              </w:rPr>
              <w:t>中的</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限制</w:t>
            </w:r>
            <w:r>
              <w:rPr>
                <w:rFonts w:ascii="Times New Roman" w:hAnsi="Times New Roman" w:eastAsia="宋体" w:cs="宋体"/>
                <w:color w:val="000000" w:themeColor="text1"/>
                <w:sz w:val="21"/>
                <w:szCs w:val="21"/>
                <w:highlight w:val="none"/>
                <w14:textFill>
                  <w14:solidFill>
                    <w14:schemeClr w14:val="tx1"/>
                  </w14:solidFill>
                </w14:textFill>
              </w:rPr>
              <w:t>类</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淘汰</w:t>
            </w:r>
            <w:r>
              <w:rPr>
                <w:rFonts w:ascii="Times New Roman" w:hAnsi="Times New Roman" w:eastAsia="宋体" w:cs="宋体"/>
                <w:color w:val="000000" w:themeColor="text1"/>
                <w:sz w:val="21"/>
                <w:szCs w:val="21"/>
                <w:highlight w:val="none"/>
                <w14:textFill>
                  <w14:solidFill>
                    <w14:schemeClr w14:val="tx1"/>
                  </w14:solidFill>
                </w14:textFill>
              </w:rPr>
              <w:t>类</w:t>
            </w:r>
            <w:r>
              <w:rPr>
                <w:rFonts w:hint="eastAsia" w:ascii="Times New Roman" w:hAnsi="Times New Roman" w:eastAsia="宋体" w:cs="宋体"/>
                <w:color w:val="000000" w:themeColor="text1"/>
                <w:sz w:val="21"/>
                <w:szCs w:val="21"/>
                <w:highlight w:val="none"/>
                <w14:textFill>
                  <w14:solidFill>
                    <w14:schemeClr w14:val="tx1"/>
                  </w14:solidFill>
                </w14:textFill>
              </w:rPr>
              <w:t>”和“</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禁止</w:t>
            </w:r>
            <w:r>
              <w:rPr>
                <w:rFonts w:ascii="Times New Roman" w:hAnsi="Times New Roman" w:eastAsia="宋体" w:cs="宋体"/>
                <w:color w:val="000000" w:themeColor="text1"/>
                <w:sz w:val="21"/>
                <w:szCs w:val="21"/>
                <w:highlight w:val="none"/>
                <w14:textFill>
                  <w14:solidFill>
                    <w14:schemeClr w14:val="tx1"/>
                  </w14:solidFill>
                </w14:textFill>
              </w:rPr>
              <w:t>类</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有关条款</w:t>
            </w:r>
            <w:r>
              <w:rPr>
                <w:rFonts w:ascii="Times New Roman" w:hAnsi="Times New Roman" w:eastAsia="宋体" w:cs="宋体"/>
                <w:bCs/>
                <w:color w:val="000000" w:themeColor="text1"/>
                <w:sz w:val="21"/>
                <w:szCs w:val="21"/>
                <w:highlight w:val="none"/>
                <w14:textFill>
                  <w14:solidFill>
                    <w14:schemeClr w14:val="tx1"/>
                  </w14:solidFill>
                </w14:textFill>
              </w:rPr>
              <w:t>，</w:t>
            </w:r>
            <w:r>
              <w:rPr>
                <w:rFonts w:hint="eastAsia" w:cs="宋体"/>
                <w:bCs/>
                <w:color w:val="000000" w:themeColor="text1"/>
                <w:sz w:val="21"/>
                <w:szCs w:val="21"/>
                <w:highlight w:val="none"/>
                <w:lang w:val="en-US" w:eastAsia="zh-CN"/>
                <w14:textFill>
                  <w14:solidFill>
                    <w14:schemeClr w14:val="tx1"/>
                  </w14:solidFill>
                </w14:textFill>
              </w:rPr>
              <w:t>符合产业规划</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205973B7">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2</w:t>
            </w:r>
            <w:r>
              <w:rPr>
                <w:rFonts w:ascii="Times New Roman" w:hAnsi="Times New Roman" w:eastAsia="宋体" w:cs="宋体"/>
                <w:b/>
                <w:bCs/>
                <w:color w:val="000000" w:themeColor="text1"/>
                <w:sz w:val="21"/>
                <w:szCs w:val="21"/>
                <w:highlight w:val="none"/>
                <w14:textFill>
                  <w14:solidFill>
                    <w14:schemeClr w14:val="tx1"/>
                  </w14:solidFill>
                </w14:textFill>
              </w:rPr>
              <w:t>、与“三线一单”相符性分析</w:t>
            </w:r>
          </w:p>
          <w:p w14:paraId="625BB126">
            <w:pPr>
              <w:spacing w:line="360" w:lineRule="auto"/>
              <w:ind w:firstLine="420" w:firstLineChars="200"/>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（1）</w:t>
            </w:r>
            <w:r>
              <w:rPr>
                <w:rFonts w:ascii="Times New Roman" w:hAnsi="Times New Roman" w:eastAsia="宋体" w:cs="宋体"/>
                <w:bCs/>
                <w:color w:val="000000" w:themeColor="text1"/>
                <w:sz w:val="21"/>
                <w:szCs w:val="21"/>
                <w:highlight w:val="none"/>
                <w14:textFill>
                  <w14:solidFill>
                    <w14:schemeClr w14:val="tx1"/>
                  </w14:solidFill>
                </w14:textFill>
              </w:rPr>
              <w:t>根据《关于以改善环境质量为核心加强环境影响评价管理的通知》（环环评</w:t>
            </w:r>
            <w:r>
              <w:rPr>
                <w:rFonts w:hint="eastAsia" w:ascii="Times New Roman" w:hAnsi="Times New Roman" w:eastAsia="宋体" w:cs="宋体"/>
                <w:color w:val="000000" w:themeColor="text1"/>
                <w:sz w:val="21"/>
                <w:szCs w:val="21"/>
                <w:highlight w:val="none"/>
                <w14:textFill>
                  <w14:solidFill>
                    <w14:schemeClr w14:val="tx1"/>
                  </w14:solidFill>
                </w14:textFill>
              </w:rPr>
              <w:t>〔2016〕</w:t>
            </w:r>
            <w:r>
              <w:rPr>
                <w:rFonts w:ascii="Times New Roman" w:hAnsi="Times New Roman" w:eastAsia="宋体" w:cs="宋体"/>
                <w:bCs/>
                <w:color w:val="000000" w:themeColor="text1"/>
                <w:sz w:val="21"/>
                <w:szCs w:val="21"/>
                <w:highlight w:val="none"/>
                <w14:textFill>
                  <w14:solidFill>
                    <w14:schemeClr w14:val="tx1"/>
                  </w14:solidFill>
                </w14:textFill>
              </w:rPr>
              <w:t>150号），对本项目建设进行</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三线一单</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相符性分析。</w:t>
            </w:r>
          </w:p>
          <w:p w14:paraId="7E152311">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p w14:paraId="21DD2AB2">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p w14:paraId="5898E839">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 xml:space="preserve">2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“三线一单”相符性分析</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515"/>
              <w:gridCol w:w="6084"/>
              <w:gridCol w:w="451"/>
            </w:tblGrid>
            <w:tr w14:paraId="659675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14:paraId="6DE15C7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判断类型</w:t>
                  </w:r>
                </w:p>
              </w:tc>
              <w:tc>
                <w:tcPr>
                  <w:tcW w:w="4315" w:type="pct"/>
                  <w:vAlign w:val="center"/>
                </w:tcPr>
                <w:p w14:paraId="5ACB5F6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对照分析</w:t>
                  </w:r>
                </w:p>
              </w:tc>
              <w:tc>
                <w:tcPr>
                  <w:tcW w:w="320" w:type="pct"/>
                  <w:vAlign w:val="center"/>
                </w:tcPr>
                <w:p w14:paraId="37A89A5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是否满足</w:t>
                  </w:r>
                </w:p>
              </w:tc>
            </w:tr>
            <w:tr w14:paraId="25C0B3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14:paraId="416B3820">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生态</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保护</w:t>
                  </w:r>
                  <w:r>
                    <w:rPr>
                      <w:rFonts w:hint="eastAsia" w:ascii="Times New Roman" w:hAnsi="Times New Roman" w:eastAsia="宋体" w:cs="宋体"/>
                      <w:color w:val="000000" w:themeColor="text1"/>
                      <w:sz w:val="21"/>
                      <w:szCs w:val="21"/>
                      <w:highlight w:val="none"/>
                      <w14:textFill>
                        <w14:solidFill>
                          <w14:schemeClr w14:val="tx1"/>
                        </w14:solidFill>
                      </w14:textFill>
                    </w:rPr>
                    <w:t>红线</w:t>
                  </w:r>
                </w:p>
              </w:tc>
              <w:tc>
                <w:tcPr>
                  <w:tcW w:w="4315" w:type="pct"/>
                  <w:vAlign w:val="center"/>
                </w:tcPr>
                <w:p w14:paraId="630155B6">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本项目位于</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江苏省常州市金坛区指前镇社头集镇社兴东路</w:t>
                  </w:r>
                  <w:r>
                    <w:rPr>
                      <w:rFonts w:ascii="Times New Roman" w:hAnsi="Times New Roman" w:eastAsia="宋体" w:cs="宋体"/>
                      <w:bCs/>
                      <w:color w:val="000000" w:themeColor="text1"/>
                      <w:sz w:val="21"/>
                      <w:szCs w:val="21"/>
                      <w:highlight w:val="none"/>
                      <w14:textFill>
                        <w14:solidFill>
                          <w14:schemeClr w14:val="tx1"/>
                        </w14:solidFill>
                      </w14:textFill>
                    </w:rPr>
                    <w:t>，</w:t>
                  </w:r>
                  <w:r>
                    <w:rPr>
                      <w:rFonts w:hint="eastAsia" w:ascii="Times New Roman" w:hAnsi="Times New Roman" w:eastAsia="宋体" w:cs="宋体"/>
                      <w:bCs/>
                      <w:color w:val="000000" w:themeColor="text1"/>
                      <w:sz w:val="21"/>
                      <w:szCs w:val="21"/>
                      <w:highlight w:val="none"/>
                      <w14:textFill>
                        <w14:solidFill>
                          <w14:schemeClr w14:val="tx1"/>
                        </w14:solidFill>
                      </w14:textFill>
                    </w:rPr>
                    <w:t>对照</w:t>
                  </w:r>
                  <w:r>
                    <w:rPr>
                      <w:rFonts w:ascii="Times New Roman" w:hAnsi="Times New Roman" w:eastAsia="宋体" w:cs="宋体"/>
                      <w:bCs/>
                      <w:color w:val="000000" w:themeColor="text1"/>
                      <w:sz w:val="21"/>
                      <w:szCs w:val="21"/>
                      <w:highlight w:val="none"/>
                      <w14:textFill>
                        <w14:solidFill>
                          <w14:schemeClr w14:val="tx1"/>
                        </w14:solidFill>
                      </w14:textFill>
                    </w:rPr>
                    <w:t>《江苏省生态</w:t>
                  </w:r>
                  <w:r>
                    <w:rPr>
                      <w:rFonts w:hint="eastAsia" w:ascii="Times New Roman" w:hAnsi="Times New Roman" w:eastAsia="宋体" w:cs="宋体"/>
                      <w:bCs/>
                      <w:color w:val="000000" w:themeColor="text1"/>
                      <w:sz w:val="21"/>
                      <w:szCs w:val="21"/>
                      <w:highlight w:val="none"/>
                      <w14:textFill>
                        <w14:solidFill>
                          <w14:schemeClr w14:val="tx1"/>
                        </w14:solidFill>
                      </w14:textFill>
                    </w:rPr>
                    <w:t>空间管控区域规划</w:t>
                  </w:r>
                  <w:r>
                    <w:rPr>
                      <w:rFonts w:ascii="Times New Roman" w:hAnsi="Times New Roman" w:eastAsia="宋体" w:cs="宋体"/>
                      <w:bCs/>
                      <w:color w:val="000000" w:themeColor="text1"/>
                      <w:sz w:val="21"/>
                      <w:szCs w:val="21"/>
                      <w:highlight w:val="none"/>
                      <w14:textFill>
                        <w14:solidFill>
                          <w14:schemeClr w14:val="tx1"/>
                        </w14:solidFill>
                      </w14:textFill>
                    </w:rPr>
                    <w:t>》</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苏政发</w:t>
                  </w:r>
                  <w:r>
                    <w:rPr>
                      <w:rFonts w:hint="eastAsia" w:ascii="Times New Roman" w:hAnsi="Times New Roman" w:eastAsia="宋体" w:cs="宋体"/>
                      <w:color w:val="000000" w:themeColor="text1"/>
                      <w:sz w:val="21"/>
                      <w:szCs w:val="21"/>
                      <w:highlight w:val="none"/>
                      <w14:textFill>
                        <w14:solidFill>
                          <w14:schemeClr w14:val="tx1"/>
                        </w14:solidFill>
                      </w14:textFill>
                    </w:rPr>
                    <w:t>〔2020〕</w:t>
                  </w:r>
                  <w:r>
                    <w:rPr>
                      <w:rFonts w:hint="eastAsia" w:ascii="Times New Roman" w:hAnsi="Times New Roman" w:eastAsia="宋体" w:cs="宋体"/>
                      <w:bCs/>
                      <w:color w:val="000000" w:themeColor="text1"/>
                      <w:sz w:val="21"/>
                      <w:szCs w:val="21"/>
                      <w:highlight w:val="none"/>
                      <w14:textFill>
                        <w14:solidFill>
                          <w14:schemeClr w14:val="tx1"/>
                        </w14:solidFill>
                      </w14:textFill>
                    </w:rPr>
                    <w:t>1</w:t>
                  </w:r>
                  <w:r>
                    <w:rPr>
                      <w:rFonts w:ascii="Times New Roman" w:hAnsi="Times New Roman" w:eastAsia="宋体" w:cs="宋体"/>
                      <w:bCs/>
                      <w:color w:val="000000" w:themeColor="text1"/>
                      <w:sz w:val="21"/>
                      <w:szCs w:val="21"/>
                      <w:highlight w:val="none"/>
                      <w14:textFill>
                        <w14:solidFill>
                          <w14:schemeClr w14:val="tx1"/>
                        </w14:solidFill>
                      </w14:textFill>
                    </w:rPr>
                    <w:t>号</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及《江苏省国家级生态保护红线规划》</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苏政发</w:t>
                  </w:r>
                  <w:r>
                    <w:rPr>
                      <w:rFonts w:hint="eastAsia" w:ascii="Times New Roman" w:hAnsi="Times New Roman" w:eastAsia="宋体" w:cs="宋体"/>
                      <w:color w:val="000000" w:themeColor="text1"/>
                      <w:sz w:val="21"/>
                      <w:szCs w:val="21"/>
                      <w:highlight w:val="none"/>
                      <w14:textFill>
                        <w14:solidFill>
                          <w14:schemeClr w14:val="tx1"/>
                        </w14:solidFill>
                      </w14:textFill>
                    </w:rPr>
                    <w:t>〔2018〕</w:t>
                  </w:r>
                  <w:r>
                    <w:rPr>
                      <w:rFonts w:ascii="Times New Roman" w:hAnsi="Times New Roman" w:eastAsia="宋体" w:cs="宋体"/>
                      <w:bCs/>
                      <w:color w:val="000000" w:themeColor="text1"/>
                      <w:sz w:val="21"/>
                      <w:szCs w:val="21"/>
                      <w:highlight w:val="none"/>
                      <w14:textFill>
                        <w14:solidFill>
                          <w14:schemeClr w14:val="tx1"/>
                        </w14:solidFill>
                      </w14:textFill>
                    </w:rPr>
                    <w:t>74号</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，距离最近的</w:t>
                  </w:r>
                  <w:r>
                    <w:rPr>
                      <w:rFonts w:hint="eastAsia" w:ascii="Times New Roman" w:hAnsi="Times New Roman" w:eastAsia="宋体" w:cs="宋体"/>
                      <w:bCs/>
                      <w:color w:val="000000" w:themeColor="text1"/>
                      <w:sz w:val="21"/>
                      <w:szCs w:val="21"/>
                      <w:highlight w:val="none"/>
                      <w14:textFill>
                        <w14:solidFill>
                          <w14:schemeClr w14:val="tx1"/>
                        </w14:solidFill>
                      </w14:textFill>
                    </w:rPr>
                    <w:t>生态空间管控区</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丹金溧漕河（金坛区）洪水调蓄区</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3</w:t>
                  </w:r>
                  <w:r>
                    <w:rPr>
                      <w:rFonts w:ascii="Times New Roman" w:hAnsi="Times New Roman" w:eastAsia="宋体" w:cs="宋体"/>
                      <w:bCs/>
                      <w:color w:val="000000" w:themeColor="text1"/>
                      <w:sz w:val="21"/>
                      <w:szCs w:val="21"/>
                      <w:highlight w:val="none"/>
                      <w14:textFill>
                        <w14:solidFill>
                          <w14:schemeClr w14:val="tx1"/>
                        </w14:solidFill>
                      </w14:textFill>
                    </w:rPr>
                    <w:t>km，不在</w:t>
                  </w:r>
                  <w:r>
                    <w:rPr>
                      <w:rFonts w:hint="eastAsia" w:ascii="Times New Roman" w:hAnsi="Times New Roman" w:eastAsia="宋体" w:cs="宋体"/>
                      <w:color w:val="000000" w:themeColor="text1"/>
                      <w:sz w:val="21"/>
                      <w:szCs w:val="21"/>
                      <w:highlight w:val="none"/>
                      <w14:textFill>
                        <w14:solidFill>
                          <w14:schemeClr w14:val="tx1"/>
                        </w14:solidFill>
                      </w14:textFill>
                    </w:rPr>
                    <w:t>国家级生态保护红线范围和生态空间管控区范围内</w:t>
                  </w:r>
                  <w:r>
                    <w:rPr>
                      <w:rFonts w:ascii="Times New Roman" w:hAnsi="Times New Roman" w:eastAsia="宋体" w:cs="宋体"/>
                      <w:bCs/>
                      <w:color w:val="000000" w:themeColor="text1"/>
                      <w:sz w:val="21"/>
                      <w:szCs w:val="21"/>
                      <w:highlight w:val="none"/>
                      <w14:textFill>
                        <w14:solidFill>
                          <w14:schemeClr w14:val="tx1"/>
                        </w14:solidFill>
                      </w14:textFill>
                    </w:rPr>
                    <w:t>。</w:t>
                  </w:r>
                </w:p>
              </w:tc>
              <w:tc>
                <w:tcPr>
                  <w:tcW w:w="320" w:type="pct"/>
                  <w:vAlign w:val="center"/>
                </w:tcPr>
                <w:p w14:paraId="66EACD83">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是</w:t>
                  </w:r>
                </w:p>
              </w:tc>
            </w:tr>
            <w:tr w14:paraId="0F330C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14:paraId="6BBBD108">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环境质量底线</w:t>
                  </w:r>
                </w:p>
              </w:tc>
              <w:tc>
                <w:tcPr>
                  <w:tcW w:w="4315" w:type="pct"/>
                  <w:vAlign w:val="center"/>
                </w:tcPr>
                <w:p w14:paraId="242EEC16">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both"/>
                    <w:textAlignment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根据《</w:t>
                  </w:r>
                  <w:r>
                    <w:rPr>
                      <w:rFonts w:hint="eastAsia" w:ascii="Times New Roman" w:hAnsi="Times New Roman" w:eastAsia="宋体" w:cs="宋体"/>
                      <w:color w:val="000000" w:themeColor="text1"/>
                      <w:kern w:val="0"/>
                      <w:sz w:val="21"/>
                      <w:szCs w:val="21"/>
                      <w:highlight w:val="none"/>
                      <w14:textFill>
                        <w14:solidFill>
                          <w14:schemeClr w14:val="tx1"/>
                        </w14:solidFill>
                      </w14:textFill>
                    </w:rPr>
                    <w:t>202</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kern w:val="0"/>
                      <w:sz w:val="21"/>
                      <w:szCs w:val="21"/>
                      <w:highlight w:val="none"/>
                      <w14:textFill>
                        <w14:solidFill>
                          <w14:schemeClr w14:val="tx1"/>
                        </w14:solidFill>
                      </w14:textFill>
                    </w:rPr>
                    <w:t>年常州市生态环境状况公报</w:t>
                  </w:r>
                  <w:r>
                    <w:rPr>
                      <w:rFonts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202</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4</w:t>
                  </w:r>
                  <w:r>
                    <w:rPr>
                      <w:rFonts w:ascii="Times New Roman" w:hAnsi="Times New Roman" w:eastAsia="宋体" w:cs="宋体"/>
                      <w:color w:val="000000" w:themeColor="text1"/>
                      <w:kern w:val="0"/>
                      <w:sz w:val="21"/>
                      <w:szCs w:val="21"/>
                      <w:highlight w:val="none"/>
                      <w14:textFill>
                        <w14:solidFill>
                          <w14:schemeClr w14:val="tx1"/>
                        </w14:solidFill>
                      </w14:textFill>
                    </w:rPr>
                    <w:t>年</w:t>
                  </w:r>
                  <w:r>
                    <w:rPr>
                      <w:rFonts w:hint="eastAsia" w:ascii="Times New Roman" w:hAnsi="Times New Roman" w:eastAsia="宋体" w:cs="宋体"/>
                      <w:color w:val="000000" w:themeColor="text1"/>
                      <w:kern w:val="0"/>
                      <w:sz w:val="21"/>
                      <w:szCs w:val="21"/>
                      <w:highlight w:val="none"/>
                      <w14:textFill>
                        <w14:solidFill>
                          <w14:schemeClr w14:val="tx1"/>
                        </w14:solidFill>
                      </w14:textFill>
                    </w:rPr>
                    <w:t>常州</w:t>
                  </w:r>
                  <w:r>
                    <w:rPr>
                      <w:rFonts w:ascii="Times New Roman" w:hAnsi="Times New Roman" w:eastAsia="宋体" w:cs="宋体"/>
                      <w:color w:val="000000" w:themeColor="text1"/>
                      <w:kern w:val="0"/>
                      <w:sz w:val="21"/>
                      <w:szCs w:val="21"/>
                      <w:highlight w:val="none"/>
                      <w14:textFill>
                        <w14:solidFill>
                          <w14:schemeClr w14:val="tx1"/>
                        </w14:solidFill>
                      </w14:textFill>
                    </w:rPr>
                    <w:t>市环境空气中</w:t>
                  </w:r>
                  <w:r>
                    <w:rPr>
                      <w:rFonts w:hint="eastAsia" w:ascii="Times New Roman" w:hAnsi="Times New Roman" w:eastAsia="宋体" w:cs="宋体"/>
                      <w:color w:val="000000" w:themeColor="text1"/>
                      <w:kern w:val="0"/>
                      <w:sz w:val="21"/>
                      <w:szCs w:val="21"/>
                      <w:highlight w:val="none"/>
                      <w14:textFill>
                        <w14:solidFill>
                          <w14:schemeClr w14:val="tx1"/>
                        </w14:solidFill>
                      </w14:textFill>
                    </w:rPr>
                    <w:t>PM</w:t>
                  </w:r>
                  <w:r>
                    <w:rPr>
                      <w:rFonts w:hint="eastAsia" w:ascii="Times New Roman" w:hAnsi="Times New Roman" w:eastAsia="宋体" w:cs="宋体"/>
                      <w:color w:val="000000" w:themeColor="text1"/>
                      <w:kern w:val="0"/>
                      <w:sz w:val="21"/>
                      <w:szCs w:val="21"/>
                      <w:highlight w:val="none"/>
                      <w:vertAlign w:val="subscript"/>
                      <w14:textFill>
                        <w14:solidFill>
                          <w14:schemeClr w14:val="tx1"/>
                        </w14:solidFill>
                      </w14:textFill>
                    </w:rPr>
                    <w:t>2.5</w:t>
                  </w:r>
                  <w:r>
                    <w:rPr>
                      <w:rFonts w:hint="eastAsia" w:ascii="Times New Roman" w:hAnsi="Times New Roman" w:eastAsia="宋体" w:cs="宋体"/>
                      <w:color w:val="000000" w:themeColor="text1"/>
                      <w:kern w:val="0"/>
                      <w:sz w:val="21"/>
                      <w:szCs w:val="21"/>
                      <w:highlight w:val="none"/>
                      <w14:textFill>
                        <w14:solidFill>
                          <w14:schemeClr w14:val="tx1"/>
                        </w14:solidFill>
                      </w14:textFill>
                    </w:rPr>
                    <w:t>日平均</w:t>
                  </w:r>
                  <w:r>
                    <w:rPr>
                      <w:rFonts w:ascii="Times New Roman" w:hAnsi="Times New Roman" w:eastAsia="宋体" w:cs="宋体"/>
                      <w:color w:val="000000" w:themeColor="text1"/>
                      <w:kern w:val="0"/>
                      <w:sz w:val="21"/>
                      <w:szCs w:val="21"/>
                      <w:highlight w:val="none"/>
                      <w14:textFill>
                        <w14:solidFill>
                          <w14:schemeClr w14:val="tx1"/>
                        </w14:solidFill>
                      </w14:textFill>
                    </w:rPr>
                    <w:t>第</w:t>
                  </w:r>
                  <w:r>
                    <w:rPr>
                      <w:rFonts w:hint="eastAsia" w:ascii="Times New Roman" w:hAnsi="Times New Roman" w:eastAsia="宋体" w:cs="宋体"/>
                      <w:color w:val="000000" w:themeColor="text1"/>
                      <w:kern w:val="0"/>
                      <w:sz w:val="21"/>
                      <w:szCs w:val="21"/>
                      <w:highlight w:val="none"/>
                      <w14:textFill>
                        <w14:solidFill>
                          <w14:schemeClr w14:val="tx1"/>
                        </w14:solidFill>
                      </w14:textFill>
                    </w:rPr>
                    <w:t>95百分位数</w:t>
                  </w:r>
                  <w:r>
                    <w:rPr>
                      <w:rFonts w:ascii="Times New Roman" w:hAnsi="Times New Roman" w:eastAsia="宋体" w:cs="宋体"/>
                      <w:color w:val="000000" w:themeColor="text1"/>
                      <w:kern w:val="0"/>
                      <w:sz w:val="21"/>
                      <w:szCs w:val="21"/>
                      <w:highlight w:val="none"/>
                      <w14:textFill>
                        <w14:solidFill>
                          <w14:schemeClr w14:val="tx1"/>
                        </w14:solidFill>
                      </w14:textFill>
                    </w:rPr>
                    <w:t>和</w:t>
                  </w:r>
                  <w:r>
                    <w:rPr>
                      <w:rFonts w:hint="eastAsia" w:ascii="Times New Roman" w:hAnsi="Times New Roman" w:eastAsia="宋体" w:cs="宋体"/>
                      <w:color w:val="000000" w:themeColor="text1"/>
                      <w:kern w:val="0"/>
                      <w:sz w:val="21"/>
                      <w:szCs w:val="21"/>
                      <w:highlight w:val="none"/>
                      <w14:textFill>
                        <w14:solidFill>
                          <w14:schemeClr w14:val="tx1"/>
                        </w14:solidFill>
                      </w14:textFill>
                    </w:rPr>
                    <w:t>O</w:t>
                  </w:r>
                  <w:r>
                    <w:rPr>
                      <w:rFonts w:hint="eastAsia" w:ascii="Times New Roman" w:hAnsi="Times New Roman" w:eastAsia="宋体" w:cs="宋体"/>
                      <w:color w:val="000000" w:themeColor="text1"/>
                      <w:kern w:val="0"/>
                      <w:sz w:val="21"/>
                      <w:szCs w:val="21"/>
                      <w:highlight w:val="none"/>
                      <w:vertAlign w:val="subscript"/>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日最大8小时</w:t>
                  </w:r>
                  <w:r>
                    <w:rPr>
                      <w:rFonts w:hint="eastAsia" w:ascii="Times New Roman" w:hAnsi="Times New Roman" w:eastAsia="宋体" w:cs="宋体"/>
                      <w:color w:val="000000" w:themeColor="text1"/>
                      <w:kern w:val="0"/>
                      <w:sz w:val="21"/>
                      <w:szCs w:val="21"/>
                      <w:highlight w:val="none"/>
                      <w14:textFill>
                        <w14:solidFill>
                          <w14:schemeClr w14:val="tx1"/>
                        </w14:solidFill>
                      </w14:textFill>
                    </w:rPr>
                    <w:t>滑动平</w:t>
                  </w:r>
                  <w:r>
                    <w:rPr>
                      <w:rFonts w:ascii="Times New Roman" w:hAnsi="Times New Roman" w:eastAsia="宋体" w:cs="宋体"/>
                      <w:color w:val="000000" w:themeColor="text1"/>
                      <w:kern w:val="0"/>
                      <w:sz w:val="21"/>
                      <w:szCs w:val="21"/>
                      <w:highlight w:val="none"/>
                      <w14:textFill>
                        <w14:solidFill>
                          <w14:schemeClr w14:val="tx1"/>
                        </w14:solidFill>
                      </w14:textFill>
                    </w:rPr>
                    <w:t>均值</w:t>
                  </w:r>
                  <w:r>
                    <w:rPr>
                      <w:rFonts w:hint="eastAsia" w:ascii="Times New Roman" w:hAnsi="Times New Roman" w:eastAsia="宋体" w:cs="宋体"/>
                      <w:color w:val="000000" w:themeColor="text1"/>
                      <w:kern w:val="0"/>
                      <w:sz w:val="21"/>
                      <w:szCs w:val="21"/>
                      <w:highlight w:val="none"/>
                      <w14:textFill>
                        <w14:solidFill>
                          <w14:schemeClr w14:val="tx1"/>
                        </w14:solidFill>
                      </w14:textFill>
                    </w:rPr>
                    <w:t>的第90百分位数超标</w:t>
                  </w:r>
                  <w:r>
                    <w:rPr>
                      <w:rFonts w:ascii="Times New Roman" w:hAnsi="Times New Roman" w:eastAsia="宋体" w:cs="宋体"/>
                      <w:color w:val="000000" w:themeColor="text1"/>
                      <w:kern w:val="0"/>
                      <w:sz w:val="21"/>
                      <w:szCs w:val="21"/>
                      <w:highlight w:val="none"/>
                      <w14:textFill>
                        <w14:solidFill>
                          <w14:schemeClr w14:val="tx1"/>
                        </w14:solidFill>
                      </w14:textFill>
                    </w:rPr>
                    <w:t>，因此判定为非达标区域，提出大气污染防治措施如下：</w:t>
                  </w:r>
                  <w:r>
                    <w:rPr>
                      <w:rFonts w:hint="eastAsia" w:ascii="Times New Roman" w:hAnsi="Times New Roman" w:eastAsia="宋体" w:cs="宋体"/>
                      <w:color w:val="000000" w:themeColor="text1"/>
                      <w:sz w:val="21"/>
                      <w:szCs w:val="21"/>
                      <w:highlight w:val="none"/>
                      <w14:textFill>
                        <w14:solidFill>
                          <w14:schemeClr w14:val="tx1"/>
                        </w14:solidFill>
                      </w14:textFill>
                    </w:rPr>
                    <w:t>工业源减排、臭氧污染防治、扬尘污染防治、机动车排气监管等。</w:t>
                  </w:r>
                  <w:r>
                    <w:rPr>
                      <w:rFonts w:ascii="Times New Roman" w:hAnsi="Times New Roman" w:eastAsia="宋体" w:cs="宋体"/>
                      <w:color w:val="000000" w:themeColor="text1"/>
                      <w:sz w:val="21"/>
                      <w:szCs w:val="21"/>
                      <w:highlight w:val="none"/>
                      <w14:textFill>
                        <w14:solidFill>
                          <w14:schemeClr w14:val="tx1"/>
                        </w14:solidFill>
                      </w14:textFill>
                    </w:rPr>
                    <w:t>采取以上措施，常州市的大气空气质量将得到一定改善</w:t>
                  </w:r>
                  <w:r>
                    <w:rPr>
                      <w:rFonts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纳污水体</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丹金溧漕河</w:t>
                  </w:r>
                  <w:r>
                    <w:rPr>
                      <w:rFonts w:hint="eastAsia" w:ascii="Times New Roman" w:hAnsi="Times New Roman" w:eastAsia="宋体" w:cs="宋体"/>
                      <w:color w:val="000000" w:themeColor="text1"/>
                      <w:kern w:val="0"/>
                      <w:sz w:val="21"/>
                      <w:szCs w:val="21"/>
                      <w:highlight w:val="none"/>
                      <w14:textFill>
                        <w14:solidFill>
                          <w14:schemeClr w14:val="tx1"/>
                        </w14:solidFill>
                      </w14:textFill>
                    </w:rPr>
                    <w:t>各</w:t>
                  </w:r>
                  <w:r>
                    <w:rPr>
                      <w:rFonts w:ascii="Times New Roman" w:hAnsi="Times New Roman" w:eastAsia="宋体" w:cs="宋体"/>
                      <w:color w:val="000000" w:themeColor="text1"/>
                      <w:kern w:val="0"/>
                      <w:sz w:val="21"/>
                      <w:szCs w:val="21"/>
                      <w:highlight w:val="none"/>
                      <w14:textFill>
                        <w14:solidFill>
                          <w14:schemeClr w14:val="tx1"/>
                        </w14:solidFill>
                      </w14:textFill>
                    </w:rPr>
                    <w:t>监测断面pH</w:t>
                  </w:r>
                  <w:r>
                    <w:rPr>
                      <w:rFonts w:hint="eastAsia" w:ascii="Times New Roman" w:hAnsi="Times New Roman" w:eastAsia="宋体" w:cs="宋体"/>
                      <w:color w:val="000000" w:themeColor="text1"/>
                      <w:kern w:val="0"/>
                      <w:sz w:val="21"/>
                      <w:szCs w:val="21"/>
                      <w:highlight w:val="none"/>
                      <w14:textFill>
                        <w14:solidFill>
                          <w14:schemeClr w14:val="tx1"/>
                        </w14:solidFill>
                      </w14:textFill>
                    </w:rPr>
                    <w:t>值</w:t>
                  </w:r>
                  <w:r>
                    <w:rPr>
                      <w:rFonts w:ascii="Times New Roman" w:hAnsi="Times New Roman" w:eastAsia="宋体" w:cs="宋体"/>
                      <w:color w:val="000000" w:themeColor="text1"/>
                      <w:kern w:val="0"/>
                      <w:sz w:val="21"/>
                      <w:szCs w:val="21"/>
                      <w:highlight w:val="none"/>
                      <w14:textFill>
                        <w14:solidFill>
                          <w14:schemeClr w14:val="tx1"/>
                        </w14:solidFill>
                      </w14:textFill>
                    </w:rPr>
                    <w:t>、COD、NH</w:t>
                  </w:r>
                  <w:r>
                    <w:rPr>
                      <w:rFonts w:ascii="Times New Roman" w:hAnsi="Times New Roman" w:eastAsia="宋体" w:cs="宋体"/>
                      <w:color w:val="000000" w:themeColor="text1"/>
                      <w:kern w:val="0"/>
                      <w:sz w:val="21"/>
                      <w:szCs w:val="21"/>
                      <w:highlight w:val="none"/>
                      <w:vertAlign w:val="subscript"/>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-N、TP</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TN</w:t>
                  </w:r>
                  <w:r>
                    <w:rPr>
                      <w:rFonts w:ascii="Times New Roman" w:hAnsi="Times New Roman" w:eastAsia="宋体" w:cs="宋体"/>
                      <w:color w:val="000000" w:themeColor="text1"/>
                      <w:kern w:val="0"/>
                      <w:sz w:val="21"/>
                      <w:szCs w:val="21"/>
                      <w:highlight w:val="none"/>
                      <w14:textFill>
                        <w14:solidFill>
                          <w14:schemeClr w14:val="tx1"/>
                        </w14:solidFill>
                      </w14:textFill>
                    </w:rPr>
                    <w:t>均达到《地表水环境质量标准》（GB3838-2002）中的</w:t>
                  </w:r>
                  <w:r>
                    <w:rPr>
                      <w:rFonts w:hint="eastAsia" w:ascii="Times New Roman" w:hAnsi="Times New Roman" w:eastAsia="宋体" w:cs="Times New Roman"/>
                      <w:color w:val="000000" w:themeColor="text1"/>
                      <w:spacing w:val="6"/>
                      <w:sz w:val="21"/>
                      <w:szCs w:val="21"/>
                      <w:highlight w:val="none"/>
                      <w:lang w:eastAsia="zh-CN"/>
                      <w14:textFill>
                        <w14:solidFill>
                          <w14:schemeClr w14:val="tx1"/>
                        </w14:solidFill>
                      </w14:textFill>
                    </w:rPr>
                    <w:t>Ⅲ</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类</w:t>
                  </w:r>
                  <w:r>
                    <w:rPr>
                      <w:rFonts w:ascii="Times New Roman" w:hAnsi="Times New Roman" w:eastAsia="宋体" w:cs="宋体"/>
                      <w:color w:val="000000" w:themeColor="text1"/>
                      <w:kern w:val="0"/>
                      <w:sz w:val="21"/>
                      <w:szCs w:val="21"/>
                      <w:highlight w:val="none"/>
                      <w14:textFill>
                        <w14:solidFill>
                          <w14:schemeClr w14:val="tx1"/>
                        </w14:solidFill>
                      </w14:textFill>
                    </w:rPr>
                    <w:t>水质标准限值。项目所在地声环境质量</w:t>
                  </w:r>
                  <w:r>
                    <w:rPr>
                      <w:rFonts w:hint="eastAsia" w:ascii="Times New Roman" w:hAnsi="Times New Roman" w:eastAsia="宋体" w:cs="宋体"/>
                      <w:color w:val="000000" w:themeColor="text1"/>
                      <w:kern w:val="0"/>
                      <w:sz w:val="21"/>
                      <w:szCs w:val="21"/>
                      <w:highlight w:val="none"/>
                      <w14:textFill>
                        <w14:solidFill>
                          <w14:schemeClr w14:val="tx1"/>
                        </w14:solidFill>
                      </w14:textFill>
                    </w:rPr>
                    <w:t>达到</w:t>
                  </w:r>
                  <w:r>
                    <w:rPr>
                      <w:rFonts w:ascii="Times New Roman" w:hAnsi="Times New Roman" w:eastAsia="宋体" w:cs="宋体"/>
                      <w:color w:val="000000" w:themeColor="text1"/>
                      <w:kern w:val="0"/>
                      <w:sz w:val="21"/>
                      <w:szCs w:val="21"/>
                      <w:highlight w:val="none"/>
                      <w14:textFill>
                        <w14:solidFill>
                          <w14:schemeClr w14:val="tx1"/>
                        </w14:solidFill>
                      </w14:textFill>
                    </w:rPr>
                    <w:t>《声环境质量标准》（GB3096-2008）</w:t>
                  </w:r>
                  <w:r>
                    <w:rPr>
                      <w:rFonts w:hint="eastAsia" w:ascii="Times New Roman" w:hAnsi="Times New Roman" w:eastAsia="宋体" w:cs="宋体"/>
                      <w:color w:val="000000" w:themeColor="text1"/>
                      <w:kern w:val="0"/>
                      <w:sz w:val="21"/>
                      <w:szCs w:val="21"/>
                      <w:highlight w:val="none"/>
                      <w14:textFill>
                        <w14:solidFill>
                          <w14:schemeClr w14:val="tx1"/>
                        </w14:solidFill>
                      </w14:textFill>
                    </w:rPr>
                    <w:t>中的</w:t>
                  </w:r>
                  <w:r>
                    <w:rPr>
                      <w:rFonts w:hint="eastAsia" w:cs="宋体"/>
                      <w:color w:val="000000" w:themeColor="text1"/>
                      <w:sz w:val="21"/>
                      <w:szCs w:val="21"/>
                      <w:highlight w:val="none"/>
                      <w:lang w:val="en-US" w:eastAsia="zh-CN"/>
                      <w14:textFill>
                        <w14:solidFill>
                          <w14:schemeClr w14:val="tx1"/>
                        </w14:solidFill>
                      </w14:textFill>
                    </w:rPr>
                    <w:t>2</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类</w:t>
                  </w:r>
                  <w:r>
                    <w:rPr>
                      <w:rFonts w:hint="eastAsia" w:ascii="Times New Roman" w:hAnsi="Times New Roman" w:eastAsia="宋体" w:cs="宋体"/>
                      <w:color w:val="000000" w:themeColor="text1"/>
                      <w:kern w:val="0"/>
                      <w:sz w:val="21"/>
                      <w:szCs w:val="21"/>
                      <w:highlight w:val="none"/>
                      <w14:textFill>
                        <w14:solidFill>
                          <w14:schemeClr w14:val="tx1"/>
                        </w14:solidFill>
                      </w14:textFill>
                    </w:rPr>
                    <w:t>标准</w:t>
                  </w:r>
                  <w:r>
                    <w:rPr>
                      <w:rFonts w:ascii="Times New Roman" w:hAnsi="Times New Roman" w:eastAsia="宋体" w:cs="宋体"/>
                      <w:color w:val="000000" w:themeColor="text1"/>
                      <w:kern w:val="0"/>
                      <w:sz w:val="21"/>
                      <w:szCs w:val="21"/>
                      <w:highlight w:val="none"/>
                      <w14:textFill>
                        <w14:solidFill>
                          <w14:schemeClr w14:val="tx1"/>
                        </w14:solidFill>
                      </w14:textFill>
                    </w:rPr>
                    <w:t>。</w:t>
                  </w:r>
                </w:p>
                <w:p w14:paraId="4B790C47">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环境质量现状监测结果表明，项目所在地虽属大气环境质量非达标区。项目新增的废气、废水污染物排放总量已按有关规定落实了倍量和等量平衡方案，固体废物落实了安全处置措施。建设单位通过全面落实各项污染治理措施，大力推行清洁生产，各类污染物能得到有效控制污染负荷有限，不会降低当地大气环境质量等级，项目建设具有相应的环境基础，</w:t>
                  </w:r>
                  <w:r>
                    <w:rPr>
                      <w:rFonts w:ascii="Times New Roman" w:hAnsi="Times New Roman" w:eastAsia="宋体" w:cs="宋体"/>
                      <w:color w:val="000000" w:themeColor="text1"/>
                      <w:kern w:val="0"/>
                      <w:sz w:val="21"/>
                      <w:szCs w:val="21"/>
                      <w:highlight w:val="none"/>
                      <w14:textFill>
                        <w14:solidFill>
                          <w14:schemeClr w14:val="tx1"/>
                        </w14:solidFill>
                      </w14:textFill>
                    </w:rPr>
                    <w:t>不会突破项目所在地环境质量底线，因此项目的建设符合环境质量底线标准</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tc>
              <w:tc>
                <w:tcPr>
                  <w:tcW w:w="320" w:type="pct"/>
                  <w:vAlign w:val="center"/>
                </w:tcPr>
                <w:p w14:paraId="181C405F">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是</w:t>
                  </w:r>
                </w:p>
              </w:tc>
            </w:tr>
            <w:tr w14:paraId="7B78A3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14:paraId="59654106">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资源利用上</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线</w:t>
                  </w:r>
                </w:p>
              </w:tc>
              <w:tc>
                <w:tcPr>
                  <w:tcW w:w="4315" w:type="pct"/>
                  <w:vAlign w:val="center"/>
                </w:tcPr>
                <w:p w14:paraId="208C2776">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本项目属于非资源消耗型项目，区域内土地、能源、水等资源的承载力相容性较好，项目不新增建设用地，利用的水、电、燃气等资源供应有可靠保障，不触及所在地资源利用的上限</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320" w:type="pct"/>
                  <w:vAlign w:val="center"/>
                </w:tcPr>
                <w:p w14:paraId="0C882040">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是</w:t>
                  </w:r>
                </w:p>
              </w:tc>
            </w:tr>
            <w:tr w14:paraId="260B27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14:paraId="652B3996">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生态环境准入清单</w:t>
                  </w:r>
                </w:p>
              </w:tc>
              <w:tc>
                <w:tcPr>
                  <w:tcW w:w="4315" w:type="pct"/>
                  <w:vAlign w:val="center"/>
                </w:tcPr>
                <w:p w14:paraId="56A2D72C">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both"/>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经对照，本项目不属于</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长江经济带发展负面清单指南（试行</w:t>
                  </w:r>
                  <w:r>
                    <w:rPr>
                      <w:rFonts w:hint="eastAsia" w:ascii="Times New Roman" w:hAnsi="Times New Roman" w:eastAsia="宋体" w:cs="宋体"/>
                      <w:bCs/>
                      <w:color w:val="000000" w:themeColor="text1"/>
                      <w:sz w:val="21"/>
                      <w:szCs w:val="21"/>
                      <w:highlight w:val="none"/>
                      <w14:textFill>
                        <w14:solidFill>
                          <w14:schemeClr w14:val="tx1"/>
                        </w14:solidFill>
                      </w14:textFill>
                    </w:rPr>
                    <w:t>，2022年版</w:t>
                  </w:r>
                  <w:r>
                    <w:rPr>
                      <w:rFonts w:ascii="Times New Roman" w:hAnsi="Times New Roman" w:eastAsia="宋体" w:cs="宋体"/>
                      <w:bCs/>
                      <w:color w:val="000000" w:themeColor="text1"/>
                      <w:sz w:val="21"/>
                      <w:szCs w:val="21"/>
                      <w:highlight w:val="none"/>
                      <w14:textFill>
                        <w14:solidFill>
                          <w14:schemeClr w14:val="tx1"/>
                        </w14:solidFill>
                      </w14:textFill>
                    </w:rPr>
                    <w:t>）</w:t>
                  </w:r>
                  <w:r>
                    <w:rPr>
                      <w:rFonts w:hint="eastAsia" w:ascii="Times New Roman" w:hAnsi="Times New Roman" w:eastAsia="宋体" w:cs="宋体"/>
                      <w:bCs/>
                      <w:color w:val="000000" w:themeColor="text1"/>
                      <w:sz w:val="21"/>
                      <w:szCs w:val="21"/>
                      <w:highlight w:val="none"/>
                      <w14:textFill>
                        <w14:solidFill>
                          <w14:schemeClr w14:val="tx1"/>
                        </w14:solidFill>
                      </w14:textFill>
                    </w:rPr>
                    <w:t>》中的禁止建设内容、</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市场准入负面清单（2025年版）</w:t>
                  </w:r>
                  <w:r>
                    <w:rPr>
                      <w:rFonts w:hint="eastAsia" w:ascii="Times New Roman" w:hAnsi="Times New Roman" w:eastAsia="宋体" w:cs="宋体"/>
                      <w:color w:val="000000" w:themeColor="text1"/>
                      <w:kern w:val="0"/>
                      <w:sz w:val="21"/>
                      <w:szCs w:val="21"/>
                      <w:highlight w:val="none"/>
                      <w14:textFill>
                        <w14:solidFill>
                          <w14:schemeClr w14:val="tx1"/>
                        </w14:solidFill>
                      </w14:textFill>
                    </w:rPr>
                    <w:t>》中的禁止准入类、</w:t>
                  </w:r>
                  <w:r>
                    <w:rPr>
                      <w:rFonts w:hint="eastAsia" w:ascii="Times New Roman" w:hAnsi="Times New Roman" w:eastAsia="宋体" w:cs="宋体"/>
                      <w:bCs/>
                      <w:color w:val="000000" w:themeColor="text1"/>
                      <w:sz w:val="21"/>
                      <w:szCs w:val="21"/>
                      <w:highlight w:val="none"/>
                      <w14:textFill>
                        <w14:solidFill>
                          <w14:schemeClr w14:val="tx1"/>
                        </w14:solidFill>
                      </w14:textFill>
                    </w:rPr>
                    <w:t>《环境保护综合目录（2021年版）》中的高污染、高环境风险产品目录、</w:t>
                  </w:r>
                  <w:r>
                    <w:rPr>
                      <w:rFonts w:hint="eastAsia" w:ascii="Times New Roman" w:hAnsi="Times New Roman" w:eastAsia="宋体" w:cs="宋体"/>
                      <w:color w:val="000000" w:themeColor="text1"/>
                      <w:kern w:val="0"/>
                      <w:sz w:val="21"/>
                      <w:szCs w:val="21"/>
                      <w:highlight w:val="none"/>
                      <w14:textFill>
                        <w14:solidFill>
                          <w14:schemeClr w14:val="tx1"/>
                        </w14:solidFill>
                      </w14:textFill>
                    </w:rPr>
                    <w:t>《关于坚决遏制“两高”项目盲目发展的通知》中的所列行业、《</w:t>
                  </w:r>
                  <w:r>
                    <w:rPr>
                      <w:rFonts w:hint="eastAsia" w:ascii="Times New Roman" w:hAnsi="Times New Roman" w:eastAsia="宋体" w:cs="宋体"/>
                      <w:bCs/>
                      <w:color w:val="000000" w:themeColor="text1"/>
                      <w:kern w:val="0"/>
                      <w:sz w:val="21"/>
                      <w:szCs w:val="21"/>
                      <w:highlight w:val="none"/>
                      <w14:textFill>
                        <w14:solidFill>
                          <w14:schemeClr w14:val="tx1"/>
                        </w14:solidFill>
                      </w14:textFill>
                    </w:rPr>
                    <w:t>关于加强高耗能、高排放建设项目生态环境源头防控的指导意见</w:t>
                  </w:r>
                  <w:r>
                    <w:rPr>
                      <w:rFonts w:hint="eastAsia" w:ascii="Times New Roman" w:hAnsi="Times New Roman" w:eastAsia="宋体" w:cs="宋体"/>
                      <w:color w:val="000000" w:themeColor="text1"/>
                      <w:kern w:val="0"/>
                      <w:sz w:val="21"/>
                      <w:szCs w:val="21"/>
                      <w:highlight w:val="none"/>
                      <w14:textFill>
                        <w14:solidFill>
                          <w14:schemeClr w14:val="tx1"/>
                        </w14:solidFill>
                      </w14:textFill>
                    </w:rPr>
                    <w:t>》（环环评</w:t>
                  </w:r>
                  <w:r>
                    <w:rPr>
                      <w:rFonts w:hint="eastAsia" w:ascii="Times New Roman" w:hAnsi="Times New Roman" w:eastAsia="宋体" w:cs="宋体"/>
                      <w:color w:val="000000" w:themeColor="text1"/>
                      <w:sz w:val="21"/>
                      <w:szCs w:val="21"/>
                      <w:highlight w:val="none"/>
                      <w14:textFill>
                        <w14:solidFill>
                          <w14:schemeClr w14:val="tx1"/>
                        </w14:solidFill>
                      </w14:textFill>
                    </w:rPr>
                    <w:t>〔2021〕</w:t>
                  </w:r>
                  <w:r>
                    <w:rPr>
                      <w:rFonts w:hint="eastAsia" w:ascii="Times New Roman" w:hAnsi="Times New Roman" w:eastAsia="宋体" w:cs="宋体"/>
                      <w:color w:val="000000" w:themeColor="text1"/>
                      <w:kern w:val="0"/>
                      <w:sz w:val="21"/>
                      <w:szCs w:val="21"/>
                      <w:highlight w:val="none"/>
                      <w14:textFill>
                        <w14:solidFill>
                          <w14:schemeClr w14:val="tx1"/>
                        </w14:solidFill>
                      </w14:textFill>
                    </w:rPr>
                    <w:t>45号）中的所列行业、《江苏省“两高”项目管理目录（2025年版）》（苏发改规发〔2025〕4号）中的所列行业，《关于进一步加强重金属污染防控的意见》（环固体</w:t>
                  </w:r>
                  <w:r>
                    <w:rPr>
                      <w:rFonts w:hint="eastAsia" w:ascii="Times New Roman" w:hAnsi="Times New Roman" w:eastAsia="宋体" w:cs="宋体"/>
                      <w:color w:val="000000" w:themeColor="text1"/>
                      <w:sz w:val="21"/>
                      <w:szCs w:val="21"/>
                      <w:highlight w:val="none"/>
                      <w14:textFill>
                        <w14:solidFill>
                          <w14:schemeClr w14:val="tx1"/>
                        </w14:solidFill>
                      </w14:textFill>
                    </w:rPr>
                    <w:t>〔2022〕</w:t>
                  </w:r>
                  <w:r>
                    <w:rPr>
                      <w:rFonts w:hint="eastAsia" w:ascii="Times New Roman" w:hAnsi="Times New Roman" w:eastAsia="宋体" w:cs="宋体"/>
                      <w:color w:val="000000" w:themeColor="text1"/>
                      <w:kern w:val="0"/>
                      <w:sz w:val="21"/>
                      <w:szCs w:val="21"/>
                      <w:highlight w:val="none"/>
                      <w14:textFill>
                        <w14:solidFill>
                          <w14:schemeClr w14:val="tx1"/>
                        </w14:solidFill>
                      </w14:textFill>
                    </w:rPr>
                    <w:t>17号）中的重点行业，《</w:t>
                  </w:r>
                  <w:r>
                    <w:rPr>
                      <w:rFonts w:hint="eastAsia" w:ascii="Times New Roman" w:hAnsi="Times New Roman" w:eastAsia="宋体" w:cs="宋体"/>
                      <w:color w:val="000000" w:themeColor="text1"/>
                      <w:sz w:val="21"/>
                      <w:szCs w:val="21"/>
                      <w:highlight w:val="none"/>
                      <w14:textFill>
                        <w14:solidFill>
                          <w14:schemeClr w14:val="tx1"/>
                        </w14:solidFill>
                      </w14:textFill>
                    </w:rPr>
                    <w:t>省生态环境厅印发关于进一步加强重金属污染防控工作的实施方案的通知</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（苏环办〔2022〕155号）中的重点行业及重点污染物。</w:t>
                  </w:r>
                </w:p>
              </w:tc>
              <w:tc>
                <w:tcPr>
                  <w:tcW w:w="320" w:type="pct"/>
                  <w:vAlign w:val="center"/>
                </w:tcPr>
                <w:p w14:paraId="55B30EB5">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是</w:t>
                  </w:r>
                </w:p>
              </w:tc>
            </w:tr>
          </w:tbl>
          <w:p w14:paraId="4624D098">
            <w:pPr>
              <w:spacing w:line="360" w:lineRule="auto"/>
              <w:ind w:firstLine="420" w:firstLineChars="200"/>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（2）根据《江苏省2023年度生态环境分区管控动态更新成果公告》，</w:t>
            </w:r>
            <w:r>
              <w:rPr>
                <w:rFonts w:hint="eastAsia" w:ascii="Times New Roman" w:hAnsi="Times New Roman" w:eastAsia="宋体" w:cs="宋体"/>
                <w:bCs/>
                <w:color w:val="000000" w:themeColor="text1"/>
                <w:sz w:val="21"/>
                <w:szCs w:val="21"/>
                <w:highlight w:val="none"/>
                <w14:textFill>
                  <w14:solidFill>
                    <w14:schemeClr w14:val="tx1"/>
                  </w14:solidFill>
                </w14:textFill>
              </w:rPr>
              <w:t>本项目</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属于</w:t>
            </w:r>
            <w:r>
              <w:rPr>
                <w:rFonts w:hint="eastAsia" w:ascii="Times New Roman" w:hAnsi="Times New Roman" w:eastAsia="宋体" w:cs="宋体"/>
                <w:bCs/>
                <w:color w:val="000000" w:themeColor="text1"/>
                <w:sz w:val="21"/>
                <w:szCs w:val="21"/>
                <w:highlight w:val="none"/>
                <w14:textFill>
                  <w14:solidFill>
                    <w14:schemeClr w14:val="tx1"/>
                  </w14:solidFill>
                </w14:textFill>
              </w:rPr>
              <w:t>太湖流域，</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为</w:t>
            </w:r>
            <w:r>
              <w:rPr>
                <w:rFonts w:hint="eastAsia" w:ascii="Times New Roman" w:hAnsi="Times New Roman" w:eastAsia="宋体" w:cs="宋体"/>
                <w:bCs/>
                <w:color w:val="000000" w:themeColor="text1"/>
                <w:sz w:val="21"/>
                <w:szCs w:val="21"/>
                <w:highlight w:val="none"/>
                <w14:textFill>
                  <w14:solidFill>
                    <w14:schemeClr w14:val="tx1"/>
                  </w14:solidFill>
                </w14:textFill>
              </w:rPr>
              <w:t>江苏省重点管控单元</w:t>
            </w:r>
            <w:r>
              <w:rPr>
                <w:rFonts w:ascii="Times New Roman" w:hAnsi="Times New Roman" w:eastAsia="宋体" w:cs="宋体"/>
                <w:bCs/>
                <w:color w:val="000000" w:themeColor="text1"/>
                <w:sz w:val="21"/>
                <w:szCs w:val="21"/>
                <w:highlight w:val="none"/>
                <w14:textFill>
                  <w14:solidFill>
                    <w14:schemeClr w14:val="tx1"/>
                  </w14:solidFill>
                </w14:textFill>
              </w:rPr>
              <w:t>。</w:t>
            </w:r>
          </w:p>
          <w:p w14:paraId="44F312D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3</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江苏省</w:t>
            </w:r>
            <w:r>
              <w:rPr>
                <w:rFonts w:ascii="Times New Roman" w:hAnsi="Times New Roman" w:eastAsia="宋体" w:cs="宋体"/>
                <w:b/>
                <w:bCs/>
                <w:color w:val="000000" w:themeColor="text1"/>
                <w:spacing w:val="-4"/>
                <w:sz w:val="21"/>
                <w:szCs w:val="21"/>
                <w:highlight w:val="none"/>
                <w14:textFill>
                  <w14:solidFill>
                    <w14:schemeClr w14:val="tx1"/>
                  </w14:solidFill>
                </w14:textFill>
              </w:rPr>
              <w:t>生态环境准入清单</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871"/>
              <w:gridCol w:w="5427"/>
              <w:gridCol w:w="752"/>
            </w:tblGrid>
            <w:tr w14:paraId="673976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18" w:type="pct"/>
                  <w:vAlign w:val="center"/>
                </w:tcPr>
                <w:p w14:paraId="78EB8037">
                  <w:pPr>
                    <w:keepNext w:val="0"/>
                    <w:keepLines w:val="0"/>
                    <w:pageBreakBefore w:val="0"/>
                    <w:widowControl w:val="0"/>
                    <w:kinsoku/>
                    <w:wordWrap/>
                    <w:overflowPunct/>
                    <w:topLinePunct w:val="0"/>
                    <w:autoSpaceDE/>
                    <w:autoSpaceDN/>
                    <w:bidi w:val="0"/>
                    <w:adjustRightInd/>
                    <w:snapToGrid w:val="0"/>
                    <w:spacing w:line="300" w:lineRule="auto"/>
                    <w:jc w:val="cente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t>条款</w:t>
                  </w:r>
                </w:p>
              </w:tc>
              <w:tc>
                <w:tcPr>
                  <w:tcW w:w="3847" w:type="pct"/>
                  <w:vAlign w:val="center"/>
                </w:tcPr>
                <w:p w14:paraId="134E9412">
                  <w:pPr>
                    <w:keepNext w:val="0"/>
                    <w:keepLines w:val="0"/>
                    <w:pageBreakBefore w:val="0"/>
                    <w:widowControl w:val="0"/>
                    <w:kinsoku/>
                    <w:wordWrap/>
                    <w:overflowPunct/>
                    <w:topLinePunct w:val="0"/>
                    <w:autoSpaceDE/>
                    <w:autoSpaceDN/>
                    <w:bidi w:val="0"/>
                    <w:adjustRightInd/>
                    <w:snapToGrid w:val="0"/>
                    <w:spacing w:line="300" w:lineRule="auto"/>
                    <w:jc w:val="cente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生态环境准入清单</w:t>
                  </w:r>
                  <w: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t>太湖流域</w:t>
                  </w:r>
                  <w: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t>）</w:t>
                  </w:r>
                </w:p>
              </w:tc>
              <w:tc>
                <w:tcPr>
                  <w:tcW w:w="533" w:type="pct"/>
                  <w:vAlign w:val="center"/>
                </w:tcPr>
                <w:p w14:paraId="2423A024">
                  <w:pPr>
                    <w:keepNext w:val="0"/>
                    <w:keepLines w:val="0"/>
                    <w:pageBreakBefore w:val="0"/>
                    <w:widowControl w:val="0"/>
                    <w:kinsoku/>
                    <w:wordWrap/>
                    <w:overflowPunct/>
                    <w:topLinePunct w:val="0"/>
                    <w:autoSpaceDE/>
                    <w:autoSpaceDN/>
                    <w:bidi w:val="0"/>
                    <w:adjustRightInd/>
                    <w:snapToGrid w:val="0"/>
                    <w:spacing w:line="300" w:lineRule="auto"/>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对照分析</w:t>
                  </w:r>
                </w:p>
              </w:tc>
            </w:tr>
            <w:tr w14:paraId="7B3BD8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18" w:type="pct"/>
                  <w:vAlign w:val="center"/>
                </w:tcPr>
                <w:p w14:paraId="4574A71D">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空间布局约束</w:t>
                  </w:r>
                </w:p>
              </w:tc>
              <w:tc>
                <w:tcPr>
                  <w:tcW w:w="3847" w:type="pct"/>
                  <w:vAlign w:val="center"/>
                </w:tcPr>
                <w:p w14:paraId="687FA8AF">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textAlignment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在太湖流域一、二、三级保护区，禁止新建、改建、扩建化学制浆造纸、制革、酿造、染料、印染、电镀以及其他排放含磷、氮等污染物的企业和项目，城镇污水集中处理等环境基础设施项目和《江苏省太湖水污染防治条例》第四十六条规定的情形除外。</w:t>
                  </w:r>
                </w:p>
                <w:p w14:paraId="5A712EC9">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textAlignment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2．在太湖流域一级保护区，禁止新建、扩建向水体排放污染物的建设项目，禁止新建、扩建畜禽养殖场，禁止新建、扩建高尔夫球场、水上游乐等开发项目以及设置水上餐饮经营设施。</w:t>
                  </w:r>
                </w:p>
                <w:p w14:paraId="6ABBE31A">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3．在太湖流域二级保护区，禁止新建、扩建化工、医药生产项目，禁止新建、扩建污水集中处理设施排污口以外的排污口。</w:t>
                  </w:r>
                </w:p>
              </w:tc>
              <w:tc>
                <w:tcPr>
                  <w:tcW w:w="533" w:type="pct"/>
                  <w:vAlign w:val="center"/>
                </w:tcPr>
                <w:p w14:paraId="3DC48E67">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不属于禁止的企业和项目</w:t>
                  </w:r>
                </w:p>
              </w:tc>
            </w:tr>
            <w:tr w14:paraId="3E6181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18" w:type="pct"/>
                  <w:vAlign w:val="center"/>
                </w:tcPr>
                <w:p w14:paraId="32D8A852">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污染物排放管控</w:t>
                  </w:r>
                </w:p>
              </w:tc>
              <w:tc>
                <w:tcPr>
                  <w:tcW w:w="3847" w:type="pct"/>
                  <w:vAlign w:val="center"/>
                </w:tcPr>
                <w:p w14:paraId="5AA03488">
                  <w:pPr>
                    <w:keepNext w:val="0"/>
                    <w:keepLines w:val="0"/>
                    <w:pageBreakBefore w:val="0"/>
                    <w:widowControl w:val="0"/>
                    <w:kinsoku/>
                    <w:wordWrap/>
                    <w:overflowPunct/>
                    <w:topLinePunct w:val="0"/>
                    <w:autoSpaceDE/>
                    <w:autoSpaceDN/>
                    <w:bidi w:val="0"/>
                    <w:adjustRightInd/>
                    <w:snapToGrid w:val="0"/>
                    <w:spacing w:line="300" w:lineRule="auto"/>
                    <w:jc w:val="left"/>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城镇污水处理厂、纺织工业、化学工业、造纸工业、钢铁工业、电镀工业和食品工业的污水处理设施执行《太湖地区城镇污水处理厂及重点工业行业主要水污染物排放限值》</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533" w:type="pct"/>
                  <w:vAlign w:val="center"/>
                </w:tcPr>
                <w:p w14:paraId="7322FCEA">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不属于上述工业</w:t>
                  </w:r>
                </w:p>
              </w:tc>
            </w:tr>
            <w:tr w14:paraId="36AD5E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18" w:type="pct"/>
                  <w:vAlign w:val="center"/>
                </w:tcPr>
                <w:p w14:paraId="5EEBE211">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环境风险防控</w:t>
                  </w:r>
                </w:p>
              </w:tc>
              <w:tc>
                <w:tcPr>
                  <w:tcW w:w="3847" w:type="pct"/>
                  <w:vAlign w:val="center"/>
                </w:tcPr>
                <w:p w14:paraId="6BC4EBF2">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运输剧毒物质、危险化学品的船舶不得进入太湖。</w:t>
                  </w:r>
                </w:p>
                <w:p w14:paraId="24F4E4E8">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 xml:space="preserve">2．禁止向太湖流域水体排放或者倾倒油类、酸液、碱液、剧毒废渣废液、含放射性废渣废液、含病原体污水、工业废渣以及其他废弃物。 </w:t>
                  </w:r>
                </w:p>
                <w:p w14:paraId="61338364">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3．加强太湖流域生态环境风险应急管控，着力提高防控太湖蓝藻水华风险预警和应急处置能力。</w:t>
                  </w:r>
                </w:p>
              </w:tc>
              <w:tc>
                <w:tcPr>
                  <w:tcW w:w="533" w:type="pct"/>
                  <w:vAlign w:val="center"/>
                </w:tcPr>
                <w:p w14:paraId="1ED9DED8">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不涉及</w:t>
                  </w:r>
                </w:p>
              </w:tc>
            </w:tr>
            <w:tr w14:paraId="3D260F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18" w:type="pct"/>
                  <w:vAlign w:val="center"/>
                </w:tcPr>
                <w:p w14:paraId="4A51AF40">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资源</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利用</w:t>
                  </w:r>
                  <w:r>
                    <w:rPr>
                      <w:rFonts w:hint="eastAsia" w:ascii="Times New Roman" w:hAnsi="Times New Roman" w:eastAsia="宋体" w:cs="宋体"/>
                      <w:color w:val="000000" w:themeColor="text1"/>
                      <w:sz w:val="21"/>
                      <w:szCs w:val="21"/>
                      <w:highlight w:val="none"/>
                      <w14:textFill>
                        <w14:solidFill>
                          <w14:schemeClr w14:val="tx1"/>
                        </w14:solidFill>
                      </w14:textFill>
                    </w:rPr>
                    <w:t>效率要求</w:t>
                  </w:r>
                </w:p>
              </w:tc>
              <w:tc>
                <w:tcPr>
                  <w:tcW w:w="3847" w:type="pct"/>
                  <w:vAlign w:val="center"/>
                </w:tcPr>
                <w:p w14:paraId="58FD50D5">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严格用水定额管理制度，推进取用水规范化管理，科学制定用水定额并动态调整，对超过用水定额标准的企业分类分步先期实施节水改造，鼓励重点用水企业、园区建立智慧用水管理系统。</w:t>
                  </w:r>
                </w:p>
                <w:p w14:paraId="6CE440E9">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2．推进新孟河、新沟河、望虞河、走马塘等河道联合调度，科学调控太湖水位</w:t>
                  </w:r>
                  <w:r>
                    <w:rPr>
                      <w:rFonts w:ascii="Times New Roman" w:hAnsi="Times New Roman" w:eastAsia="宋体" w:cs="宋体"/>
                      <w:bCs/>
                      <w:color w:val="000000" w:themeColor="text1"/>
                      <w:sz w:val="21"/>
                      <w:szCs w:val="21"/>
                      <w:highlight w:val="none"/>
                      <w14:textFill>
                        <w14:solidFill>
                          <w14:schemeClr w14:val="tx1"/>
                        </w14:solidFill>
                      </w14:textFill>
                    </w:rPr>
                    <w:t>。</w:t>
                  </w:r>
                </w:p>
              </w:tc>
              <w:tc>
                <w:tcPr>
                  <w:tcW w:w="533" w:type="pct"/>
                  <w:vAlign w:val="center"/>
                </w:tcPr>
                <w:p w14:paraId="10A3D164">
                  <w:pPr>
                    <w:keepNext w:val="0"/>
                    <w:keepLines w:val="0"/>
                    <w:pageBreakBefore w:val="0"/>
                    <w:widowControl w:val="0"/>
                    <w:kinsoku/>
                    <w:wordWrap/>
                    <w:overflowPunct/>
                    <w:topLinePunct w:val="0"/>
                    <w:autoSpaceDE/>
                    <w:autoSpaceDN/>
                    <w:bidi w:val="0"/>
                    <w:adjustRightInd/>
                    <w:snapToGrid w:val="0"/>
                    <w:spacing w:line="300" w:lineRule="auto"/>
                    <w:jc w:val="center"/>
                    <w:textAlignment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相符</w:t>
                  </w:r>
                </w:p>
              </w:tc>
            </w:tr>
          </w:tbl>
          <w:p w14:paraId="09E6F191">
            <w:pPr>
              <w:keepLines/>
              <w:spacing w:line="360" w:lineRule="auto"/>
              <w:ind w:firstLine="420" w:firstLineChars="200"/>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（3）根据</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14:textFill>
                  <w14:solidFill>
                    <w14:schemeClr w14:val="tx1"/>
                  </w14:solidFill>
                </w14:textFill>
              </w:rPr>
              <w:t>常州市生态环境分区管控动态更新成果（2023年版）</w:t>
            </w:r>
            <w: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Cs/>
                <w:color w:val="000000" w:themeColor="text1"/>
                <w:sz w:val="21"/>
                <w:szCs w:val="21"/>
                <w:highlight w:val="none"/>
                <w14:textFill>
                  <w14:solidFill>
                    <w14:schemeClr w14:val="tx1"/>
                  </w14:solidFill>
                </w14:textFill>
              </w:rPr>
              <w:t>，本项目</w:t>
            </w:r>
            <w:r>
              <w:rPr>
                <w:rFonts w:hint="eastAsia" w:ascii="Times New Roman" w:hAnsi="Times New Roman" w:eastAsia="宋体" w:cs="宋体"/>
                <w:bCs/>
                <w:smallCaps w:val="0"/>
                <w:color w:val="000000" w:themeColor="text1"/>
                <w:sz w:val="21"/>
                <w:szCs w:val="21"/>
                <w:highlight w:val="none"/>
                <w14:textFill>
                  <w14:solidFill>
                    <w14:schemeClr w14:val="tx1"/>
                  </w14:solidFill>
                </w14:textFill>
              </w:rPr>
              <w:t>位于</w:t>
            </w:r>
            <w:r>
              <w:rPr>
                <w:rFonts w:hint="eastAsia" w:ascii="Times New Roman" w:hAnsi="Times New Roman" w:eastAsia="宋体" w:cs="宋体"/>
                <w:bCs/>
                <w:smallCaps w:val="0"/>
                <w:color w:val="000000" w:themeColor="text1"/>
                <w:sz w:val="21"/>
                <w:szCs w:val="21"/>
                <w:highlight w:val="none"/>
                <w:lang w:val="en-US" w:eastAsia="zh-CN"/>
                <w14:textFill>
                  <w14:solidFill>
                    <w14:schemeClr w14:val="tx1"/>
                  </w14:solidFill>
                </w14:textFill>
              </w:rPr>
              <w:t>社头工业集中区</w:t>
            </w:r>
            <w:r>
              <w:rPr>
                <w:rFonts w:hint="eastAsia" w:ascii="Times New Roman" w:hAnsi="Times New Roman" w:eastAsia="宋体" w:cs="宋体"/>
                <w:bCs/>
                <w:smallCaps w:val="0"/>
                <w:color w:val="000000" w:themeColor="text1"/>
                <w:sz w:val="21"/>
                <w:szCs w:val="21"/>
                <w:highlight w:val="none"/>
                <w14:textFill>
                  <w14:solidFill>
                    <w14:schemeClr w14:val="tx1"/>
                  </w14:solidFill>
                </w14:textFill>
              </w:rPr>
              <w:t>，属于常州市</w:t>
            </w:r>
            <w:r>
              <w:rPr>
                <w:rFonts w:hint="eastAsia" w:ascii="Times New Roman" w:hAnsi="Times New Roman" w:eastAsia="宋体" w:cs="宋体"/>
                <w:bCs/>
                <w:smallCaps w:val="0"/>
                <w:color w:val="000000" w:themeColor="text1"/>
                <w:sz w:val="21"/>
                <w:szCs w:val="21"/>
                <w:highlight w:val="none"/>
                <w:lang w:val="en-US" w:eastAsia="zh-CN"/>
                <w14:textFill>
                  <w14:solidFill>
                    <w14:schemeClr w14:val="tx1"/>
                  </w14:solidFill>
                </w14:textFill>
              </w:rPr>
              <w:t>重点</w:t>
            </w:r>
            <w:r>
              <w:rPr>
                <w:rFonts w:hint="eastAsia" w:ascii="Times New Roman" w:hAnsi="Times New Roman" w:eastAsia="宋体" w:cs="宋体"/>
                <w:bCs/>
                <w:smallCaps w:val="0"/>
                <w:color w:val="000000" w:themeColor="text1"/>
                <w:sz w:val="21"/>
                <w:szCs w:val="21"/>
                <w:highlight w:val="none"/>
                <w14:textFill>
                  <w14:solidFill>
                    <w14:schemeClr w14:val="tx1"/>
                  </w14:solidFill>
                </w14:textFill>
              </w:rPr>
              <w:t>管控单元</w:t>
            </w:r>
            <w:r>
              <w:rPr>
                <w:rFonts w:hint="eastAsia" w:ascii="Times New Roman" w:hAnsi="Times New Roman" w:eastAsia="宋体" w:cs="宋体"/>
                <w:bCs/>
                <w:color w:val="000000" w:themeColor="text1"/>
                <w:sz w:val="21"/>
                <w:szCs w:val="21"/>
                <w:highlight w:val="none"/>
                <w14:textFill>
                  <w14:solidFill>
                    <w14:schemeClr w14:val="tx1"/>
                  </w14:solidFill>
                </w14:textFill>
              </w:rPr>
              <w:t>。</w:t>
            </w:r>
          </w:p>
          <w:p w14:paraId="0BCEF47B">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1-</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4</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常州市</w:t>
            </w:r>
            <w:r>
              <w:rPr>
                <w:rFonts w:ascii="Times New Roman" w:hAnsi="Times New Roman" w:eastAsia="宋体" w:cs="宋体"/>
                <w:b/>
                <w:bCs/>
                <w:color w:val="000000" w:themeColor="text1"/>
                <w:spacing w:val="-4"/>
                <w:sz w:val="21"/>
                <w:szCs w:val="21"/>
                <w:highlight w:val="none"/>
                <w14:textFill>
                  <w14:solidFill>
                    <w14:schemeClr w14:val="tx1"/>
                  </w14:solidFill>
                </w14:textFill>
              </w:rPr>
              <w:t>生态环境准入清单</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75"/>
              <w:gridCol w:w="3469"/>
              <w:gridCol w:w="3106"/>
            </w:tblGrid>
            <w:tr w14:paraId="38AB0B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7" w:type="pct"/>
                  <w:vAlign w:val="center"/>
                </w:tcPr>
                <w:p w14:paraId="1FB287BF">
                  <w:pPr>
                    <w:keepLines/>
                    <w:snapToGrid w:val="0"/>
                    <w:jc w:val="cente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t>条款</w:t>
                  </w:r>
                </w:p>
              </w:tc>
              <w:tc>
                <w:tcPr>
                  <w:tcW w:w="2460" w:type="pct"/>
                  <w:vAlign w:val="center"/>
                </w:tcPr>
                <w:p w14:paraId="4C41445B">
                  <w:pPr>
                    <w:keepLines/>
                    <w:snapToGrid w:val="0"/>
                    <w:jc w:val="cente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生态环境准入清单</w:t>
                  </w:r>
                  <w: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t>社头工业集中区</w:t>
                  </w:r>
                  <w: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t>）</w:t>
                  </w:r>
                </w:p>
              </w:tc>
              <w:tc>
                <w:tcPr>
                  <w:tcW w:w="2202" w:type="pct"/>
                  <w:vAlign w:val="center"/>
                </w:tcPr>
                <w:p w14:paraId="6F1059BC">
                  <w:pPr>
                    <w:keepLines/>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对照分析</w:t>
                  </w:r>
                </w:p>
              </w:tc>
            </w:tr>
            <w:tr w14:paraId="425874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7" w:type="pct"/>
                  <w:shd w:val="clear" w:color="auto" w:fill="auto"/>
                  <w:vAlign w:val="center"/>
                </w:tcPr>
                <w:p w14:paraId="491F6B92">
                  <w:pPr>
                    <w:keepNext w:val="0"/>
                    <w:keepLines w:val="0"/>
                    <w:pageBreakBefore w:val="0"/>
                    <w:widowControl w:val="0"/>
                    <w:kinsoku/>
                    <w:wordWrap/>
                    <w:overflowPunct/>
                    <w:topLinePunct w:val="0"/>
                    <w:autoSpaceDE/>
                    <w:autoSpaceDN/>
                    <w:bidi w:val="0"/>
                    <w:adjustRightInd/>
                    <w:snapToGrid w:val="0"/>
                    <w:spacing w:line="300" w:lineRule="auto"/>
                    <w:jc w:val="both"/>
                    <w:textAlignment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空间布局约束</w:t>
                  </w:r>
                </w:p>
              </w:tc>
              <w:tc>
                <w:tcPr>
                  <w:tcW w:w="4043" w:type="dxa"/>
                  <w:vAlign w:val="center"/>
                </w:tcPr>
                <w:p w14:paraId="44BA2EAD">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（1）各类开发建设活动应符合常州市总体规划、控制性详细规划、土地利用规划等相关要求。</w:t>
                  </w:r>
                </w:p>
                <w:p w14:paraId="6D855DD0">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（2）优化产业布局和结构，实施分区差别化的产业准入要求。</w:t>
                  </w:r>
                </w:p>
                <w:p w14:paraId="1B848A9A">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合理规划居住区与园区，在居住区和园区、企业之间设置防护绿地、生态绿地等隔离带。</w:t>
                  </w:r>
                </w:p>
              </w:tc>
              <w:tc>
                <w:tcPr>
                  <w:tcW w:w="3619" w:type="dxa"/>
                  <w:vAlign w:val="center"/>
                </w:tcPr>
                <w:p w14:paraId="3D10AFDF">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本项目位于江苏省常州市金坛区指前镇社头集镇社兴东路，不占用生态红线。</w:t>
                  </w:r>
                </w:p>
              </w:tc>
            </w:tr>
            <w:tr w14:paraId="576D35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7" w:type="pct"/>
                  <w:shd w:val="clear" w:color="auto" w:fill="auto"/>
                  <w:vAlign w:val="center"/>
                </w:tcPr>
                <w:p w14:paraId="57FEF617">
                  <w:pPr>
                    <w:keepNext w:val="0"/>
                    <w:keepLines w:val="0"/>
                    <w:pageBreakBefore w:val="0"/>
                    <w:widowControl w:val="0"/>
                    <w:kinsoku/>
                    <w:wordWrap/>
                    <w:overflowPunct/>
                    <w:topLinePunct w:val="0"/>
                    <w:autoSpaceDE/>
                    <w:autoSpaceDN/>
                    <w:bidi w:val="0"/>
                    <w:adjustRightInd/>
                    <w:snapToGrid w:val="0"/>
                    <w:spacing w:line="300" w:lineRule="auto"/>
                    <w:jc w:val="both"/>
                    <w:textAlignment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污染物排放管控</w:t>
                  </w:r>
                </w:p>
              </w:tc>
              <w:tc>
                <w:tcPr>
                  <w:tcW w:w="4043" w:type="dxa"/>
                  <w:vAlign w:val="center"/>
                </w:tcPr>
                <w:p w14:paraId="47B9B944">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严格实施污染物总量控制制度，根据区域环境质量改善目标，采取有效措施减少主要污染物排放总量，确保区域环境质量持续改善。</w:t>
                  </w:r>
                </w:p>
              </w:tc>
              <w:tc>
                <w:tcPr>
                  <w:tcW w:w="3619" w:type="dxa"/>
                  <w:vAlign w:val="center"/>
                </w:tcPr>
                <w:p w14:paraId="1A7DB379">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本项目废气、废水总量控制指标在金坛区范围内平衡，扩建后各类固体废物无害化处置，危险废物委托有资质单位安全处置。</w:t>
                  </w:r>
                </w:p>
              </w:tc>
            </w:tr>
            <w:tr w14:paraId="027D6F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7" w:type="pct"/>
                  <w:shd w:val="clear" w:color="auto" w:fill="auto"/>
                  <w:vAlign w:val="center"/>
                </w:tcPr>
                <w:p w14:paraId="4312E645">
                  <w:pPr>
                    <w:keepNext w:val="0"/>
                    <w:keepLines w:val="0"/>
                    <w:pageBreakBefore w:val="0"/>
                    <w:widowControl w:val="0"/>
                    <w:kinsoku/>
                    <w:wordWrap/>
                    <w:overflowPunct/>
                    <w:topLinePunct w:val="0"/>
                    <w:autoSpaceDE/>
                    <w:autoSpaceDN/>
                    <w:bidi w:val="0"/>
                    <w:adjustRightInd/>
                    <w:snapToGrid w:val="0"/>
                    <w:spacing w:line="300" w:lineRule="auto"/>
                    <w:jc w:val="both"/>
                    <w:textAlignment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环境风险防控</w:t>
                  </w:r>
                </w:p>
              </w:tc>
              <w:tc>
                <w:tcPr>
                  <w:tcW w:w="4043" w:type="dxa"/>
                  <w:vAlign w:val="center"/>
                </w:tcPr>
                <w:p w14:paraId="6B4CD031">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（1）园区建立环境应急体系，完善事故应急救援体系，加强应急物资装备储备，编制突发环境事件应急预案，定期开展演练。</w:t>
                  </w:r>
                </w:p>
                <w:p w14:paraId="19FB538A">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（2）生产、使用、储存危险化学品或其他存在环境风险的企事业单位，应当制定风险防范措施，编制完善突发环境事件应急预案，防止发生环境污染事故。</w:t>
                  </w:r>
                </w:p>
                <w:p w14:paraId="029EABFE">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（3）加强环境影响跟踪监测，建立健全各环境要素监控体系，完善并落实园区日常环境监测与污染源监控计划。</w:t>
                  </w:r>
                </w:p>
              </w:tc>
              <w:tc>
                <w:tcPr>
                  <w:tcW w:w="3619" w:type="dxa"/>
                  <w:vAlign w:val="center"/>
                </w:tcPr>
                <w:p w14:paraId="4893027D">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本项目在生产过程中建立事故应急救援体系，定期开展演练，加强应急物资装备储备。</w:t>
                  </w:r>
                </w:p>
              </w:tc>
            </w:tr>
            <w:tr w14:paraId="11F679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7" w:type="pct"/>
                  <w:shd w:val="clear" w:color="auto" w:fill="auto"/>
                  <w:vAlign w:val="center"/>
                </w:tcPr>
                <w:p w14:paraId="3665F913">
                  <w:pPr>
                    <w:keepNext w:val="0"/>
                    <w:keepLines w:val="0"/>
                    <w:pageBreakBefore w:val="0"/>
                    <w:widowControl w:val="0"/>
                    <w:kinsoku/>
                    <w:wordWrap/>
                    <w:overflowPunct/>
                    <w:topLinePunct w:val="0"/>
                    <w:autoSpaceDE/>
                    <w:autoSpaceDN/>
                    <w:bidi w:val="0"/>
                    <w:adjustRightInd/>
                    <w:snapToGrid w:val="0"/>
                    <w:spacing w:line="300" w:lineRule="auto"/>
                    <w:jc w:val="both"/>
                    <w:textAlignment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资源</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开发</w:t>
                  </w:r>
                  <w:r>
                    <w:rPr>
                      <w:rFonts w:hint="eastAsia" w:ascii="Times New Roman" w:hAnsi="Times New Roman" w:eastAsia="宋体" w:cs="宋体"/>
                      <w:color w:val="000000" w:themeColor="text1"/>
                      <w:sz w:val="21"/>
                      <w:szCs w:val="21"/>
                      <w:highlight w:val="none"/>
                      <w14:textFill>
                        <w14:solidFill>
                          <w14:schemeClr w14:val="tx1"/>
                        </w14:solidFill>
                      </w14:textFill>
                    </w:rPr>
                    <w:t>效率要求</w:t>
                  </w:r>
                </w:p>
              </w:tc>
              <w:tc>
                <w:tcPr>
                  <w:tcW w:w="4043" w:type="dxa"/>
                  <w:vAlign w:val="center"/>
                </w:tcPr>
                <w:p w14:paraId="678B2625">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（1）大力倡导使用清洁能源。</w:t>
                  </w:r>
                </w:p>
                <w:p w14:paraId="32C31BA9">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（2）提升废水资源化技术，提高水资源回用率。</w:t>
                  </w:r>
                </w:p>
                <w:p w14:paraId="176C8A66">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（3）禁燃区内禁止新建、技术改造燃用高污染燃料的项目和设施，已建成的应逐步或依法限期改用天然气、电或者其他清洁能源。</w:t>
                  </w:r>
                </w:p>
              </w:tc>
              <w:tc>
                <w:tcPr>
                  <w:tcW w:w="3619" w:type="dxa"/>
                  <w:vAlign w:val="center"/>
                </w:tcPr>
                <w:p w14:paraId="70173097">
                  <w:pPr>
                    <w:pStyle w:val="71"/>
                    <w:keepNext w:val="0"/>
                    <w:keepLines w:val="0"/>
                    <w:pageBreakBefore w:val="0"/>
                    <w:widowControl w:val="0"/>
                    <w:kinsoku/>
                    <w:wordWrap/>
                    <w:overflowPunct/>
                    <w:topLinePunct w:val="0"/>
                    <w:autoSpaceDE/>
                    <w:autoSpaceDN/>
                    <w:bidi w:val="0"/>
                    <w:adjustRightInd/>
                    <w:snapToGrid w:val="0"/>
                    <w:spacing w:line="300" w:lineRule="auto"/>
                    <w:jc w:val="both"/>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本项目采用水、电等清洁能源，不涉及高污染燃料，满足管控要求。</w:t>
                  </w:r>
                </w:p>
              </w:tc>
            </w:tr>
          </w:tbl>
          <w:p w14:paraId="75B4AEE0">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3</w:t>
            </w:r>
            <w:r>
              <w:rPr>
                <w:rFonts w:ascii="Times New Roman" w:hAnsi="Times New Roman" w:eastAsia="宋体" w:cs="宋体"/>
                <w:b/>
                <w:bCs/>
                <w:color w:val="000000" w:themeColor="text1"/>
                <w:sz w:val="21"/>
                <w:szCs w:val="21"/>
                <w:highlight w:val="none"/>
                <w14:textFill>
                  <w14:solidFill>
                    <w14:schemeClr w14:val="tx1"/>
                  </w14:solidFill>
                </w14:textFill>
              </w:rPr>
              <w:t>、与</w:t>
            </w:r>
            <w:r>
              <w:rPr>
                <w:rFonts w:hint="eastAsia" w:ascii="Times New Roman" w:hAnsi="Times New Roman" w:eastAsia="宋体" w:cs="宋体"/>
                <w:b/>
                <w:bCs/>
                <w:color w:val="000000" w:themeColor="text1"/>
                <w:sz w:val="21"/>
                <w:szCs w:val="21"/>
                <w:highlight w:val="none"/>
                <w14:textFill>
                  <w14:solidFill>
                    <w14:schemeClr w14:val="tx1"/>
                  </w14:solidFill>
                </w14:textFill>
              </w:rPr>
              <w:t>相关</w:t>
            </w:r>
            <w:r>
              <w:rPr>
                <w:rFonts w:ascii="Times New Roman" w:hAnsi="Times New Roman" w:eastAsia="宋体" w:cs="宋体"/>
                <w:b/>
                <w:bCs/>
                <w:color w:val="000000" w:themeColor="text1"/>
                <w:sz w:val="21"/>
                <w:szCs w:val="21"/>
                <w:highlight w:val="none"/>
                <w14:textFill>
                  <w14:solidFill>
                    <w14:schemeClr w14:val="tx1"/>
                  </w14:solidFill>
                </w14:textFill>
              </w:rPr>
              <w:t>生态文件相符性分析</w:t>
            </w:r>
          </w:p>
          <w:p w14:paraId="3D6E67CC">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1-</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5</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相关</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生态文件</w:t>
            </w:r>
            <w:r>
              <w:rPr>
                <w:rFonts w:ascii="Times New Roman" w:hAnsi="Times New Roman" w:eastAsia="宋体" w:cs="宋体"/>
                <w:b/>
                <w:bCs/>
                <w:color w:val="000000" w:themeColor="text1"/>
                <w:spacing w:val="-4"/>
                <w:sz w:val="21"/>
                <w:szCs w:val="21"/>
                <w:highlight w:val="none"/>
                <w14:textFill>
                  <w14:solidFill>
                    <w14:schemeClr w14:val="tx1"/>
                  </w14:solidFill>
                </w14:textFill>
              </w:rPr>
              <w:t>相符性</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859"/>
              <w:gridCol w:w="3198"/>
              <w:gridCol w:w="2993"/>
            </w:tblGrid>
            <w:tr w14:paraId="6C572B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01B0BD72">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条款</w:t>
                  </w:r>
                </w:p>
              </w:tc>
              <w:tc>
                <w:tcPr>
                  <w:tcW w:w="2268" w:type="pct"/>
                  <w:vAlign w:val="center"/>
                </w:tcPr>
                <w:p w14:paraId="119FAEE9">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内容</w:t>
                  </w:r>
                </w:p>
              </w:tc>
              <w:tc>
                <w:tcPr>
                  <w:tcW w:w="2121" w:type="pct"/>
                  <w:vAlign w:val="center"/>
                </w:tcPr>
                <w:p w14:paraId="48F4B494">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对照分析</w:t>
                  </w:r>
                </w:p>
              </w:tc>
            </w:tr>
            <w:tr w14:paraId="29685F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030690B4">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w:t>
                  </w:r>
                  <w:r>
                    <w:rPr>
                      <w:rFonts w:ascii="Times New Roman" w:hAnsi="Times New Roman" w:eastAsia="宋体" w:cs="宋体"/>
                      <w:b/>
                      <w:bCs/>
                      <w:color w:val="000000" w:themeColor="text1"/>
                      <w:sz w:val="21"/>
                      <w:szCs w:val="21"/>
                      <w:highlight w:val="none"/>
                      <w14:textFill>
                        <w14:solidFill>
                          <w14:schemeClr w14:val="tx1"/>
                        </w14:solidFill>
                      </w14:textFill>
                    </w:rPr>
                    <w:t>江苏省太湖水污染防治条例</w:t>
                  </w:r>
                  <w:r>
                    <w:rPr>
                      <w:rFonts w:hint="eastAsia" w:ascii="Times New Roman" w:hAnsi="Times New Roman" w:eastAsia="宋体" w:cs="宋体"/>
                      <w:b/>
                      <w:bCs/>
                      <w:color w:val="000000" w:themeColor="text1"/>
                      <w:sz w:val="21"/>
                      <w:szCs w:val="21"/>
                      <w:highlight w:val="none"/>
                      <w14:textFill>
                        <w14:solidFill>
                          <w14:schemeClr w14:val="tx1"/>
                        </w14:solidFill>
                      </w14:textFill>
                    </w:rPr>
                    <w:t>》（2021年修正）</w:t>
                  </w:r>
                </w:p>
              </w:tc>
            </w:tr>
            <w:tr w14:paraId="5B57D6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6E0A9AF9">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第四十三条</w:t>
                  </w:r>
                </w:p>
              </w:tc>
              <w:tc>
                <w:tcPr>
                  <w:tcW w:w="2268" w:type="pct"/>
                  <w:vAlign w:val="center"/>
                </w:tcPr>
                <w:p w14:paraId="2613B574">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太湖流域一、二、三级保护区禁止下列行为：</w:t>
                  </w:r>
                </w:p>
                <w:p w14:paraId="44AF12F1">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（一）新建、改建、扩建化学制浆造纸、制革、酿造、染料、印染、电镀以及其他排放含磷、氮等污染物的企业和项目，城镇污水集中处理等环境基础设施项目和第四十六条规定的情形除外；</w:t>
                  </w:r>
                </w:p>
                <w:p w14:paraId="55071407">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（二）销售、使用含磷洗涤用品；</w:t>
                  </w:r>
                </w:p>
                <w:p w14:paraId="75F4EF27">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（三）向水体排放或者倾倒油类、酸液、碱液、剧毒废渣废液、含放射性废渣废液、含病原体污水、工业废渣以及其他废弃物；</w:t>
                  </w:r>
                </w:p>
                <w:p w14:paraId="5D087685">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（四）在水体清洗装贮过油类或者有毒有害污染物的车辆、船舶和容器等；</w:t>
                  </w:r>
                </w:p>
                <w:p w14:paraId="6C6F1168">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（五）使用农药等有毒物毒杀水生生物；</w:t>
                  </w:r>
                </w:p>
                <w:p w14:paraId="6493FC2A">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（六）向水体直接排放人畜粪便、倾倒垃圾；</w:t>
                  </w:r>
                </w:p>
                <w:p w14:paraId="1158CCCD">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（七）围湖造地；</w:t>
                  </w:r>
                </w:p>
                <w:p w14:paraId="25C3DD09">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（八）违法开山采石，或者进行破坏林木、植被、水生生物的活动；</w:t>
                  </w:r>
                </w:p>
                <w:p w14:paraId="66D12C29">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（九）法律、法规禁止的其他行为。</w:t>
                  </w:r>
                </w:p>
              </w:tc>
              <w:tc>
                <w:tcPr>
                  <w:tcW w:w="2121" w:type="pct"/>
                  <w:vAlign w:val="center"/>
                </w:tcPr>
                <w:p w14:paraId="282F9DAA">
                  <w:pPr>
                    <w:keepNext w:val="0"/>
                    <w:pageBreakBefore w:val="0"/>
                    <w:kinsoku/>
                    <w:wordWrap/>
                    <w:overflowPunct/>
                    <w:topLinePunct w:val="0"/>
                    <w:bidi w:val="0"/>
                    <w:adjustRightInd/>
                    <w:snapToGrid w:val="0"/>
                    <w:spacing w:line="300" w:lineRule="auto"/>
                    <w:jc w:val="center"/>
                    <w:textAlignment w:val="auto"/>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根据《省政府办公厅关于公布江苏省太湖流域三级保护区范围的通知》（苏政办发</w:t>
                  </w:r>
                  <w:r>
                    <w:rPr>
                      <w:rFonts w:hint="eastAsia" w:ascii="Times New Roman" w:hAnsi="Times New Roman" w:eastAsia="宋体" w:cs="宋体"/>
                      <w:color w:val="000000" w:themeColor="text1"/>
                      <w:sz w:val="21"/>
                      <w:szCs w:val="21"/>
                      <w:highlight w:val="none"/>
                      <w14:textFill>
                        <w14:solidFill>
                          <w14:schemeClr w14:val="tx1"/>
                        </w14:solidFill>
                      </w14:textFill>
                    </w:rPr>
                    <w:t>〔2012〕</w:t>
                  </w:r>
                  <w:r>
                    <w:rPr>
                      <w:rFonts w:ascii="Times New Roman" w:hAnsi="Times New Roman" w:eastAsia="宋体" w:cs="宋体"/>
                      <w:bCs/>
                      <w:color w:val="000000" w:themeColor="text1"/>
                      <w:sz w:val="21"/>
                      <w:szCs w:val="21"/>
                      <w:highlight w:val="none"/>
                      <w14:textFill>
                        <w14:solidFill>
                          <w14:schemeClr w14:val="tx1"/>
                        </w14:solidFill>
                      </w14:textFill>
                    </w:rPr>
                    <w:t>221号），本项目所在地属于太湖流域</w:t>
                  </w:r>
                  <w:r>
                    <w:rPr>
                      <w:rFonts w:hint="eastAsia" w:ascii="Times New Roman" w:hAnsi="Times New Roman" w:eastAsia="宋体" w:cs="宋体"/>
                      <w:bCs/>
                      <w:color w:val="000000" w:themeColor="text1"/>
                      <w:sz w:val="21"/>
                      <w:szCs w:val="21"/>
                      <w:highlight w:val="none"/>
                      <w14:textFill>
                        <w14:solidFill>
                          <w14:schemeClr w14:val="tx1"/>
                        </w14:solidFill>
                      </w14:textFill>
                    </w:rPr>
                    <w:t>三</w:t>
                  </w:r>
                  <w:r>
                    <w:rPr>
                      <w:rFonts w:ascii="Times New Roman" w:hAnsi="Times New Roman" w:eastAsia="宋体" w:cs="宋体"/>
                      <w:bCs/>
                      <w:color w:val="000000" w:themeColor="text1"/>
                      <w:sz w:val="21"/>
                      <w:szCs w:val="21"/>
                      <w:highlight w:val="none"/>
                      <w14:textFill>
                        <w14:solidFill>
                          <w14:schemeClr w14:val="tx1"/>
                        </w14:solidFill>
                      </w14:textFill>
                    </w:rPr>
                    <w:t>级保护区</w:t>
                  </w:r>
                  <w:r>
                    <w:rPr>
                      <w:rFonts w:hint="eastAsia" w:cs="宋体"/>
                      <w:bCs/>
                      <w:color w:val="000000" w:themeColor="text1"/>
                      <w:sz w:val="21"/>
                      <w:szCs w:val="21"/>
                      <w:highlight w:val="none"/>
                      <w:lang w:eastAsia="zh-CN"/>
                      <w14:textFill>
                        <w14:solidFill>
                          <w14:schemeClr w14:val="tx1"/>
                        </w14:solidFill>
                      </w14:textFill>
                    </w:rPr>
                    <w:t>。</w:t>
                  </w:r>
                  <w:r>
                    <w:rPr>
                      <w:rFonts w:hint="eastAsia" w:cs="宋体"/>
                      <w:bCs/>
                      <w:color w:val="000000" w:themeColor="text1"/>
                      <w:sz w:val="21"/>
                      <w:szCs w:val="21"/>
                      <w:highlight w:val="none"/>
                      <w:lang w:val="en-US" w:eastAsia="zh-CN"/>
                      <w14:textFill>
                        <w14:solidFill>
                          <w14:schemeClr w14:val="tx1"/>
                        </w14:solidFill>
                      </w14:textFill>
                    </w:rPr>
                    <w:t>根据苏环办【2023】144号文，‘肉类加工(依据行业标准，BOD</w:t>
                  </w:r>
                  <w:r>
                    <w:rPr>
                      <w:rFonts w:hint="eastAsia" w:cs="宋体"/>
                      <w:bCs/>
                      <w:color w:val="000000" w:themeColor="text1"/>
                      <w:sz w:val="21"/>
                      <w:szCs w:val="21"/>
                      <w:highlight w:val="none"/>
                      <w:vertAlign w:val="subscript"/>
                      <w:lang w:val="en-US" w:eastAsia="zh-CN"/>
                      <w14:textFill>
                        <w14:solidFill>
                          <w14:schemeClr w14:val="tx1"/>
                        </w14:solidFill>
                      </w14:textFill>
                    </w:rPr>
                    <w:t>5</w:t>
                  </w:r>
                  <w:r>
                    <w:rPr>
                      <w:rFonts w:hint="eastAsia" w:cs="宋体"/>
                      <w:bCs/>
                      <w:color w:val="000000" w:themeColor="text1"/>
                      <w:sz w:val="21"/>
                      <w:szCs w:val="21"/>
                      <w:highlight w:val="none"/>
                      <w:lang w:val="en-US" w:eastAsia="zh-CN"/>
                      <w14:textFill>
                        <w14:solidFill>
                          <w14:schemeClr w14:val="tx1"/>
                        </w14:solidFill>
                      </w14:textFill>
                    </w:rPr>
                    <w:t>浓度可放宽至600mg，COD浓度可放宽至1000mg)等制造业工业企业，生产废水含优质碳源、可生化性较好、不含其它高浓度或有毒有害污染物，企业与城镇污水处理厂协商确定纳管间接排放限值，签订具备法律效力的书面合同,向当地城镇排水主管部门申领城镇污水排入排水管网许可证(以下简称排水许可证)，并报当地生态环境主管部门备案后，可准予接入。’</w:t>
                  </w:r>
                </w:p>
                <w:p w14:paraId="4938EDE1">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本项目属于肉类加工，废水含有优质碳源，废水</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经</w:t>
                  </w:r>
                  <w:r>
                    <w:rPr>
                      <w:rFonts w:hint="eastAsia" w:cs="宋体"/>
                      <w:bCs/>
                      <w:color w:val="000000" w:themeColor="text1"/>
                      <w:sz w:val="21"/>
                      <w:szCs w:val="21"/>
                      <w:highlight w:val="none"/>
                      <w:lang w:val="en-US" w:eastAsia="zh-CN"/>
                      <w14:textFill>
                        <w14:solidFill>
                          <w14:schemeClr w14:val="tx1"/>
                        </w14:solidFill>
                      </w14:textFill>
                    </w:rPr>
                    <w:t>污水处理站后可作为污水处理厂优质碳源，且本项目已向指前污水处理厂申请</w:t>
                  </w:r>
                  <w:r>
                    <w:rPr>
                      <w:rFonts w:hint="eastAsia" w:ascii="Times New Roman" w:hAnsi="Times New Roman" w:eastAsia="宋体" w:cs="宋体"/>
                      <w:bCs/>
                      <w:color w:val="000000" w:themeColor="text1"/>
                      <w:sz w:val="21"/>
                      <w:szCs w:val="21"/>
                      <w:highlight w:val="none"/>
                      <w14:textFill>
                        <w14:solidFill>
                          <w14:schemeClr w14:val="tx1"/>
                        </w14:solidFill>
                      </w14:textFill>
                    </w:rPr>
                    <w:t>接管</w:t>
                  </w:r>
                  <w:r>
                    <w:rPr>
                      <w:rFonts w:ascii="Times New Roman" w:hAnsi="Times New Roman" w:eastAsia="宋体" w:cs="宋体"/>
                      <w:bCs/>
                      <w:color w:val="000000" w:themeColor="text1"/>
                      <w:sz w:val="21"/>
                      <w:szCs w:val="21"/>
                      <w:highlight w:val="none"/>
                      <w14:textFill>
                        <w14:solidFill>
                          <w14:schemeClr w14:val="tx1"/>
                        </w14:solidFill>
                      </w14:textFill>
                    </w:rPr>
                    <w:t>市政污水管网，</w:t>
                  </w:r>
                  <w:r>
                    <w:rPr>
                      <w:rFonts w:hint="eastAsia" w:ascii="Times New Roman" w:hAnsi="Times New Roman" w:eastAsia="宋体" w:cs="宋体"/>
                      <w:bCs/>
                      <w:color w:val="000000" w:themeColor="text1"/>
                      <w:sz w:val="21"/>
                      <w:szCs w:val="21"/>
                      <w:highlight w:val="none"/>
                      <w14:textFill>
                        <w14:solidFill>
                          <w14:schemeClr w14:val="tx1"/>
                        </w14:solidFill>
                      </w14:textFill>
                    </w:rPr>
                    <w:t>至</w:t>
                  </w:r>
                  <w:r>
                    <w:rPr>
                      <w:rFonts w:ascii="Times New Roman" w:hAnsi="Times New Roman" w:eastAsia="宋体" w:cs="宋体"/>
                      <w:bCs/>
                      <w:color w:val="000000" w:themeColor="text1"/>
                      <w:sz w:val="21"/>
                      <w:szCs w:val="21"/>
                      <w:highlight w:val="none"/>
                      <w14:textFill>
                        <w14:solidFill>
                          <w14:schemeClr w14:val="tx1"/>
                        </w14:solidFill>
                      </w14:textFill>
                    </w:rPr>
                    <w:t>污水处理厂集中处理，不属于《江苏省太湖水污染防治条例》第四十三</w:t>
                  </w:r>
                  <w:r>
                    <w:rPr>
                      <w:rFonts w:hint="eastAsia" w:ascii="Times New Roman" w:hAnsi="Times New Roman" w:eastAsia="宋体" w:cs="宋体"/>
                      <w:bCs/>
                      <w:color w:val="000000" w:themeColor="text1"/>
                      <w:sz w:val="21"/>
                      <w:szCs w:val="21"/>
                      <w:highlight w:val="none"/>
                      <w14:textFill>
                        <w14:solidFill>
                          <w14:schemeClr w14:val="tx1"/>
                        </w14:solidFill>
                      </w14:textFill>
                    </w:rPr>
                    <w:t>条</w:t>
                  </w:r>
                  <w:r>
                    <w:rPr>
                      <w:rFonts w:ascii="Times New Roman" w:hAnsi="Times New Roman" w:eastAsia="宋体" w:cs="宋体"/>
                      <w:bCs/>
                      <w:color w:val="000000" w:themeColor="text1"/>
                      <w:sz w:val="21"/>
                      <w:szCs w:val="21"/>
                      <w:highlight w:val="none"/>
                      <w14:textFill>
                        <w14:solidFill>
                          <w14:schemeClr w14:val="tx1"/>
                        </w14:solidFill>
                      </w14:textFill>
                    </w:rPr>
                    <w:t>规定的太湖流域一、二、三级保护区禁止的行为。</w:t>
                  </w:r>
                </w:p>
              </w:tc>
            </w:tr>
            <w:tr w14:paraId="54433C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34C8C0BE">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w:t>
                  </w:r>
                  <w:r>
                    <w:rPr>
                      <w:rFonts w:ascii="Times New Roman" w:hAnsi="Times New Roman" w:eastAsia="宋体" w:cs="宋体"/>
                      <w:b/>
                      <w:color w:val="000000" w:themeColor="text1"/>
                      <w:sz w:val="21"/>
                      <w:szCs w:val="21"/>
                      <w:highlight w:val="none"/>
                      <w14:textFill>
                        <w14:solidFill>
                          <w14:schemeClr w14:val="tx1"/>
                        </w14:solidFill>
                      </w14:textFill>
                    </w:rPr>
                    <w:t>太湖流域管理条例</w:t>
                  </w:r>
                  <w:r>
                    <w:rPr>
                      <w:rFonts w:ascii="Times New Roman" w:hAnsi="Times New Roman" w:eastAsia="宋体" w:cs="宋体"/>
                      <w:b/>
                      <w:bCs/>
                      <w:color w:val="000000" w:themeColor="text1"/>
                      <w:sz w:val="21"/>
                      <w:szCs w:val="21"/>
                      <w:highlight w:val="none"/>
                      <w14:textFill>
                        <w14:solidFill>
                          <w14:schemeClr w14:val="tx1"/>
                        </w14:solidFill>
                      </w14:textFill>
                    </w:rPr>
                    <w:t>》</w:t>
                  </w:r>
                </w:p>
              </w:tc>
            </w:tr>
            <w:tr w14:paraId="1A8D18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D639B18">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第二十八条</w:t>
                  </w:r>
                </w:p>
              </w:tc>
              <w:tc>
                <w:tcPr>
                  <w:tcW w:w="2268" w:type="pct"/>
                  <w:vAlign w:val="center"/>
                </w:tcPr>
                <w:p w14:paraId="4AE97477">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排污单位排放水污染物，不得超过经核定的水污染物排放总量，并应当按照规定设置便于检查、采样的规范化排污口，悬挂标志牌；不得私设暗管或者采取其他规避监管的方式排放水污染物。</w:t>
                  </w:r>
                </w:p>
                <w:p w14:paraId="1EC11083">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禁止在太湖流域设置不符合国家产业政策和水环境综合治理要求的造纸、制革、酒精、淀粉、冶金、酿造、印染、电镀等排放水污染物的生产项目，现有的生产项目不能实现达标排放的，应当依法关闭。</w:t>
                  </w:r>
                </w:p>
                <w:p w14:paraId="2C7C27B0">
                  <w:pPr>
                    <w:keepNext w:val="0"/>
                    <w:keepLines w:val="0"/>
                    <w:pageBreakBefore w:val="0"/>
                    <w:widowControl w:val="0"/>
                    <w:kinsoku/>
                    <w:wordWrap/>
                    <w:overflowPunct/>
                    <w:topLinePunct w:val="0"/>
                    <w:autoSpaceDE/>
                    <w:autoSpaceDN/>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在太湖流域新设企业应当符合国家规定的清洁生产要求，现有的企业尚未达到清洁生产要求的，应当按照清洁生产规划要求进行技术改造，两省一市人民政府应当加强监督检查。</w:t>
                  </w:r>
                </w:p>
              </w:tc>
              <w:tc>
                <w:tcPr>
                  <w:tcW w:w="2121" w:type="pct"/>
                  <w:vAlign w:val="center"/>
                </w:tcPr>
                <w:p w14:paraId="6AC360FB">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本项目</w:t>
                  </w:r>
                  <w:r>
                    <w:rPr>
                      <w:rFonts w:ascii="Times New Roman" w:hAnsi="Times New Roman" w:eastAsia="宋体" w:cs="宋体"/>
                      <w:bCs/>
                      <w:color w:val="000000" w:themeColor="text1"/>
                      <w:sz w:val="21"/>
                      <w:szCs w:val="21"/>
                      <w:highlight w:val="none"/>
                      <w14:textFill>
                        <w14:solidFill>
                          <w14:schemeClr w14:val="tx1"/>
                        </w14:solidFill>
                      </w14:textFill>
                    </w:rPr>
                    <w:t>按照规定设置便于检查、采样的规范化排污口并悬挂标志牌，污水接管至污水处理厂集中处理，不属于所示的禁止项目，符合国家规定的清洁生产要求。</w:t>
                  </w:r>
                </w:p>
              </w:tc>
            </w:tr>
            <w:tr w14:paraId="0203AA3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56B50541">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第二十九条</w:t>
                  </w:r>
                </w:p>
              </w:tc>
              <w:tc>
                <w:tcPr>
                  <w:tcW w:w="2268" w:type="pct"/>
                  <w:vAlign w:val="center"/>
                </w:tcPr>
                <w:p w14:paraId="0CC3A369">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新孟河、望虞河以外的其他主要入太湖河道，自河口1万米上溯至5万米河道岸线内及其岸线两侧各1000米范围内，禁止下列行为：</w:t>
                  </w:r>
                </w:p>
                <w:p w14:paraId="0331DB4F">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（一）新建、扩建化工、医药生产项目；</w:t>
                  </w:r>
                </w:p>
                <w:p w14:paraId="05042DDF">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（二）新建、扩建污水集中处理设施排污口以外的排污口；</w:t>
                  </w:r>
                </w:p>
                <w:p w14:paraId="28287160">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（三）扩大水产养殖规模。</w:t>
                  </w:r>
                </w:p>
              </w:tc>
              <w:tc>
                <w:tcPr>
                  <w:tcW w:w="2121" w:type="pct"/>
                  <w:vAlign w:val="center"/>
                </w:tcPr>
                <w:p w14:paraId="31C0C5D5">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本项目不在</w:t>
                  </w:r>
                  <w:r>
                    <w:rPr>
                      <w:rFonts w:hint="eastAsia" w:ascii="Times New Roman" w:hAnsi="Times New Roman" w:eastAsia="宋体" w:cs="宋体"/>
                      <w:bCs/>
                      <w:color w:val="000000" w:themeColor="text1"/>
                      <w:sz w:val="21"/>
                      <w:szCs w:val="21"/>
                      <w:highlight w:val="none"/>
                      <w14:textFill>
                        <w14:solidFill>
                          <w14:schemeClr w14:val="tx1"/>
                        </w14:solidFill>
                      </w14:textFill>
                    </w:rPr>
                    <w:t>岸线</w:t>
                  </w:r>
                  <w:r>
                    <w:rPr>
                      <w:rFonts w:ascii="Times New Roman" w:hAnsi="Times New Roman" w:eastAsia="宋体" w:cs="宋体"/>
                      <w:bCs/>
                      <w:color w:val="000000" w:themeColor="text1"/>
                      <w:sz w:val="21"/>
                      <w:szCs w:val="21"/>
                      <w:highlight w:val="none"/>
                      <w14:textFill>
                        <w14:solidFill>
                          <w14:schemeClr w14:val="tx1"/>
                        </w14:solidFill>
                      </w14:textFill>
                    </w:rPr>
                    <w:t>两侧</w:t>
                  </w:r>
                  <w:r>
                    <w:rPr>
                      <w:rFonts w:hint="eastAsia" w:ascii="Times New Roman" w:hAnsi="Times New Roman" w:eastAsia="宋体" w:cs="宋体"/>
                      <w:bCs/>
                      <w:color w:val="000000" w:themeColor="text1"/>
                      <w:sz w:val="21"/>
                      <w:szCs w:val="21"/>
                      <w:highlight w:val="none"/>
                      <w14:textFill>
                        <w14:solidFill>
                          <w14:schemeClr w14:val="tx1"/>
                        </w14:solidFill>
                      </w14:textFill>
                    </w:rPr>
                    <w:t>1000米范围内，且不属于化工、医药项目，不新设排污口，不属于水产养殖项目。</w:t>
                  </w:r>
                </w:p>
              </w:tc>
            </w:tr>
            <w:tr w14:paraId="7CBCDC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733AFDB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第三十条</w:t>
                  </w:r>
                </w:p>
              </w:tc>
              <w:tc>
                <w:tcPr>
                  <w:tcW w:w="2268" w:type="pct"/>
                  <w:vAlign w:val="center"/>
                </w:tcPr>
                <w:p w14:paraId="5B7EF570">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w:t>
                  </w:r>
                </w:p>
                <w:p w14:paraId="4E9DE47B">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（一）设置剧毒物质、危险化学品的贮存、输送设施和废物回收场、垃圾场；</w:t>
                  </w:r>
                </w:p>
                <w:p w14:paraId="3FEE45F1">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（二）设置水上餐饮经营设施；</w:t>
                  </w:r>
                </w:p>
                <w:p w14:paraId="5C8823B7">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（三）新建、扩建高尔夫球场；</w:t>
                  </w:r>
                </w:p>
                <w:p w14:paraId="3E2E03B5">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（四）新建、扩建畜禽养殖场；</w:t>
                  </w:r>
                </w:p>
                <w:p w14:paraId="7B78E3CF">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（五）新建、扩建向水体排放污染物的建设项目；</w:t>
                  </w:r>
                </w:p>
                <w:p w14:paraId="4F9AEDC0">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（六）本条例第二十九条规定的行为。</w:t>
                  </w:r>
                </w:p>
                <w:p w14:paraId="5F27B9BD">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已经设置前款第一项、第二项规定设施的，当地县级人民政府应当责令拆除或者关闭。</w:t>
                  </w:r>
                </w:p>
              </w:tc>
              <w:tc>
                <w:tcPr>
                  <w:tcW w:w="2121" w:type="pct"/>
                  <w:vAlign w:val="center"/>
                </w:tcPr>
                <w:p w14:paraId="1C272071">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本项目不在条款中所示的范围内，不属于所示的禁止行为。</w:t>
                  </w:r>
                </w:p>
              </w:tc>
            </w:tr>
            <w:tr w14:paraId="064A73F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6698891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《江苏省水污染防治条例》（</w:t>
                  </w:r>
                  <w:r>
                    <w:rPr>
                      <w:rFonts w:hint="eastAsia" w:ascii="Times New Roman" w:hAnsi="Times New Roman" w:eastAsia="宋体" w:cs="宋体"/>
                      <w:b/>
                      <w:color w:val="000000" w:themeColor="text1"/>
                      <w:sz w:val="21"/>
                      <w:szCs w:val="21"/>
                      <w:highlight w:val="none"/>
                      <w:shd w:val="clear" w:color="auto" w:fill="FFFFFF"/>
                      <w14:textFill>
                        <w14:solidFill>
                          <w14:schemeClr w14:val="tx1"/>
                        </w14:solidFill>
                      </w14:textFill>
                    </w:rPr>
                    <w:t>江苏省人大常委会公告第48号</w:t>
                  </w:r>
                  <w:r>
                    <w:rPr>
                      <w:rFonts w:hint="eastAsia" w:ascii="Times New Roman" w:hAnsi="Times New Roman" w:eastAsia="宋体" w:cs="宋体"/>
                      <w:b/>
                      <w:bCs/>
                      <w:color w:val="000000" w:themeColor="text1"/>
                      <w:sz w:val="21"/>
                      <w:szCs w:val="21"/>
                      <w:highlight w:val="none"/>
                      <w14:textFill>
                        <w14:solidFill>
                          <w14:schemeClr w14:val="tx1"/>
                        </w14:solidFill>
                      </w14:textFill>
                    </w:rPr>
                    <w:t>）</w:t>
                  </w:r>
                </w:p>
              </w:tc>
            </w:tr>
            <w:tr w14:paraId="2479CA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3805CD2B">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第二十三条</w:t>
                  </w:r>
                </w:p>
              </w:tc>
              <w:tc>
                <w:tcPr>
                  <w:tcW w:w="2268" w:type="pct"/>
                  <w:vAlign w:val="center"/>
                </w:tcPr>
                <w:p w14:paraId="7BF2C759">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禁止工业企业、宾馆、餐饮、洗涤等企业事业单位以及个人使用各类含磷洗涤用品。</w:t>
                  </w:r>
                </w:p>
              </w:tc>
              <w:tc>
                <w:tcPr>
                  <w:tcW w:w="2121" w:type="pct"/>
                  <w:vAlign w:val="center"/>
                </w:tcPr>
                <w:p w14:paraId="0456F3B1">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本项目不使用含磷洗涤用品</w:t>
                  </w:r>
                  <w:r>
                    <w:rPr>
                      <w:rFonts w:hint="eastAsia" w:ascii="Times New Roman" w:hAnsi="Times New Roman" w:eastAsia="宋体" w:cs="宋体"/>
                      <w:bCs/>
                      <w:color w:val="000000" w:themeColor="text1"/>
                      <w:sz w:val="21"/>
                      <w:szCs w:val="21"/>
                      <w:highlight w:val="none"/>
                      <w14:textFill>
                        <w14:solidFill>
                          <w14:schemeClr w14:val="tx1"/>
                        </w14:solidFill>
                      </w14:textFill>
                    </w:rPr>
                    <w:t>。</w:t>
                  </w:r>
                </w:p>
              </w:tc>
            </w:tr>
            <w:tr w14:paraId="2E6B91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60132D7">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第二十六条</w:t>
                  </w:r>
                </w:p>
              </w:tc>
              <w:tc>
                <w:tcPr>
                  <w:tcW w:w="2268" w:type="pct"/>
                  <w:vAlign w:val="center"/>
                </w:tcPr>
                <w:p w14:paraId="6F4B99CB">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shd w:val="clear" w:color="auto" w:fill="FFFFFF"/>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向污水集中处理设施排放工业废水的，应当按照国家和省有关规定进行预处理，符合国家、省有关标准和污水集中处理设施的接纳要求。污水集中处理设施尾水，可以采取生态净化等方式处理后排放。</w:t>
                  </w:r>
                </w:p>
                <w:p w14:paraId="2E8DC1E3">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实行工业废水与生活污水分质处理，对不符合城镇污水集中处理设施接纳要求的工业废水，限期退出城镇污水管网。</w:t>
                  </w:r>
                </w:p>
              </w:tc>
              <w:tc>
                <w:tcPr>
                  <w:tcW w:w="2121" w:type="pct"/>
                  <w:vAlign w:val="center"/>
                </w:tcPr>
                <w:p w14:paraId="444795F9">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废（污）水经</w:t>
                  </w:r>
                  <w:r>
                    <w:rPr>
                      <w:rFonts w:hint="eastAsia" w:cs="宋体"/>
                      <w:bCs/>
                      <w:color w:val="000000" w:themeColor="text1"/>
                      <w:sz w:val="21"/>
                      <w:szCs w:val="21"/>
                      <w:highlight w:val="none"/>
                      <w:lang w:val="en-US" w:eastAsia="zh-CN"/>
                      <w14:textFill>
                        <w14:solidFill>
                          <w14:schemeClr w14:val="tx1"/>
                        </w14:solidFill>
                      </w14:textFill>
                    </w:rPr>
                    <w:t>污水处理站处理后</w:t>
                  </w:r>
                  <w:r>
                    <w:rPr>
                      <w:rFonts w:hint="eastAsia" w:ascii="Times New Roman" w:hAnsi="Times New Roman" w:eastAsia="宋体" w:cs="宋体"/>
                      <w:bCs/>
                      <w:color w:val="000000" w:themeColor="text1"/>
                      <w:sz w:val="21"/>
                      <w:szCs w:val="21"/>
                      <w:highlight w:val="none"/>
                      <w14:textFill>
                        <w14:solidFill>
                          <w14:schemeClr w14:val="tx1"/>
                        </w14:solidFill>
                      </w14:textFill>
                    </w:rPr>
                    <w:t>接管</w:t>
                  </w:r>
                  <w:r>
                    <w:rPr>
                      <w:rFonts w:ascii="Times New Roman" w:hAnsi="Times New Roman" w:eastAsia="宋体" w:cs="宋体"/>
                      <w:bCs/>
                      <w:color w:val="000000" w:themeColor="text1"/>
                      <w:sz w:val="21"/>
                      <w:szCs w:val="21"/>
                      <w:highlight w:val="none"/>
                      <w14:textFill>
                        <w14:solidFill>
                          <w14:schemeClr w14:val="tx1"/>
                        </w14:solidFill>
                      </w14:textFill>
                    </w:rPr>
                    <w:t>市政污水管网，</w:t>
                  </w:r>
                  <w:r>
                    <w:rPr>
                      <w:rFonts w:hint="eastAsia" w:ascii="Times New Roman" w:hAnsi="Times New Roman" w:eastAsia="宋体" w:cs="宋体"/>
                      <w:bCs/>
                      <w:color w:val="000000" w:themeColor="text1"/>
                      <w:sz w:val="21"/>
                      <w:szCs w:val="21"/>
                      <w:highlight w:val="none"/>
                      <w14:textFill>
                        <w14:solidFill>
                          <w14:schemeClr w14:val="tx1"/>
                        </w14:solidFill>
                      </w14:textFill>
                    </w:rPr>
                    <w:t>至</w:t>
                  </w:r>
                  <w:r>
                    <w:rPr>
                      <w:rFonts w:ascii="Times New Roman" w:hAnsi="Times New Roman" w:eastAsia="宋体" w:cs="宋体"/>
                      <w:bCs/>
                      <w:color w:val="000000" w:themeColor="text1"/>
                      <w:sz w:val="21"/>
                      <w:szCs w:val="21"/>
                      <w:highlight w:val="none"/>
                      <w14:textFill>
                        <w14:solidFill>
                          <w14:schemeClr w14:val="tx1"/>
                        </w14:solidFill>
                      </w14:textFill>
                    </w:rPr>
                    <w:t>污水处理厂集中处理</w:t>
                  </w:r>
                  <w:r>
                    <w:rPr>
                      <w:rFonts w:hint="eastAsia" w:ascii="Times New Roman" w:hAnsi="Times New Roman" w:eastAsia="宋体" w:cs="宋体"/>
                      <w:bCs/>
                      <w:color w:val="000000" w:themeColor="text1"/>
                      <w:sz w:val="21"/>
                      <w:szCs w:val="21"/>
                      <w:highlight w:val="none"/>
                      <w14:textFill>
                        <w14:solidFill>
                          <w14:schemeClr w14:val="tx1"/>
                        </w14:solidFill>
                      </w14:textFill>
                    </w:rPr>
                    <w:t>。</w:t>
                  </w:r>
                </w:p>
              </w:tc>
            </w:tr>
            <w:tr w14:paraId="154FCF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4C428ED4">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第二十九条</w:t>
                  </w:r>
                </w:p>
              </w:tc>
              <w:tc>
                <w:tcPr>
                  <w:tcW w:w="2268" w:type="pct"/>
                  <w:vAlign w:val="center"/>
                </w:tcPr>
                <w:p w14:paraId="196A0ADE">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shd w:val="clear" w:color="auto" w:fill="FFFFFF"/>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排放工业废水的工业企业应当逐步实行雨污分流、清污分流。化工、电镀等企业应当将初期雨水收集处理，不得直接排放。</w:t>
                  </w:r>
                </w:p>
                <w:p w14:paraId="6641F1A5">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shd w:val="clear" w:color="auto" w:fill="FFFFFF"/>
                      <w14:textFill>
                        <w14:solidFill>
                          <w14:schemeClr w14:val="tx1"/>
                        </w14:solidFill>
                      </w14:textFill>
                    </w:rPr>
                    <w:t>实施雨污分流、清污分流的工业企业应当按照有关规定标识雨水管、清下水管、污水管的走向，在雨水、污水排放口或者接管口设置标识牌。</w:t>
                  </w:r>
                </w:p>
              </w:tc>
              <w:tc>
                <w:tcPr>
                  <w:tcW w:w="2121" w:type="pct"/>
                  <w:vAlign w:val="center"/>
                </w:tcPr>
                <w:p w14:paraId="22E77F8E">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废（污）水经</w:t>
                  </w:r>
                  <w:r>
                    <w:rPr>
                      <w:rFonts w:hint="eastAsia" w:cs="宋体"/>
                      <w:bCs/>
                      <w:color w:val="000000" w:themeColor="text1"/>
                      <w:sz w:val="21"/>
                      <w:szCs w:val="21"/>
                      <w:highlight w:val="none"/>
                      <w:lang w:val="en-US" w:eastAsia="zh-CN"/>
                      <w14:textFill>
                        <w14:solidFill>
                          <w14:schemeClr w14:val="tx1"/>
                        </w14:solidFill>
                      </w14:textFill>
                    </w:rPr>
                    <w:t>污水处理站处理后</w:t>
                  </w:r>
                  <w:r>
                    <w:rPr>
                      <w:rFonts w:hint="eastAsia" w:ascii="Times New Roman" w:hAnsi="Times New Roman" w:eastAsia="宋体" w:cs="宋体"/>
                      <w:bCs/>
                      <w:color w:val="000000" w:themeColor="text1"/>
                      <w:sz w:val="21"/>
                      <w:szCs w:val="21"/>
                      <w:highlight w:val="none"/>
                      <w14:textFill>
                        <w14:solidFill>
                          <w14:schemeClr w14:val="tx1"/>
                        </w14:solidFill>
                      </w14:textFill>
                    </w:rPr>
                    <w:t>接管</w:t>
                  </w:r>
                  <w:r>
                    <w:rPr>
                      <w:rFonts w:ascii="Times New Roman" w:hAnsi="Times New Roman" w:eastAsia="宋体" w:cs="宋体"/>
                      <w:bCs/>
                      <w:color w:val="000000" w:themeColor="text1"/>
                      <w:sz w:val="21"/>
                      <w:szCs w:val="21"/>
                      <w:highlight w:val="none"/>
                      <w14:textFill>
                        <w14:solidFill>
                          <w14:schemeClr w14:val="tx1"/>
                        </w14:solidFill>
                      </w14:textFill>
                    </w:rPr>
                    <w:t>市政污水管网，</w:t>
                  </w:r>
                  <w:r>
                    <w:rPr>
                      <w:rFonts w:hint="eastAsia" w:ascii="Times New Roman" w:hAnsi="Times New Roman" w:eastAsia="宋体" w:cs="宋体"/>
                      <w:bCs/>
                      <w:color w:val="000000" w:themeColor="text1"/>
                      <w:sz w:val="21"/>
                      <w:szCs w:val="21"/>
                      <w:highlight w:val="none"/>
                      <w14:textFill>
                        <w14:solidFill>
                          <w14:schemeClr w14:val="tx1"/>
                        </w14:solidFill>
                      </w14:textFill>
                    </w:rPr>
                    <w:t>至</w:t>
                  </w:r>
                  <w:r>
                    <w:rPr>
                      <w:rFonts w:ascii="Times New Roman" w:hAnsi="Times New Roman" w:eastAsia="宋体" w:cs="宋体"/>
                      <w:bCs/>
                      <w:color w:val="000000" w:themeColor="text1"/>
                      <w:sz w:val="21"/>
                      <w:szCs w:val="21"/>
                      <w:highlight w:val="none"/>
                      <w14:textFill>
                        <w14:solidFill>
                          <w14:schemeClr w14:val="tx1"/>
                        </w14:solidFill>
                      </w14:textFill>
                    </w:rPr>
                    <w:t>污水处理厂集中处理</w:t>
                  </w:r>
                  <w:r>
                    <w:rPr>
                      <w:rFonts w:hint="eastAsia" w:ascii="Times New Roman" w:hAnsi="Times New Roman" w:eastAsia="宋体" w:cs="宋体"/>
                      <w:bCs/>
                      <w:color w:val="000000" w:themeColor="text1"/>
                      <w:sz w:val="21"/>
                      <w:szCs w:val="21"/>
                      <w:highlight w:val="none"/>
                      <w14:textFill>
                        <w14:solidFill>
                          <w14:schemeClr w14:val="tx1"/>
                        </w14:solidFill>
                      </w14:textFill>
                    </w:rPr>
                    <w:t>。厂区内已实行“雨污分流、清污分流”，在接管口设置标识牌。</w:t>
                  </w:r>
                </w:p>
              </w:tc>
            </w:tr>
            <w:tr w14:paraId="66EE8D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74689433">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w:t>
                  </w:r>
                  <w:r>
                    <w:rPr>
                      <w:rFonts w:hint="eastAsia" w:ascii="Times New Roman" w:hAnsi="Times New Roman" w:eastAsia="宋体" w:cs="宋体"/>
                      <w:b/>
                      <w:color w:val="000000" w:themeColor="text1"/>
                      <w:sz w:val="21"/>
                      <w:szCs w:val="21"/>
                      <w:highlight w:val="none"/>
                      <w14:textFill>
                        <w14:solidFill>
                          <w14:schemeClr w14:val="tx1"/>
                        </w14:solidFill>
                      </w14:textFill>
                    </w:rPr>
                    <w:t>国家发展改革委等部门关于印发太湖流域水环境综合治理总体方案的通知</w:t>
                  </w:r>
                  <w:r>
                    <w:rPr>
                      <w:rFonts w:ascii="Times New Roman" w:hAnsi="Times New Roman" w:eastAsia="宋体" w:cs="宋体"/>
                      <w:b/>
                      <w:color w:val="000000" w:themeColor="text1"/>
                      <w:sz w:val="21"/>
                      <w:szCs w:val="21"/>
                      <w:highlight w:val="none"/>
                      <w14:textFill>
                        <w14:solidFill>
                          <w14:schemeClr w14:val="tx1"/>
                        </w14:solidFill>
                      </w14:textFill>
                    </w:rPr>
                    <w:t>》</w:t>
                  </w:r>
                  <w:r>
                    <w:rPr>
                      <w:rFonts w:hint="eastAsia" w:ascii="Times New Roman" w:hAnsi="Times New Roman" w:eastAsia="宋体" w:cs="宋体"/>
                      <w:b/>
                      <w:color w:val="000000" w:themeColor="text1"/>
                      <w:sz w:val="21"/>
                      <w:szCs w:val="21"/>
                      <w:highlight w:val="none"/>
                      <w14:textFill>
                        <w14:solidFill>
                          <w14:schemeClr w14:val="tx1"/>
                        </w14:solidFill>
                      </w14:textFill>
                    </w:rPr>
                    <w:t>（发改地区</w:t>
                  </w:r>
                  <w:r>
                    <w:rPr>
                      <w:rFonts w:hint="eastAsia" w:ascii="Times New Roman" w:hAnsi="Times New Roman" w:eastAsia="宋体" w:cs="宋体"/>
                      <w:b/>
                      <w:bCs/>
                      <w:color w:val="000000" w:themeColor="text1"/>
                      <w:sz w:val="21"/>
                      <w:szCs w:val="21"/>
                      <w:highlight w:val="none"/>
                      <w14:textFill>
                        <w14:solidFill>
                          <w14:schemeClr w14:val="tx1"/>
                        </w14:solidFill>
                      </w14:textFill>
                    </w:rPr>
                    <w:t>〔2022〕</w:t>
                  </w:r>
                  <w:r>
                    <w:rPr>
                      <w:rFonts w:hint="eastAsia" w:ascii="Times New Roman" w:hAnsi="Times New Roman" w:eastAsia="宋体" w:cs="宋体"/>
                      <w:b/>
                      <w:color w:val="000000" w:themeColor="text1"/>
                      <w:sz w:val="21"/>
                      <w:szCs w:val="21"/>
                      <w:highlight w:val="none"/>
                      <w14:textFill>
                        <w14:solidFill>
                          <w14:schemeClr w14:val="tx1"/>
                        </w14:solidFill>
                      </w14:textFill>
                    </w:rPr>
                    <w:t>959号）</w:t>
                  </w:r>
                </w:p>
              </w:tc>
            </w:tr>
            <w:tr w14:paraId="433293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432EF76E">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第三章</w:t>
                  </w:r>
                </w:p>
                <w:p w14:paraId="4F1D824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第一节</w:t>
                  </w:r>
                </w:p>
                <w:p w14:paraId="70775A01">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深化工业污染治理</w:t>
                  </w:r>
                </w:p>
              </w:tc>
              <w:tc>
                <w:tcPr>
                  <w:tcW w:w="2268" w:type="pct"/>
                  <w:vAlign w:val="center"/>
                </w:tcPr>
                <w:p w14:paraId="3882AB37">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督促企业依法持证排污、按证排污，严格落实总磷许可排放浓度和许可排放量要求。持续强化涉水行业污染整治，基于水生态环境质量改善需要，大力推进印染、化工、造纸、钢铁、电镀、食品</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啤酒、味精</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等重点行业企业废水深度处理。实施工业园区限值限量管理，全面推进工业园区污水管网排查整治和污水收集处理设施建设，加快实施管网混错接改造、管网更新、破损修复改造等，依法推动园区生产废水应纳尽纳。推进化工园区雨污分流改造和初期雨水收集处理，鼓励有条件的园区实施化工企业废水分类收集、分质处理、一企一管、明管输送、实时监测。</w:t>
                  </w:r>
                </w:p>
                <w:p w14:paraId="14C68EFC">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推进企业内部工业用水循环利用、园区内企业间用水系统集成优化，推动工业废水资源化利用。积极推进清洁生产，引导工业园区、开发区尤其是耗水量大的企业新建中水回用设施和环保循环设施，推行尾水循环再生利用。开展造纸、印染等高耗水行业工业废水循环利用示范，率先在纺织印染、化工材料等工业园区探索建设</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污水零直排区</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，实施环境信息依法披露、生态环境损害赔偿、环境污染责任保险等制度。</w:t>
                  </w:r>
                </w:p>
              </w:tc>
              <w:tc>
                <w:tcPr>
                  <w:tcW w:w="2121" w:type="pct"/>
                  <w:vAlign w:val="center"/>
                </w:tcPr>
                <w:p w14:paraId="3A94CA53">
                  <w:pPr>
                    <w:keepNext w:val="0"/>
                    <w:pageBreakBefore w:val="0"/>
                    <w:widowControl/>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建设单位不属于重点行业企业，不属于化工企业，</w:t>
                  </w:r>
                  <w:r>
                    <w:rPr>
                      <w:rFonts w:ascii="Times New Roman" w:hAnsi="Times New Roman" w:eastAsia="宋体" w:cs="宋体"/>
                      <w:bCs/>
                      <w:color w:val="000000" w:themeColor="text1"/>
                      <w:sz w:val="21"/>
                      <w:szCs w:val="21"/>
                      <w:highlight w:val="none"/>
                      <w14:textFill>
                        <w14:solidFill>
                          <w14:schemeClr w14:val="tx1"/>
                        </w14:solidFill>
                      </w14:textFill>
                    </w:rPr>
                    <w:t>本项目</w:t>
                  </w: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废（污）水经</w:t>
                  </w:r>
                  <w:r>
                    <w:rPr>
                      <w:rFonts w:hint="eastAsia" w:cs="宋体"/>
                      <w:bCs/>
                      <w:color w:val="000000" w:themeColor="text1"/>
                      <w:sz w:val="21"/>
                      <w:szCs w:val="21"/>
                      <w:highlight w:val="none"/>
                      <w:lang w:val="en-US" w:eastAsia="zh-CN"/>
                      <w14:textFill>
                        <w14:solidFill>
                          <w14:schemeClr w14:val="tx1"/>
                        </w14:solidFill>
                      </w14:textFill>
                    </w:rPr>
                    <w:t>污水处理站处理后</w:t>
                  </w:r>
                  <w:r>
                    <w:rPr>
                      <w:rFonts w:hint="eastAsia" w:ascii="Times New Roman" w:hAnsi="Times New Roman" w:eastAsia="宋体" w:cs="宋体"/>
                      <w:bCs/>
                      <w:color w:val="000000" w:themeColor="text1"/>
                      <w:sz w:val="21"/>
                      <w:szCs w:val="21"/>
                      <w:highlight w:val="none"/>
                      <w14:textFill>
                        <w14:solidFill>
                          <w14:schemeClr w14:val="tx1"/>
                        </w14:solidFill>
                      </w14:textFill>
                    </w:rPr>
                    <w:t>接管</w:t>
                  </w:r>
                  <w:r>
                    <w:rPr>
                      <w:rFonts w:ascii="Times New Roman" w:hAnsi="Times New Roman" w:eastAsia="宋体" w:cs="宋体"/>
                      <w:bCs/>
                      <w:color w:val="000000" w:themeColor="text1"/>
                      <w:sz w:val="21"/>
                      <w:szCs w:val="21"/>
                      <w:highlight w:val="none"/>
                      <w14:textFill>
                        <w14:solidFill>
                          <w14:schemeClr w14:val="tx1"/>
                        </w14:solidFill>
                      </w14:textFill>
                    </w:rPr>
                    <w:t>市政污水管网，</w:t>
                  </w:r>
                  <w:r>
                    <w:rPr>
                      <w:rFonts w:hint="eastAsia" w:ascii="Times New Roman" w:hAnsi="Times New Roman" w:eastAsia="宋体" w:cs="宋体"/>
                      <w:bCs/>
                      <w:color w:val="000000" w:themeColor="text1"/>
                      <w:sz w:val="21"/>
                      <w:szCs w:val="21"/>
                      <w:highlight w:val="none"/>
                      <w14:textFill>
                        <w14:solidFill>
                          <w14:schemeClr w14:val="tx1"/>
                        </w14:solidFill>
                      </w14:textFill>
                    </w:rPr>
                    <w:t>至</w:t>
                  </w:r>
                  <w:r>
                    <w:rPr>
                      <w:rFonts w:ascii="Times New Roman" w:hAnsi="Times New Roman" w:eastAsia="宋体" w:cs="宋体"/>
                      <w:bCs/>
                      <w:color w:val="000000" w:themeColor="text1"/>
                      <w:sz w:val="21"/>
                      <w:szCs w:val="21"/>
                      <w:highlight w:val="none"/>
                      <w14:textFill>
                        <w14:solidFill>
                          <w14:schemeClr w14:val="tx1"/>
                        </w14:solidFill>
                      </w14:textFill>
                    </w:rPr>
                    <w:t>污水处理厂集中处理</w:t>
                  </w:r>
                  <w:r>
                    <w:rPr>
                      <w:rFonts w:hint="eastAsia" w:ascii="Times New Roman" w:hAnsi="Times New Roman" w:eastAsia="宋体" w:cs="宋体"/>
                      <w:bCs/>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Cs/>
                      <w:color w:val="000000" w:themeColor="text1"/>
                      <w:sz w:val="21"/>
                      <w:szCs w:val="21"/>
                      <w:highlight w:val="none"/>
                      <w14:textFill>
                        <w14:solidFill>
                          <w14:schemeClr w14:val="tx1"/>
                        </w14:solidFill>
                      </w14:textFill>
                    </w:rPr>
                    <w:t>尾水达标排放。</w:t>
                  </w:r>
                </w:p>
              </w:tc>
            </w:tr>
            <w:tr w14:paraId="6A4F21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5219CDE8">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第六章</w:t>
                  </w:r>
                </w:p>
                <w:p w14:paraId="744249D0">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第一节</w:t>
                  </w:r>
                </w:p>
                <w:p w14:paraId="55A3F98C">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引导产业合理布局</w:t>
                  </w:r>
                </w:p>
              </w:tc>
              <w:tc>
                <w:tcPr>
                  <w:tcW w:w="2268" w:type="pct"/>
                  <w:vAlign w:val="center"/>
                </w:tcPr>
                <w:p w14:paraId="4FD1A663">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严禁落地国家和本地产业结构调整目录明确的限制类、淘汰类工艺、装备、产品与项目，依法推动污染企业退出。继续推进城市建成区内造纸、印染、化工等污染较重企业有序搬迁改造或依法关闭，推动环太湖生态环境敏感区内不符合产业发展政策、存在重大安全隐患且不具备整治条件的企业依法关闭或搬迁至合规工业园。推进太湖流域等重要饮用水水源地300米范围内重点排污企业逐步退出。除战略性新兴产业项目外，太湖流域原则上不再审批其他生产性新增氮磷污染物的工业类建设项目。</w:t>
                  </w:r>
                </w:p>
                <w:p w14:paraId="152F3A33">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环太湖地区重点布局总部经济、研发设计、高端制造、销售等产业链环节，大力发展创新经济、服务经济、绿色经济，打造具有全球竞争力的产业创新高地。全面拓展沿太湖科技研发创新带，高水平规划建设太湖科学城、“两湖”创新区。引进产业应符合</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三线一单</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管控要求、相关规划和环境影响评价要求，符合区域主导生态功能，鼓励工业企业项目采用国际国内行业先进的生产工艺与装备，提高污染物排放控制水平。</w:t>
                  </w:r>
                </w:p>
              </w:tc>
              <w:tc>
                <w:tcPr>
                  <w:tcW w:w="2121" w:type="pct"/>
                  <w:vAlign w:val="center"/>
                </w:tcPr>
                <w:p w14:paraId="205DEF47">
                  <w:pPr>
                    <w:keepNext w:val="0"/>
                    <w:pageBreakBefore w:val="0"/>
                    <w:widowControl/>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本项目符合相关产业政策与用地，不属于污染较重的企业，不在太湖流域等重要饮用水水源地300米范围内，符合“三线一单”管控要求。</w:t>
                  </w:r>
                </w:p>
              </w:tc>
            </w:tr>
            <w:tr w14:paraId="478F66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48700E60">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《关于加强生态保护红线管理的通知（试行）》（自然资发</w:t>
                  </w:r>
                  <w:r>
                    <w:rPr>
                      <w:rFonts w:hint="eastAsia" w:ascii="Times New Roman" w:hAnsi="Times New Roman" w:eastAsia="宋体" w:cs="宋体"/>
                      <w:b/>
                      <w:bCs/>
                      <w:color w:val="000000" w:themeColor="text1"/>
                      <w:sz w:val="21"/>
                      <w:szCs w:val="21"/>
                      <w:highlight w:val="none"/>
                      <w14:textFill>
                        <w14:solidFill>
                          <w14:schemeClr w14:val="tx1"/>
                        </w14:solidFill>
                      </w14:textFill>
                    </w:rPr>
                    <w:t>〔2022〕</w:t>
                  </w:r>
                  <w:r>
                    <w:rPr>
                      <w:rFonts w:hint="eastAsia" w:ascii="Times New Roman" w:hAnsi="Times New Roman" w:eastAsia="宋体" w:cs="宋体"/>
                      <w:b/>
                      <w:color w:val="000000" w:themeColor="text1"/>
                      <w:sz w:val="21"/>
                      <w:szCs w:val="21"/>
                      <w:highlight w:val="none"/>
                      <w14:textFill>
                        <w14:solidFill>
                          <w14:schemeClr w14:val="tx1"/>
                        </w14:solidFill>
                      </w14:textFill>
                    </w:rPr>
                    <w:t>142号）</w:t>
                  </w:r>
                </w:p>
              </w:tc>
            </w:tr>
            <w:tr w14:paraId="30743A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restart"/>
                  <w:vAlign w:val="center"/>
                </w:tcPr>
                <w:p w14:paraId="512FF79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shd w:val="clear" w:color="auto" w:fill="FFFFFF"/>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一、加强人为活动管控</w:t>
                  </w:r>
                </w:p>
              </w:tc>
              <w:tc>
                <w:tcPr>
                  <w:tcW w:w="2268" w:type="pct"/>
                  <w:vAlign w:val="center"/>
                </w:tcPr>
                <w:p w14:paraId="6936330A">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一）规范管控对生态功能不造成破坏的有限人为活动。生态保护红线是国土空间规划中的重要管控边界，生态保护红线内自然保护地核心保护区外，禁止开发性、生产性建设活动，在符合法律法规的前提下，仅允许以下对生态功能不造成破坏的有限人为活动。生态保护红线内自然保护区、风景名胜区、饮用水水源保护区等区域，依照法律法规执行。</w:t>
                  </w:r>
                </w:p>
              </w:tc>
              <w:tc>
                <w:tcPr>
                  <w:tcW w:w="2121" w:type="pct"/>
                  <w:vMerge w:val="restart"/>
                  <w:vAlign w:val="center"/>
                </w:tcPr>
                <w:p w14:paraId="31988328">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本项目不在生态保护红线范围内，与文件相符</w:t>
                  </w:r>
                </w:p>
              </w:tc>
            </w:tr>
            <w:tr w14:paraId="61656E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continue"/>
                  <w:vAlign w:val="center"/>
                </w:tcPr>
                <w:p w14:paraId="6C63FA0B">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shd w:val="clear" w:color="auto" w:fill="FFFFFF"/>
                      <w14:textFill>
                        <w14:solidFill>
                          <w14:schemeClr w14:val="tx1"/>
                        </w14:solidFill>
                      </w14:textFill>
                    </w:rPr>
                  </w:pPr>
                </w:p>
              </w:tc>
              <w:tc>
                <w:tcPr>
                  <w:tcW w:w="2268" w:type="pct"/>
                  <w:vAlign w:val="center"/>
                </w:tcPr>
                <w:p w14:paraId="524042BE">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二）加强有限人为活动管理。上述生态保护红线管控范围内有限人为活动，涉及新增建设用地、用海用岛审批的，在报批农用地转用、土地征收、海域使用权、无居民海岛开发利用时，附省级人民政府出具符合生态保护红线内允许有限人为活动的认定意见；不涉及新增建设用地、用海用岛审批的，按有关规定进行管理，无明确规定的由省级人民政府制定具体监管办法。上述活动涉及自然保护地的，应征求林业和草原主管部门或自然保护地管理机构意见。</w:t>
                  </w:r>
                </w:p>
              </w:tc>
              <w:tc>
                <w:tcPr>
                  <w:tcW w:w="2121" w:type="pct"/>
                  <w:vMerge w:val="continue"/>
                  <w:vAlign w:val="center"/>
                </w:tcPr>
                <w:p w14:paraId="369C5CD0">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58545D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continue"/>
                  <w:vAlign w:val="center"/>
                </w:tcPr>
                <w:p w14:paraId="6EECA282">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shd w:val="clear" w:color="auto" w:fill="FFFFFF"/>
                      <w14:textFill>
                        <w14:solidFill>
                          <w14:schemeClr w14:val="tx1"/>
                        </w14:solidFill>
                      </w14:textFill>
                    </w:rPr>
                  </w:pPr>
                </w:p>
              </w:tc>
              <w:tc>
                <w:tcPr>
                  <w:tcW w:w="2268" w:type="pct"/>
                  <w:vAlign w:val="center"/>
                </w:tcPr>
                <w:p w14:paraId="3E80E25F">
                  <w:pPr>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三）有序处理历史遗留问题。生态保护红线经国务院批准后，对需逐步有序退出的矿业权等，由省级人民政府按照尊重历史、实事求是的原则，结合实际制定退出计划，明确时序安排、补偿安置、生态修复等要求，确保生态安全和社会稳定。鼓励有条件的地方通过租赁、置换、赎买等方式，对人工商品林实行统一管护，并将重要生态区位的人工商品林按规定逐步转为公益林。零星分布的已有水电、风电、光伏、海洋能设施，按照相关法律法规规定进行管理，严禁扩大现有规模与范围，项目到期后由建设单位负责做好生态修复。</w:t>
                  </w:r>
                </w:p>
              </w:tc>
              <w:tc>
                <w:tcPr>
                  <w:tcW w:w="2121" w:type="pct"/>
                  <w:vMerge w:val="continue"/>
                  <w:vAlign w:val="center"/>
                </w:tcPr>
                <w:p w14:paraId="5E292904">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0D39E9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4B17AD94">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w:t>
                  </w:r>
                  <w:r>
                    <w:rPr>
                      <w:rFonts w:hint="eastAsia" w:ascii="Times New Roman" w:hAnsi="Times New Roman" w:eastAsia="宋体" w:cs="宋体"/>
                      <w:b/>
                      <w:color w:val="000000" w:themeColor="text1"/>
                      <w:sz w:val="21"/>
                      <w:szCs w:val="21"/>
                      <w:highlight w:val="none"/>
                      <w14:textFill>
                        <w14:solidFill>
                          <w14:schemeClr w14:val="tx1"/>
                        </w14:solidFill>
                      </w14:textFill>
                    </w:rPr>
                    <w:t>省生态环境厅关于进一步做好建设项目环评审批工作的通知</w:t>
                  </w:r>
                  <w:r>
                    <w:rPr>
                      <w:rFonts w:ascii="Times New Roman" w:hAnsi="Times New Roman" w:eastAsia="宋体" w:cs="宋体"/>
                      <w:b/>
                      <w:color w:val="000000" w:themeColor="text1"/>
                      <w:sz w:val="21"/>
                      <w:szCs w:val="21"/>
                      <w:highlight w:val="none"/>
                      <w14:textFill>
                        <w14:solidFill>
                          <w14:schemeClr w14:val="tx1"/>
                        </w14:solidFill>
                      </w14:textFill>
                    </w:rPr>
                    <w:t>》</w:t>
                  </w:r>
                  <w:r>
                    <w:rPr>
                      <w:rFonts w:hint="eastAsia" w:ascii="Times New Roman" w:hAnsi="Times New Roman" w:eastAsia="宋体" w:cs="宋体"/>
                      <w:b/>
                      <w:color w:val="000000" w:themeColor="text1"/>
                      <w:sz w:val="21"/>
                      <w:szCs w:val="21"/>
                      <w:highlight w:val="none"/>
                      <w14:textFill>
                        <w14:solidFill>
                          <w14:schemeClr w14:val="tx1"/>
                        </w14:solidFill>
                      </w14:textFill>
                    </w:rPr>
                    <w:t>（苏环办</w:t>
                  </w:r>
                  <w:r>
                    <w:rPr>
                      <w:rFonts w:hint="eastAsia" w:ascii="Times New Roman" w:hAnsi="Times New Roman" w:eastAsia="宋体" w:cs="宋体"/>
                      <w:b/>
                      <w:bCs/>
                      <w:color w:val="000000" w:themeColor="text1"/>
                      <w:sz w:val="21"/>
                      <w:szCs w:val="21"/>
                      <w:highlight w:val="none"/>
                      <w14:textFill>
                        <w14:solidFill>
                          <w14:schemeClr w14:val="tx1"/>
                        </w14:solidFill>
                      </w14:textFill>
                    </w:rPr>
                    <w:t>〔2019〕</w:t>
                  </w:r>
                  <w:r>
                    <w:rPr>
                      <w:rFonts w:hint="eastAsia" w:ascii="Times New Roman" w:hAnsi="Times New Roman" w:eastAsia="宋体" w:cs="宋体"/>
                      <w:b/>
                      <w:color w:val="000000" w:themeColor="text1"/>
                      <w:sz w:val="21"/>
                      <w:szCs w:val="21"/>
                      <w:highlight w:val="none"/>
                      <w14:textFill>
                        <w14:solidFill>
                          <w14:schemeClr w14:val="tx1"/>
                        </w14:solidFill>
                      </w14:textFill>
                    </w:rPr>
                    <w:t>36号）附件 建设项目环评审批要点</w:t>
                  </w:r>
                </w:p>
              </w:tc>
            </w:tr>
            <w:tr w14:paraId="67CA99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26BA2C98">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一、《建设项目环境保护管理条例》</w:t>
                  </w:r>
                </w:p>
              </w:tc>
              <w:tc>
                <w:tcPr>
                  <w:tcW w:w="2268" w:type="pct"/>
                  <w:vAlign w:val="center"/>
                </w:tcPr>
                <w:p w14:paraId="33032B92">
                  <w:pPr>
                    <w:keepNext w:val="0"/>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有下列情形之一的，不予批准</w:t>
                  </w:r>
                  <w:r>
                    <w:rPr>
                      <w:rFonts w:hint="eastAsia" w:ascii="Times New Roman" w:hAnsi="Times New Roman" w:eastAsia="宋体" w:cs="宋体"/>
                      <w:color w:val="000000" w:themeColor="text1"/>
                      <w:sz w:val="21"/>
                      <w:szCs w:val="21"/>
                      <w:highlight w:val="none"/>
                      <w14:textFill>
                        <w14:solidFill>
                          <w14:schemeClr w14:val="tx1"/>
                        </w14:solidFill>
                      </w14:textFill>
                    </w:rPr>
                    <w:t>：（1）</w:t>
                  </w:r>
                  <w:r>
                    <w:rPr>
                      <w:rFonts w:ascii="Times New Roman" w:hAnsi="Times New Roman" w:eastAsia="宋体" w:cs="宋体"/>
                      <w:color w:val="000000" w:themeColor="text1"/>
                      <w:sz w:val="21"/>
                      <w:szCs w:val="21"/>
                      <w:highlight w:val="none"/>
                      <w14:textFill>
                        <w14:solidFill>
                          <w14:schemeClr w14:val="tx1"/>
                        </w14:solidFill>
                      </w14:textFill>
                    </w:rPr>
                    <w:t>建设项目类型及其选址、布局、规模等不符合环境保护法律法规和相关法定规划</w:t>
                  </w:r>
                  <w:r>
                    <w:rPr>
                      <w:rFonts w:hint="eastAsia" w:ascii="Times New Roman" w:hAnsi="Times New Roman" w:eastAsia="宋体" w:cs="宋体"/>
                      <w:color w:val="000000" w:themeColor="text1"/>
                      <w:sz w:val="21"/>
                      <w:szCs w:val="21"/>
                      <w:highlight w:val="none"/>
                      <w14:textFill>
                        <w14:solidFill>
                          <w14:schemeClr w14:val="tx1"/>
                        </w14:solidFill>
                      </w14:textFill>
                    </w:rPr>
                    <w:t>；（2）</w:t>
                  </w:r>
                  <w:r>
                    <w:rPr>
                      <w:rFonts w:ascii="Times New Roman" w:hAnsi="Times New Roman" w:eastAsia="宋体" w:cs="宋体"/>
                      <w:color w:val="000000" w:themeColor="text1"/>
                      <w:sz w:val="21"/>
                      <w:szCs w:val="21"/>
                      <w:highlight w:val="none"/>
                      <w14:textFill>
                        <w14:solidFill>
                          <w14:schemeClr w14:val="tx1"/>
                        </w14:solidFill>
                      </w14:textFill>
                    </w:rPr>
                    <w:t>所在区域环境质量未达到国家或者地方环境质量标准，且建设项目拟采取的措施不能满足区域环境质量改善目标管理要求</w:t>
                  </w:r>
                  <w:r>
                    <w:rPr>
                      <w:rFonts w:hint="eastAsia" w:ascii="Times New Roman" w:hAnsi="Times New Roman" w:eastAsia="宋体" w:cs="宋体"/>
                      <w:color w:val="000000" w:themeColor="text1"/>
                      <w:sz w:val="21"/>
                      <w:szCs w:val="21"/>
                      <w:highlight w:val="none"/>
                      <w14:textFill>
                        <w14:solidFill>
                          <w14:schemeClr w14:val="tx1"/>
                        </w14:solidFill>
                      </w14:textFill>
                    </w:rPr>
                    <w:t>；（3）</w:t>
                  </w:r>
                  <w:r>
                    <w:rPr>
                      <w:rFonts w:ascii="Times New Roman" w:hAnsi="Times New Roman" w:eastAsia="宋体" w:cs="宋体"/>
                      <w:color w:val="000000" w:themeColor="text1"/>
                      <w:sz w:val="21"/>
                      <w:szCs w:val="21"/>
                      <w:highlight w:val="none"/>
                      <w14:textFill>
                        <w14:solidFill>
                          <w14:schemeClr w14:val="tx1"/>
                        </w14:solidFill>
                      </w14:textFill>
                    </w:rPr>
                    <w:t>建设项目采取的污染防治措施无法确保污染物排放达到国家和地方排放标准，或者未采取必要措施预防和控制生态破坏</w:t>
                  </w:r>
                  <w:r>
                    <w:rPr>
                      <w:rFonts w:hint="eastAsia" w:ascii="Times New Roman" w:hAnsi="Times New Roman" w:eastAsia="宋体" w:cs="宋体"/>
                      <w:color w:val="000000" w:themeColor="text1"/>
                      <w:sz w:val="21"/>
                      <w:szCs w:val="21"/>
                      <w:highlight w:val="none"/>
                      <w14:textFill>
                        <w14:solidFill>
                          <w14:schemeClr w14:val="tx1"/>
                        </w14:solidFill>
                      </w14:textFill>
                    </w:rPr>
                    <w:t>；（4）</w:t>
                  </w:r>
                  <w:r>
                    <w:rPr>
                      <w:rFonts w:ascii="Times New Roman" w:hAnsi="Times New Roman" w:eastAsia="宋体" w:cs="宋体"/>
                      <w:color w:val="000000" w:themeColor="text1"/>
                      <w:sz w:val="21"/>
                      <w:szCs w:val="21"/>
                      <w:highlight w:val="none"/>
                      <w14:textFill>
                        <w14:solidFill>
                          <w14:schemeClr w14:val="tx1"/>
                        </w14:solidFill>
                      </w14:textFill>
                    </w:rPr>
                    <w:t>改建、扩建和技术改造项目，未针对项目原有环境污染和生态破坏提出有效防止措施</w:t>
                  </w:r>
                  <w:r>
                    <w:rPr>
                      <w:rFonts w:hint="eastAsia" w:ascii="Times New Roman" w:hAnsi="Times New Roman" w:eastAsia="宋体" w:cs="宋体"/>
                      <w:color w:val="000000" w:themeColor="text1"/>
                      <w:sz w:val="21"/>
                      <w:szCs w:val="21"/>
                      <w:highlight w:val="none"/>
                      <w14:textFill>
                        <w14:solidFill>
                          <w14:schemeClr w14:val="tx1"/>
                        </w14:solidFill>
                      </w14:textFill>
                    </w:rPr>
                    <w:t>；（5）</w:t>
                  </w:r>
                  <w:r>
                    <w:rPr>
                      <w:rFonts w:ascii="Times New Roman" w:hAnsi="Times New Roman" w:eastAsia="宋体" w:cs="宋体"/>
                      <w:color w:val="000000" w:themeColor="text1"/>
                      <w:sz w:val="21"/>
                      <w:szCs w:val="21"/>
                      <w:highlight w:val="none"/>
                      <w14:textFill>
                        <w14:solidFill>
                          <w14:schemeClr w14:val="tx1"/>
                        </w14:solidFill>
                      </w14:textFill>
                    </w:rPr>
                    <w:t>建设项目的环境影响报告书、环境影响报告表的基础资料数据明显不实，内容存在重大缺陷、遗漏，或者环境影响评价结论不明确、不合理。</w:t>
                  </w:r>
                </w:p>
              </w:tc>
              <w:tc>
                <w:tcPr>
                  <w:tcW w:w="2121" w:type="pct"/>
                  <w:vAlign w:val="center"/>
                </w:tcPr>
                <w:p w14:paraId="1EC0BE2F">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本项目类型</w:t>
                  </w:r>
                  <w:r>
                    <w:rPr>
                      <w:rFonts w:hint="eastAsia" w:ascii="Times New Roman" w:hAnsi="Times New Roman" w:eastAsia="宋体" w:cs="宋体"/>
                      <w:color w:val="000000" w:themeColor="text1"/>
                      <w:sz w:val="21"/>
                      <w:szCs w:val="21"/>
                      <w:highlight w:val="none"/>
                      <w14:textFill>
                        <w14:solidFill>
                          <w14:schemeClr w14:val="tx1"/>
                        </w14:solidFill>
                      </w14:textFill>
                    </w:rPr>
                    <w:t>及其选址、布局、规模符合环境保护法律法规和相关法定规划，所在区域</w:t>
                  </w:r>
                  <w:r>
                    <w:rPr>
                      <w:rFonts w:ascii="Times New Roman" w:hAnsi="Times New Roman" w:eastAsia="宋体" w:cs="宋体"/>
                      <w:color w:val="000000" w:themeColor="text1"/>
                      <w:sz w:val="21"/>
                      <w:szCs w:val="21"/>
                      <w:highlight w:val="none"/>
                      <w14:textFill>
                        <w14:solidFill>
                          <w14:schemeClr w14:val="tx1"/>
                        </w14:solidFill>
                      </w14:textFill>
                    </w:rPr>
                    <w:t>为非达标区域，在落实大气污染防治措施的情况下，区域环境空气质量可以得到改善</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采取的污染防治措施属于</w:t>
                  </w:r>
                  <w:r>
                    <w:rPr>
                      <w:rFonts w:hint="eastAsia" w:ascii="Times New Roman" w:hAnsi="Times New Roman" w:eastAsia="宋体" w:cs="宋体"/>
                      <w:color w:val="000000" w:themeColor="text1"/>
                      <w:kern w:val="0"/>
                      <w:sz w:val="21"/>
                      <w:szCs w:val="21"/>
                      <w:highlight w:val="none"/>
                      <w14:textFill>
                        <w14:solidFill>
                          <w14:schemeClr w14:val="tx1"/>
                        </w14:solidFill>
                      </w14:textFill>
                    </w:rPr>
                    <w:t>可行技术，数据真实，结论可行。</w:t>
                  </w:r>
                </w:p>
              </w:tc>
            </w:tr>
            <w:tr w14:paraId="0A3156B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5E58480A">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二、《农用地土壤环境管理办法（试行）》（环境保护部农业部令第46号）</w:t>
                  </w:r>
                </w:p>
              </w:tc>
              <w:tc>
                <w:tcPr>
                  <w:tcW w:w="2268" w:type="pct"/>
                  <w:vAlign w:val="center"/>
                </w:tcPr>
                <w:p w14:paraId="22B246D5">
                  <w:pPr>
                    <w:keepNext w:val="0"/>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严格控制在优先保护类耕地集中区域新建有色金属冶炼、石油加工、化工、焦化、电镀、制革等行业企业，有关环境保护主管部门依法不予审批可能造成耕地土壤污染的建设项目环境影响报告书或者报告表。</w:t>
                  </w:r>
                </w:p>
              </w:tc>
              <w:tc>
                <w:tcPr>
                  <w:tcW w:w="2121" w:type="pct"/>
                  <w:vAlign w:val="center"/>
                </w:tcPr>
                <w:p w14:paraId="08B68889">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本项目所在地为工业用地且不属于上述行业企业</w:t>
                  </w:r>
                  <w:r>
                    <w:rPr>
                      <w:rFonts w:hint="eastAsia" w:ascii="Times New Roman" w:hAnsi="Times New Roman" w:eastAsia="宋体" w:cs="宋体"/>
                      <w:color w:val="000000" w:themeColor="text1"/>
                      <w:sz w:val="21"/>
                      <w:szCs w:val="21"/>
                      <w:highlight w:val="none"/>
                      <w14:textFill>
                        <w14:solidFill>
                          <w14:schemeClr w14:val="tx1"/>
                        </w14:solidFill>
                      </w14:textFill>
                    </w:rPr>
                    <w:t>。</w:t>
                  </w:r>
                </w:p>
              </w:tc>
            </w:tr>
            <w:tr w14:paraId="50D361F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38B75D31">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三、《关于印发&lt;建设项目主要污染物排放总量指标审核及管理暂行办法&gt;的通知》（环发〔2014〕197号）</w:t>
                  </w:r>
                </w:p>
              </w:tc>
              <w:tc>
                <w:tcPr>
                  <w:tcW w:w="2268" w:type="pct"/>
                  <w:vAlign w:val="center"/>
                </w:tcPr>
                <w:p w14:paraId="02D12A2D">
                  <w:pPr>
                    <w:keepNext w:val="0"/>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严格落实污染物排放总量控制制度，把主要污染物排放总量指标作为建设项目环境影响评价审批的前置条件。排放主要污染物的建设项目，在环境影响评价文件审批前，须取得主要污染物排放总量指标。</w:t>
                  </w:r>
                </w:p>
              </w:tc>
              <w:tc>
                <w:tcPr>
                  <w:tcW w:w="2121" w:type="pct"/>
                  <w:vAlign w:val="center"/>
                </w:tcPr>
                <w:p w14:paraId="51BDE13B">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本项目新增的污染物在</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金坛区</w:t>
                  </w:r>
                  <w:r>
                    <w:rPr>
                      <w:rFonts w:ascii="Times New Roman" w:hAnsi="Times New Roman" w:eastAsia="宋体" w:cs="宋体"/>
                      <w:color w:val="000000" w:themeColor="text1"/>
                      <w:sz w:val="21"/>
                      <w:szCs w:val="21"/>
                      <w:highlight w:val="none"/>
                      <w14:textFill>
                        <w14:solidFill>
                          <w14:schemeClr w14:val="tx1"/>
                        </w14:solidFill>
                      </w14:textFill>
                    </w:rPr>
                    <w:t>范围内平衡</w:t>
                  </w:r>
                  <w:r>
                    <w:rPr>
                      <w:rFonts w:hint="eastAsia" w:ascii="Times New Roman" w:hAnsi="Times New Roman" w:eastAsia="宋体" w:cs="宋体"/>
                      <w:color w:val="000000" w:themeColor="text1"/>
                      <w:sz w:val="21"/>
                      <w:szCs w:val="21"/>
                      <w:highlight w:val="none"/>
                      <w14:textFill>
                        <w14:solidFill>
                          <w14:schemeClr w14:val="tx1"/>
                        </w14:solidFill>
                      </w14:textFill>
                    </w:rPr>
                    <w:t>。</w:t>
                  </w:r>
                </w:p>
              </w:tc>
            </w:tr>
            <w:tr w14:paraId="2B287A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038DFEBB">
                  <w:pPr>
                    <w:keepNext w:val="0"/>
                    <w:keepLines/>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四、《关于以改善环境质量为核心加强环境影响评价管理的通知》（环环评</w:t>
                  </w:r>
                  <w:r>
                    <w:rPr>
                      <w:rFonts w:hint="eastAsia" w:ascii="Times New Roman" w:hAnsi="Times New Roman" w:eastAsia="宋体" w:cs="宋体"/>
                      <w:color w:val="000000" w:themeColor="text1"/>
                      <w:sz w:val="21"/>
                      <w:szCs w:val="21"/>
                      <w:highlight w:val="none"/>
                      <w14:textFill>
                        <w14:solidFill>
                          <w14:schemeClr w14:val="tx1"/>
                        </w14:solidFill>
                      </w14:textFill>
                    </w:rPr>
                    <w:t>〔2016〕</w:t>
                  </w:r>
                  <w:r>
                    <w:rPr>
                      <w:rFonts w:ascii="Times New Roman" w:hAnsi="Times New Roman" w:eastAsia="宋体" w:cs="宋体"/>
                      <w:color w:val="000000" w:themeColor="text1"/>
                      <w:sz w:val="21"/>
                      <w:szCs w:val="21"/>
                      <w:highlight w:val="none"/>
                      <w14:textFill>
                        <w14:solidFill>
                          <w14:schemeClr w14:val="tx1"/>
                        </w14:solidFill>
                      </w14:textFill>
                    </w:rPr>
                    <w:t>150号）</w:t>
                  </w:r>
                </w:p>
              </w:tc>
              <w:tc>
                <w:tcPr>
                  <w:tcW w:w="2268" w:type="pct"/>
                  <w:vAlign w:val="center"/>
                </w:tcPr>
                <w:p w14:paraId="5FB6AB52">
                  <w:pPr>
                    <w:keepNext w:val="0"/>
                    <w:keepLines/>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1）规划环评要作为规划所包含项目环评的重要依据，对于不符合规划环评结论及审查意见的项目环评，依法不予审批。（2）对于现有同类型项目环境污染或生态破坏严重、环境违法违规现象多发，致使环境容量接近或超过承载能力的地区，在现有问题整改到位前，依法暂停审批该地区同类行业的项目环评文件。（3）对环境质量现状超标的地区，项目拟采取的措施不能满足区域环境质量改善目标管理要求的，依法不予审批其环评文件。对未达到环境质量目标考核要求的地区，除民生项目与节能减排项目外，依法暂停审批该地区新增排放相应重点污染物的项目环评文件。</w:t>
                  </w:r>
                </w:p>
                <w:p w14:paraId="3CADCB4F">
                  <w:pPr>
                    <w:keepNext w:val="0"/>
                    <w:keepLines/>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除受自然条件限制、确实无法避让的铁路、公路、航道、防洪、管道、干渠、通讯、输变电等重要基础设施项目外，在生态保护红线范围内，严控各类开发建设活动，依法不予审批新建工业项目和矿产开发项目的环评文件。</w:t>
                  </w:r>
                </w:p>
              </w:tc>
              <w:tc>
                <w:tcPr>
                  <w:tcW w:w="2121" w:type="pct"/>
                  <w:vAlign w:val="center"/>
                </w:tcPr>
                <w:p w14:paraId="0E11FABD">
                  <w:pPr>
                    <w:keepNext w:val="0"/>
                    <w:keepLines/>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项目所在地虽属大气环境质量非达标区</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建设单位通过全面落实各项污染治理措施，大力推行清洁生产，各类污染物能得到有效控制污染负荷有限，不会降低当地大气环境质量等级</w:t>
                  </w:r>
                  <w:r>
                    <w:rPr>
                      <w:rFonts w:ascii="Times New Roman" w:hAnsi="Times New Roman" w:eastAsia="宋体" w:cs="宋体"/>
                      <w:color w:val="000000" w:themeColor="text1"/>
                      <w:sz w:val="21"/>
                      <w:szCs w:val="21"/>
                      <w:highlight w:val="none"/>
                      <w14:textFill>
                        <w14:solidFill>
                          <w14:schemeClr w14:val="tx1"/>
                        </w14:solidFill>
                      </w14:textFill>
                    </w:rPr>
                    <w:t>。</w:t>
                  </w:r>
                </w:p>
              </w:tc>
            </w:tr>
            <w:tr w14:paraId="6D17631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7A2D2269">
                  <w:pPr>
                    <w:keepNext w:val="0"/>
                    <w:keepLines/>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五、《关于全面加强生态环境保护坚决打好污染防治攻坚战的实施意见》（苏发</w:t>
                  </w:r>
                  <w:r>
                    <w:rPr>
                      <w:rFonts w:hint="eastAsia" w:ascii="Times New Roman" w:hAnsi="Times New Roman" w:eastAsia="宋体" w:cs="宋体"/>
                      <w:color w:val="000000" w:themeColor="text1"/>
                      <w:sz w:val="21"/>
                      <w:szCs w:val="21"/>
                      <w:highlight w:val="none"/>
                      <w14:textFill>
                        <w14:solidFill>
                          <w14:schemeClr w14:val="tx1"/>
                        </w14:solidFill>
                      </w14:textFill>
                    </w:rPr>
                    <w:t>〔2018〕</w:t>
                  </w:r>
                  <w:r>
                    <w:rPr>
                      <w:rFonts w:ascii="Times New Roman" w:hAnsi="Times New Roman" w:eastAsia="宋体" w:cs="宋体"/>
                      <w:color w:val="000000" w:themeColor="text1"/>
                      <w:sz w:val="21"/>
                      <w:szCs w:val="21"/>
                      <w:highlight w:val="none"/>
                      <w14:textFill>
                        <w14:solidFill>
                          <w14:schemeClr w14:val="tx1"/>
                        </w14:solidFill>
                      </w14:textFill>
                    </w:rPr>
                    <w:t>24号）</w:t>
                  </w:r>
                </w:p>
              </w:tc>
              <w:tc>
                <w:tcPr>
                  <w:tcW w:w="2268" w:type="pct"/>
                  <w:vAlign w:val="center"/>
                </w:tcPr>
                <w:p w14:paraId="2C4D0D93">
                  <w:pPr>
                    <w:keepNext w:val="0"/>
                    <w:keepLines/>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严禁在长江干流及主要支流岸线1公里范围内新建布局化工园区和化工企业。严格化工项目环评审批，提高准入门槛，新建化工项目原则上投资额不得低于10亿元，不得新建、改建、扩建三类中间体项目。</w:t>
                  </w:r>
                </w:p>
              </w:tc>
              <w:tc>
                <w:tcPr>
                  <w:tcW w:w="2121" w:type="pct"/>
                  <w:vAlign w:val="center"/>
                </w:tcPr>
                <w:p w14:paraId="3D4F4833">
                  <w:pPr>
                    <w:keepNext w:val="0"/>
                    <w:keepLines/>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本项目不在长江干流及主要支流岸线1公里范围内且不属于化工企业。</w:t>
                  </w:r>
                </w:p>
              </w:tc>
            </w:tr>
            <w:tr w14:paraId="3B297D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66D89F02">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九、《省政府关于印发江苏省国家级生态保护红线规划的通知》（苏政发〔2018〕74号）</w:t>
                  </w:r>
                </w:p>
              </w:tc>
              <w:tc>
                <w:tcPr>
                  <w:tcW w:w="2268" w:type="pct"/>
                  <w:vAlign w:val="center"/>
                </w:tcPr>
                <w:p w14:paraId="0785A91A">
                  <w:pPr>
                    <w:keepNext w:val="0"/>
                    <w:pageBreakBefore w:val="0"/>
                    <w:tabs>
                      <w:tab w:val="left" w:pos="2160"/>
                    </w:tabs>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生态保护红线原则上按禁止开发区域的要求进行管理，</w:t>
                  </w:r>
                  <w:r>
                    <w:rPr>
                      <w:rFonts w:hint="eastAsia" w:ascii="Times New Roman" w:hAnsi="Times New Roman" w:eastAsia="宋体" w:cs="宋体"/>
                      <w:color w:val="000000" w:themeColor="text1"/>
                      <w:sz w:val="21"/>
                      <w:szCs w:val="21"/>
                      <w:highlight w:val="none"/>
                      <w14:textFill>
                        <w14:solidFill>
                          <w14:schemeClr w14:val="tx1"/>
                        </w14:solidFill>
                      </w14:textFill>
                    </w:rPr>
                    <w:t>严禁</w:t>
                  </w:r>
                  <w:r>
                    <w:rPr>
                      <w:rFonts w:ascii="Times New Roman" w:hAnsi="Times New Roman" w:eastAsia="宋体" w:cs="宋体"/>
                      <w:color w:val="000000" w:themeColor="text1"/>
                      <w:sz w:val="21"/>
                      <w:szCs w:val="21"/>
                      <w:highlight w:val="none"/>
                      <w14:textFill>
                        <w14:solidFill>
                          <w14:schemeClr w14:val="tx1"/>
                        </w14:solidFill>
                      </w14:textFill>
                    </w:rPr>
                    <w:t>不符合主体功能定位的各类开发活动，严禁任意改变用途。</w:t>
                  </w:r>
                </w:p>
              </w:tc>
              <w:tc>
                <w:tcPr>
                  <w:tcW w:w="2121" w:type="pct"/>
                  <w:vAlign w:val="center"/>
                </w:tcPr>
                <w:p w14:paraId="3D3EBAA9">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本项目不在生态保护红线范围内</w:t>
                  </w:r>
                  <w:r>
                    <w:rPr>
                      <w:rFonts w:hint="eastAsia" w:ascii="Times New Roman" w:hAnsi="Times New Roman" w:eastAsia="宋体" w:cs="宋体"/>
                      <w:color w:val="000000" w:themeColor="text1"/>
                      <w:sz w:val="21"/>
                      <w:szCs w:val="21"/>
                      <w:highlight w:val="none"/>
                      <w14:textFill>
                        <w14:solidFill>
                          <w14:schemeClr w14:val="tx1"/>
                        </w14:solidFill>
                      </w14:textFill>
                    </w:rPr>
                    <w:t>。</w:t>
                  </w:r>
                </w:p>
              </w:tc>
            </w:tr>
            <w:tr w14:paraId="518B1D8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0E7C9020">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b/>
                      <w:bCs/>
                      <w:color w:val="000000" w:themeColor="text1"/>
                      <w:szCs w:val="21"/>
                      <w14:textFill>
                        <w14:solidFill>
                          <w14:schemeClr w14:val="tx1"/>
                        </w14:solidFill>
                      </w14:textFill>
                    </w:rPr>
                    <w:t>《关于加强重点行业涉新污染物建设项目环境影响评价工作的意见》（环环评【2025】28号）相符性分析</w:t>
                  </w:r>
                </w:p>
              </w:tc>
            </w:tr>
            <w:tr w14:paraId="286CBB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59" w:type="dxa"/>
                  <w:vAlign w:val="center"/>
                </w:tcPr>
                <w:p w14:paraId="38EBF1CD">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b w:val="0"/>
                      <w:bCs w:val="0"/>
                      <w:color w:val="000000" w:themeColor="text1"/>
                      <w:kern w:val="0"/>
                      <w:sz w:val="21"/>
                      <w:szCs w:val="21"/>
                      <w:vertAlign w:val="baseline"/>
                      <w:lang w:val="en-US" w:eastAsia="zh-CN"/>
                      <w14:textFill>
                        <w14:solidFill>
                          <w14:schemeClr w14:val="tx1"/>
                        </w14:solidFill>
                      </w14:textFill>
                    </w:rPr>
                    <w:t>突出管理重点</w:t>
                  </w:r>
                </w:p>
              </w:tc>
              <w:tc>
                <w:tcPr>
                  <w:tcW w:w="3198" w:type="dxa"/>
                  <w:vAlign w:val="center"/>
                </w:tcPr>
                <w:p w14:paraId="4472B23E">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vertAlign w:val="baseline"/>
                      <w:lang w:val="en-US" w:eastAsia="zh-CN" w:bidi="ar-SA"/>
                      <w14:textFill>
                        <w14:solidFill>
                          <w14:schemeClr w14:val="tx1"/>
                        </w14:solidFill>
                      </w14:textFill>
                    </w:rPr>
                    <w:t>重点关注重点管控新污染物清单、有毒有害污染物名录、优先控制化学品名录以及《关于持久性有机污染物的斯德哥尔摩公约》（简称《斯德哥尔摩公约》）附件中已发布环境质量标准、污染物排放标准、环境监测方法标准或其他具有污染治理技术的污染物。重点关注石化、涂料、纺织印染、橡胶、农药、医药等重点行业建设项目，在建设项目环评工作中做好上述新污染物识别，涉及上述新污染物的，执行本意见要求；不涉及新污染物的，无需开展相关工作。</w:t>
                  </w:r>
                </w:p>
              </w:tc>
              <w:tc>
                <w:tcPr>
                  <w:tcW w:w="2993" w:type="dxa"/>
                  <w:vAlign w:val="center"/>
                </w:tcPr>
                <w:p w14:paraId="2EF1403A">
                  <w:pPr>
                    <w:pStyle w:val="73"/>
                    <w:keepNext w:val="0"/>
                    <w:keepLines w:val="0"/>
                    <w:pageBreakBefore w:val="0"/>
                    <w:widowControl w:val="0"/>
                    <w:kinsoku/>
                    <w:wordWrap/>
                    <w:overflowPunct/>
                    <w:topLinePunct w:val="0"/>
                    <w:autoSpaceDE/>
                    <w:autoSpaceDN/>
                    <w:bidi w:val="0"/>
                    <w:adjustRightInd w:val="0"/>
                    <w:snapToGrid w:val="0"/>
                    <w:spacing w:line="300" w:lineRule="auto"/>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bidi="ar-SA"/>
                      <w14:textFill>
                        <w14:solidFill>
                          <w14:schemeClr w14:val="tx1"/>
                        </w14:solidFill>
                      </w14:textFill>
                    </w:rPr>
                    <w:t>本项目废气主要为氨气和硫化氢，不属于有毒有害污染物，经废气处理装置处理后达标排放。本项目不属于石化、涂料、纺织印染、橡胶、农药、医药等重点行业建设项目。</w:t>
                  </w:r>
                </w:p>
              </w:tc>
            </w:tr>
            <w:tr w14:paraId="226B59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59" w:type="dxa"/>
                  <w:vAlign w:val="center"/>
                </w:tcPr>
                <w:p w14:paraId="1530302F">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b w:val="0"/>
                      <w:bCs w:val="0"/>
                      <w:color w:val="000000" w:themeColor="text1"/>
                      <w:kern w:val="0"/>
                      <w:sz w:val="21"/>
                      <w:szCs w:val="21"/>
                      <w:vertAlign w:val="baseline"/>
                      <w:lang w:val="en-US" w:eastAsia="zh-CN"/>
                      <w14:textFill>
                        <w14:solidFill>
                          <w14:schemeClr w14:val="tx1"/>
                        </w14:solidFill>
                      </w14:textFill>
                    </w:rPr>
                    <w:t>禁止审批不符合新污染物管控要求的建设项目</w:t>
                  </w:r>
                </w:p>
              </w:tc>
              <w:tc>
                <w:tcPr>
                  <w:tcW w:w="3198" w:type="dxa"/>
                  <w:vAlign w:val="center"/>
                </w:tcPr>
                <w:p w14:paraId="1E8AAA67">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default" w:eastAsia="宋体"/>
                      <w:b w:val="0"/>
                      <w:bCs w:val="0"/>
                      <w:color w:val="000000" w:themeColor="text1"/>
                      <w:kern w:val="0"/>
                      <w:sz w:val="21"/>
                      <w:szCs w:val="21"/>
                      <w:vertAlign w:val="baseline"/>
                      <w:lang w:val="en-US" w:eastAsia="zh-CN"/>
                      <w14:textFill>
                        <w14:solidFill>
                          <w14:schemeClr w14:val="tx1"/>
                        </w14:solidFill>
                      </w14:textFill>
                    </w:rPr>
                    <w:t>各级环评审批部门在受理和审批建设项目环评文件时，应落实重点管控新污染物清单、产业结构调整指导目录、《斯德哥尔摩公约》、生态环境分区管控方案和项目所在园区规划环评等有关管控要求。对照不予审批环评的项目类别，严格审核建设项目原辅材料和产品，对于以禁止生产、加工使用的新污染物作为原辅料或产品的建设项目，依法不予审批。</w:t>
                  </w:r>
                </w:p>
              </w:tc>
              <w:tc>
                <w:tcPr>
                  <w:tcW w:w="2993" w:type="dxa"/>
                  <w:vAlign w:val="center"/>
                </w:tcPr>
                <w:p w14:paraId="3C20B846">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bidi="ar-SA"/>
                      <w14:textFill>
                        <w14:solidFill>
                          <w14:schemeClr w14:val="tx1"/>
                        </w14:solidFill>
                      </w14:textFill>
                    </w:rPr>
                    <w:t>本项目排放污染物为氨气和硫化氢，不属于重点管控新污染物清单中污染物，不属于《产业结构调整指导目录（2024年本）》中限制类或淘汰类项目，不属于《斯德哥尔摩公约》中持久性有机污染物，满足生态环境分区管控方案和项目所在园区规划环评等有关管控要求，不属于不予审批环评的项目类别。</w:t>
                  </w:r>
                </w:p>
              </w:tc>
            </w:tr>
            <w:tr w14:paraId="2A1589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276DED36">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《省生态环境厅关于进一步加强建设项目环评审批和服务工作的指导意见》</w:t>
                  </w:r>
                </w:p>
                <w:p w14:paraId="33E0B094">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（苏环办</w:t>
                  </w:r>
                  <w:r>
                    <w:rPr>
                      <w:rFonts w:hint="eastAsia" w:ascii="Times New Roman" w:hAnsi="Times New Roman" w:eastAsia="宋体" w:cs="宋体"/>
                      <w:b/>
                      <w:bCs/>
                      <w:color w:val="000000" w:themeColor="text1"/>
                      <w:sz w:val="21"/>
                      <w:szCs w:val="21"/>
                      <w:highlight w:val="none"/>
                      <w14:textFill>
                        <w14:solidFill>
                          <w14:schemeClr w14:val="tx1"/>
                        </w14:solidFill>
                      </w14:textFill>
                    </w:rPr>
                    <w:t>〔2020〕</w:t>
                  </w:r>
                  <w:r>
                    <w:rPr>
                      <w:rFonts w:hint="eastAsia" w:ascii="Times New Roman" w:hAnsi="Times New Roman" w:eastAsia="宋体" w:cs="宋体"/>
                      <w:b/>
                      <w:color w:val="000000" w:themeColor="text1"/>
                      <w:sz w:val="21"/>
                      <w:szCs w:val="21"/>
                      <w:highlight w:val="none"/>
                      <w14:textFill>
                        <w14:solidFill>
                          <w14:schemeClr w14:val="tx1"/>
                        </w14:solidFill>
                      </w14:textFill>
                    </w:rPr>
                    <w:t>225号）</w:t>
                  </w:r>
                </w:p>
              </w:tc>
            </w:tr>
            <w:tr w14:paraId="189703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77C84BC9">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严守生态环境质量底线</w:t>
                  </w:r>
                </w:p>
              </w:tc>
              <w:tc>
                <w:tcPr>
                  <w:tcW w:w="2268" w:type="pct"/>
                  <w:vAlign w:val="center"/>
                </w:tcPr>
                <w:p w14:paraId="08D8B8F6">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坚持以改善环境质量为核心，开发建设活动不得突破区域生态环境承载能力，确保“生态环境质量只能更好、不能变坏”。</w:t>
                  </w:r>
                </w:p>
                <w:p w14:paraId="01FF777B">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（一）建设项目所在区域环境质量未达到国家或地方环境质量标准，且项目拟采取的污染防治措施不能满足区域环境质量改善目标管理要求的，一律不得审批。</w:t>
                  </w:r>
                </w:p>
                <w:p w14:paraId="4A7F15F1">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（二）加强规划环评与建设项目环评联动，对不符合规划环评结论及审查意见的项目环评，依法不予审批。规划所包含项目的环评内容，可根据规划环评结论和审查意见予以简化。</w:t>
                  </w:r>
                </w:p>
                <w:p w14:paraId="1B3F23C6">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（三）切实加强区域环境容量、环境承载力研究，不得审批突破环境容量和环境承载力的建设项目。</w:t>
                  </w:r>
                </w:p>
                <w:p w14:paraId="7C6785C7">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（四）应将“三线一单”作为建设项目环评审批的重要依据，严格落实生态环境分区管控要求，从严把好环境准入关。</w:t>
                  </w:r>
                </w:p>
              </w:tc>
              <w:tc>
                <w:tcPr>
                  <w:tcW w:w="2121" w:type="pct"/>
                  <w:vMerge w:val="restart"/>
                  <w:vAlign w:val="center"/>
                </w:tcPr>
                <w:p w14:paraId="400A86C3">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本项目所在区域为非达标区，为实现区域环境质量达标，</w:t>
                  </w:r>
                  <w:r>
                    <w:rPr>
                      <w:rFonts w:hint="eastAsia" w:ascii="Times New Roman" w:hAnsi="Times New Roman" w:eastAsia="宋体" w:cs="宋体"/>
                      <w:bCs/>
                      <w:color w:val="000000" w:themeColor="text1"/>
                      <w:sz w:val="21"/>
                      <w:szCs w:val="21"/>
                      <w:highlight w:val="none"/>
                      <w14:textFill>
                        <w14:solidFill>
                          <w14:schemeClr w14:val="tx1"/>
                        </w14:solidFill>
                      </w14:textFill>
                    </w:rPr>
                    <w:t>常州市生态环境</w:t>
                  </w:r>
                  <w:r>
                    <w:rPr>
                      <w:rFonts w:ascii="Times New Roman" w:hAnsi="Times New Roman" w:eastAsia="宋体" w:cs="宋体"/>
                      <w:bCs/>
                      <w:color w:val="000000" w:themeColor="text1"/>
                      <w:sz w:val="21"/>
                      <w:szCs w:val="21"/>
                      <w:highlight w:val="none"/>
                      <w14:textFill>
                        <w14:solidFill>
                          <w14:schemeClr w14:val="tx1"/>
                        </w14:solidFill>
                      </w14:textFill>
                    </w:rPr>
                    <w:t>局提出</w:t>
                  </w:r>
                  <w:r>
                    <w:rPr>
                      <w:rFonts w:hint="eastAsia" w:ascii="Times New Roman" w:hAnsi="Times New Roman" w:eastAsia="宋体" w:cs="宋体"/>
                      <w:bCs/>
                      <w:color w:val="000000" w:themeColor="text1"/>
                      <w:sz w:val="21"/>
                      <w:szCs w:val="21"/>
                      <w:highlight w:val="none"/>
                      <w14:textFill>
                        <w14:solidFill>
                          <w14:schemeClr w14:val="tx1"/>
                        </w14:solidFill>
                      </w14:textFill>
                    </w:rPr>
                    <w:t>一系列</w:t>
                  </w:r>
                  <w:r>
                    <w:rPr>
                      <w:rFonts w:ascii="Times New Roman" w:hAnsi="Times New Roman" w:eastAsia="宋体" w:cs="宋体"/>
                      <w:bCs/>
                      <w:color w:val="000000" w:themeColor="text1"/>
                      <w:sz w:val="21"/>
                      <w:szCs w:val="21"/>
                      <w:highlight w:val="none"/>
                      <w14:textFill>
                        <w14:solidFill>
                          <w14:schemeClr w14:val="tx1"/>
                        </w14:solidFill>
                      </w14:textFill>
                    </w:rPr>
                    <w:t>大气污染防治措施，区域环境空气质量可以得到改善</w:t>
                  </w:r>
                  <w:r>
                    <w:rPr>
                      <w:rFonts w:hint="eastAsia" w:ascii="Times New Roman" w:hAnsi="Times New Roman" w:eastAsia="宋体" w:cs="宋体"/>
                      <w:bCs/>
                      <w:color w:val="000000" w:themeColor="text1"/>
                      <w:sz w:val="21"/>
                      <w:szCs w:val="21"/>
                      <w:highlight w:val="none"/>
                      <w14:textFill>
                        <w14:solidFill>
                          <w14:schemeClr w14:val="tx1"/>
                        </w14:solidFill>
                      </w14:textFill>
                    </w:rPr>
                    <w:t>，</w:t>
                  </w:r>
                  <w:r>
                    <w:rPr>
                      <w:rFonts w:ascii="Times New Roman" w:hAnsi="Times New Roman" w:eastAsia="宋体" w:cs="宋体"/>
                      <w:bCs/>
                      <w:color w:val="000000" w:themeColor="text1"/>
                      <w:sz w:val="21"/>
                      <w:szCs w:val="21"/>
                      <w:highlight w:val="none"/>
                      <w14:textFill>
                        <w14:solidFill>
                          <w14:schemeClr w14:val="tx1"/>
                        </w14:solidFill>
                      </w14:textFill>
                    </w:rPr>
                    <w:t>符合区域产业定位</w:t>
                  </w:r>
                  <w:r>
                    <w:rPr>
                      <w:rFonts w:hint="eastAsia" w:ascii="Times New Roman" w:hAnsi="Times New Roman" w:eastAsia="宋体" w:cs="宋体"/>
                      <w:bCs/>
                      <w:color w:val="000000" w:themeColor="text1"/>
                      <w:sz w:val="21"/>
                      <w:szCs w:val="21"/>
                      <w:highlight w:val="none"/>
                      <w14:textFill>
                        <w14:solidFill>
                          <w14:schemeClr w14:val="tx1"/>
                        </w14:solidFill>
                      </w14:textFill>
                    </w:rPr>
                    <w:t>，在环境影响评价文件审批前，取得主要污染物排放总量指标，符合“三线一单”管理要求，不属于禁止类项目</w:t>
                  </w:r>
                  <w:r>
                    <w:rPr>
                      <w:rFonts w:ascii="Times New Roman" w:hAnsi="Times New Roman" w:eastAsia="宋体" w:cs="宋体"/>
                      <w:bCs/>
                      <w:color w:val="000000" w:themeColor="text1"/>
                      <w:sz w:val="21"/>
                      <w:szCs w:val="21"/>
                      <w:highlight w:val="none"/>
                      <w14:textFill>
                        <w14:solidFill>
                          <w14:schemeClr w14:val="tx1"/>
                        </w14:solidFill>
                      </w14:textFill>
                    </w:rPr>
                    <w:t>。</w:t>
                  </w:r>
                </w:p>
              </w:tc>
            </w:tr>
            <w:tr w14:paraId="2C03DC5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3CD24A3B">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严格重点行业环评审批</w:t>
                  </w:r>
                </w:p>
              </w:tc>
              <w:tc>
                <w:tcPr>
                  <w:tcW w:w="2268" w:type="pct"/>
                  <w:vAlign w:val="center"/>
                </w:tcPr>
                <w:p w14:paraId="72A2179A">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严格执行《江苏省长江经济带发展负面清单实施细则（试行）》，禁止在合规园区外新建、扩建钢铁、石化、化工、焦化、建材、有色等行业中的高污染项目。禁止新建燃煤自备电厂。</w:t>
                  </w:r>
                </w:p>
              </w:tc>
              <w:tc>
                <w:tcPr>
                  <w:tcW w:w="2121" w:type="pct"/>
                  <w:vMerge w:val="continue"/>
                  <w:vAlign w:val="center"/>
                </w:tcPr>
                <w:p w14:paraId="514685B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188FDC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7A127F17">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《市生态环境局关于建设项目的审批指导意见（试行）》（2021年4月7日）</w:t>
                  </w:r>
                </w:p>
                <w:p w14:paraId="09E57805">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《常州市生态环境局关于调整建设项目报备范围的通知》（2021年11月10日）</w:t>
                  </w:r>
                </w:p>
              </w:tc>
            </w:tr>
            <w:tr w14:paraId="09C4EE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6E0A2CF5">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1、严格项目总量</w:t>
                  </w:r>
                </w:p>
              </w:tc>
              <w:tc>
                <w:tcPr>
                  <w:tcW w:w="2268" w:type="pct"/>
                  <w:vAlign w:val="center"/>
                </w:tcPr>
                <w:p w14:paraId="280BEAA2">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实施建设项目大气污染物总量负增长原则，即重点区域内建设项目使用大气污染物总量，原则上在重点区域范围内实施总量平衡，且必须实行总量2倍减量替代。</w:t>
                  </w:r>
                </w:p>
              </w:tc>
              <w:tc>
                <w:tcPr>
                  <w:tcW w:w="2121" w:type="pct"/>
                  <w:vMerge w:val="restart"/>
                  <w:vAlign w:val="center"/>
                </w:tcPr>
                <w:p w14:paraId="6E8ECB9C">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w:t>
                  </w:r>
                  <w:r>
                    <w:rPr>
                      <w:rFonts w:hint="eastAsia" w:ascii="Times New Roman" w:hAnsi="Times New Roman" w:eastAsia="宋体" w:cs="宋体"/>
                      <w:color w:val="000000" w:themeColor="text1"/>
                      <w:sz w:val="21"/>
                      <w:szCs w:val="21"/>
                      <w:highlight w:val="none"/>
                      <w14:textFill>
                        <w14:solidFill>
                          <w14:schemeClr w14:val="tx1"/>
                        </w14:solidFill>
                      </w14:textFill>
                    </w:rPr>
                    <w:t>实行区域总量平衡，</w:t>
                  </w:r>
                  <w:r>
                    <w:rPr>
                      <w:rFonts w:ascii="Times New Roman" w:hAnsi="Times New Roman" w:eastAsia="宋体" w:cs="宋体"/>
                      <w:color w:val="000000" w:themeColor="text1"/>
                      <w:sz w:val="21"/>
                      <w:szCs w:val="21"/>
                      <w:highlight w:val="none"/>
                      <w14:textFill>
                        <w14:solidFill>
                          <w14:schemeClr w14:val="tx1"/>
                        </w14:solidFill>
                      </w14:textFill>
                    </w:rPr>
                    <w:t>不在大气质量国控点三公里范围内，不属于重点</w:t>
                  </w:r>
                  <w:r>
                    <w:rPr>
                      <w:rFonts w:hint="eastAsia" w:ascii="Times New Roman" w:hAnsi="Times New Roman" w:eastAsia="宋体" w:cs="宋体"/>
                      <w:color w:val="000000" w:themeColor="text1"/>
                      <w:sz w:val="21"/>
                      <w:szCs w:val="21"/>
                      <w:highlight w:val="none"/>
                      <w14:textFill>
                        <w14:solidFill>
                          <w14:schemeClr w14:val="tx1"/>
                        </w14:solidFill>
                      </w14:textFill>
                    </w:rPr>
                    <w:t>区域，不属于“高污染、高环境风险”类别项目</w:t>
                  </w:r>
                  <w:r>
                    <w:rPr>
                      <w:rFonts w:ascii="Times New Roman" w:hAnsi="Times New Roman" w:eastAsia="宋体" w:cs="宋体"/>
                      <w:color w:val="000000" w:themeColor="text1"/>
                      <w:sz w:val="21"/>
                      <w:szCs w:val="21"/>
                      <w:highlight w:val="none"/>
                      <w14:textFill>
                        <w14:solidFill>
                          <w14:schemeClr w14:val="tx1"/>
                        </w14:solidFill>
                      </w14:textFill>
                    </w:rPr>
                    <w:t>。</w:t>
                  </w:r>
                </w:p>
              </w:tc>
            </w:tr>
            <w:tr w14:paraId="7AF50C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0E87955D">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2、强化环评审批</w:t>
                  </w:r>
                </w:p>
              </w:tc>
              <w:tc>
                <w:tcPr>
                  <w:tcW w:w="2268" w:type="pct"/>
                  <w:vAlign w:val="center"/>
                </w:tcPr>
                <w:p w14:paraId="04FE98F9">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对重点区域内新上的大气污染物排放的建设项目及全市范围内新上高能耗项目，审批部门对其环评文本应实施质量评估。</w:t>
                  </w:r>
                </w:p>
              </w:tc>
              <w:tc>
                <w:tcPr>
                  <w:tcW w:w="2121" w:type="pct"/>
                  <w:vMerge w:val="continue"/>
                  <w:vAlign w:val="center"/>
                </w:tcPr>
                <w:p w14:paraId="32AF6B9B">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54F409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6A6C230">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3、推进减污降碳</w:t>
                  </w:r>
                </w:p>
              </w:tc>
              <w:tc>
                <w:tcPr>
                  <w:tcW w:w="2268" w:type="pct"/>
                  <w:vAlign w:val="center"/>
                </w:tcPr>
                <w:p w14:paraId="1886F283">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对重点区域内新上的大气污染物排放的建设项目及全市范围内新上高能耗项目的严格审批，区级审批部门审批前需向生态环境局报备，审批部门方可出具审批文件。</w:t>
                  </w:r>
                </w:p>
              </w:tc>
              <w:tc>
                <w:tcPr>
                  <w:tcW w:w="2121" w:type="pct"/>
                  <w:vMerge w:val="continue"/>
                  <w:vAlign w:val="center"/>
                </w:tcPr>
                <w:p w14:paraId="29E5E077">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516FD8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28A3A3A">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w:t>
                  </w:r>
                </w:p>
              </w:tc>
              <w:tc>
                <w:tcPr>
                  <w:tcW w:w="2268" w:type="pct"/>
                  <w:vAlign w:val="center"/>
                </w:tcPr>
                <w:p w14:paraId="648ABA2B">
                  <w:pPr>
                    <w:keepNext w:val="0"/>
                    <w:pageBreakBefore w:val="0"/>
                    <w:kinsoku/>
                    <w:wordWrap/>
                    <w:overflowPunct/>
                    <w:topLinePunct w:val="0"/>
                    <w:autoSpaceDE w:val="0"/>
                    <w:autoSpaceDN w:val="0"/>
                    <w:bidi w:val="0"/>
                    <w:adjustRightInd/>
                    <w:snapToGrid w:val="0"/>
                    <w:spacing w:line="300" w:lineRule="auto"/>
                    <w:ind w:firstLine="420" w:firstLineChars="200"/>
                    <w:jc w:val="left"/>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重点区域：我市大气质量国控点位周边三公里范围。2、重点行业：①“两高”行业主要包括煤电、石化、化工、钢铁、有色金属冶炼和建材六大行业，以及制药、农药行业；②《环境保护综合名录（2021年版）》中“高污染”和“高污染、高环境风险”类别项目。</w:t>
                  </w:r>
                </w:p>
              </w:tc>
              <w:tc>
                <w:tcPr>
                  <w:tcW w:w="2121" w:type="pct"/>
                  <w:vMerge w:val="continue"/>
                  <w:vAlign w:val="center"/>
                </w:tcPr>
                <w:p w14:paraId="7B887450">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p>
              </w:tc>
            </w:tr>
            <w:tr w14:paraId="182620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0E9EF606">
                  <w:pPr>
                    <w:keepNext w:val="0"/>
                    <w:pageBreakBefore w:val="0"/>
                    <w:kinsoku/>
                    <w:wordWrap/>
                    <w:overflowPunct/>
                    <w:topLinePunct w:val="0"/>
                    <w:autoSpaceDE w:val="0"/>
                    <w:autoSpaceDN w:val="0"/>
                    <w:bidi w:val="0"/>
                    <w:adjustRightInd/>
                    <w:snapToGrid w:val="0"/>
                    <w:spacing w:line="300" w:lineRule="auto"/>
                    <w:jc w:val="center"/>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《关于印发常州市2022年大气污染防治工作计划的通知》</w:t>
                  </w:r>
                </w:p>
                <w:p w14:paraId="405218AE">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（常大气办〔2022〕1号）</w:t>
                  </w:r>
                </w:p>
              </w:tc>
            </w:tr>
            <w:tr w14:paraId="68D16E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6B6D0BE">
                  <w:pPr>
                    <w:pStyle w:val="63"/>
                    <w:keepNext w:val="0"/>
                    <w:pageBreakBefore w:val="0"/>
                    <w:kinsoku/>
                    <w:wordWrap/>
                    <w:overflowPunct/>
                    <w:topLinePunct w:val="0"/>
                    <w:bidi w:val="0"/>
                    <w:adjustRightInd/>
                    <w:snapToGrid w:val="0"/>
                    <w:spacing w:line="300" w:lineRule="auto"/>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调整优化产业结构，推进产业绿色发展</w:t>
                  </w:r>
                </w:p>
              </w:tc>
              <w:tc>
                <w:tcPr>
                  <w:tcW w:w="2268" w:type="pct"/>
                  <w:vAlign w:val="center"/>
                </w:tcPr>
                <w:p w14:paraId="7E371A1B">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坚决遏制“两高”项目盲目发展。对不符合要求的“两高”项目，坚决停批停建。依法依规淘汰落后产能和化解过剩产能。强化资源要素差别化配置政策落实，推动低端产业、高排放产业有序退出，持续推进化工行业安全环保整治提升。推进产业结构转型升级。完善“三线一单”生态环境分区管控体系，落实以环评制度为主体的源头预防体系，严格规划环评审查和项目环评准入。</w:t>
                  </w:r>
                </w:p>
              </w:tc>
              <w:tc>
                <w:tcPr>
                  <w:tcW w:w="2121" w:type="pct"/>
                  <w:vAlign w:val="center"/>
                </w:tcPr>
                <w:p w14:paraId="48DD91CF">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本项目不属于“两高”项目。</w:t>
                  </w:r>
                </w:p>
              </w:tc>
            </w:tr>
            <w:tr w14:paraId="4E5368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7380FAE3">
                  <w:pPr>
                    <w:pStyle w:val="63"/>
                    <w:keepNext w:val="0"/>
                    <w:pageBreakBefore w:val="0"/>
                    <w:kinsoku/>
                    <w:wordWrap/>
                    <w:overflowPunct/>
                    <w:topLinePunct w:val="0"/>
                    <w:bidi w:val="0"/>
                    <w:adjustRightInd/>
                    <w:snapToGrid w:val="0"/>
                    <w:spacing w:line="300" w:lineRule="auto"/>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优化能源结构，推进能源清洁低碳发展</w:t>
                  </w:r>
                </w:p>
              </w:tc>
              <w:tc>
                <w:tcPr>
                  <w:tcW w:w="2268" w:type="pct"/>
                  <w:vAlign w:val="center"/>
                </w:tcPr>
                <w:p w14:paraId="1639BD33">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优化能源结构，大力发展清洁能源，推进工业炉窑清洁能源替代。</w:t>
                  </w:r>
                </w:p>
              </w:tc>
              <w:tc>
                <w:tcPr>
                  <w:tcW w:w="2121" w:type="pct"/>
                  <w:vAlign w:val="center"/>
                </w:tcPr>
                <w:p w14:paraId="7E9CD8DF">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本项目主要使用电能。</w:t>
                  </w:r>
                </w:p>
              </w:tc>
            </w:tr>
            <w:tr w14:paraId="5E3FF2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76F7A9C5">
                  <w:pPr>
                    <w:pStyle w:val="63"/>
                    <w:keepNext w:val="0"/>
                    <w:pageBreakBefore w:val="0"/>
                    <w:kinsoku/>
                    <w:wordWrap/>
                    <w:overflowPunct/>
                    <w:topLinePunct w:val="0"/>
                    <w:bidi w:val="0"/>
                    <w:adjustRightInd/>
                    <w:snapToGrid w:val="0"/>
                    <w:spacing w:line="300" w:lineRule="auto"/>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强化协同减排，切实降低VOCs和氮氧化物排放水平</w:t>
                  </w:r>
                </w:p>
              </w:tc>
              <w:tc>
                <w:tcPr>
                  <w:tcW w:w="2268" w:type="pct"/>
                  <w:vAlign w:val="center"/>
                </w:tcPr>
                <w:p w14:paraId="591E3FAA">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大力推进低VOCs含量清洁原料替代。推进各地对照产品质量标准，加大对各类涂料、油墨、胶粘剂、清洗剂等生产、销售、使用环节的监督管理。强化VOCs全流程、全环节综合治理。在确保安全等前提下，加强含VOCs物料全方位、全链条、全环节密闭管理。</w:t>
                  </w:r>
                </w:p>
              </w:tc>
              <w:tc>
                <w:tcPr>
                  <w:tcW w:w="2121" w:type="pct"/>
                  <w:vAlign w:val="center"/>
                </w:tcPr>
                <w:p w14:paraId="30E4A6BD">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本项目不属于生产和使用高</w:t>
                  </w:r>
                  <w:r>
                    <w:rPr>
                      <w:rFonts w:hint="eastAsia" w:ascii="Times New Roman" w:hAnsi="Times New Roman" w:eastAsia="宋体" w:cs="宋体"/>
                      <w:color w:val="000000" w:themeColor="text1"/>
                      <w:sz w:val="21"/>
                      <w:szCs w:val="21"/>
                      <w:highlight w:val="none"/>
                      <w14:textFill>
                        <w14:solidFill>
                          <w14:schemeClr w14:val="tx1"/>
                        </w14:solidFill>
                      </w14:textFill>
                    </w:rPr>
                    <w:t>VOCs含量的涂料、油墨、胶粘剂等项目。</w:t>
                  </w:r>
                </w:p>
              </w:tc>
            </w:tr>
            <w:tr w14:paraId="73CCF2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46489174">
                  <w:pPr>
                    <w:keepNext w:val="0"/>
                    <w:pageBreakBefore w:val="0"/>
                    <w:kinsoku/>
                    <w:wordWrap/>
                    <w:overflowPunct/>
                    <w:topLinePunct w:val="0"/>
                    <w:autoSpaceDE w:val="0"/>
                    <w:autoSpaceDN w:val="0"/>
                    <w:bidi w:val="0"/>
                    <w:adjustRightInd/>
                    <w:snapToGrid w:val="0"/>
                    <w:spacing w:line="300" w:lineRule="auto"/>
                    <w:jc w:val="center"/>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《常州市深入打好污染防治攻坚战专项行动方案》</w:t>
                  </w:r>
                </w:p>
                <w:p w14:paraId="69622E1C">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（常政办发〔2022〕32号）</w:t>
                  </w:r>
                </w:p>
              </w:tc>
            </w:tr>
            <w:tr w14:paraId="0C810B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1119F507">
                  <w:pPr>
                    <w:pStyle w:val="63"/>
                    <w:keepNext w:val="0"/>
                    <w:pageBreakBefore w:val="0"/>
                    <w:kinsoku/>
                    <w:wordWrap/>
                    <w:overflowPunct/>
                    <w:topLinePunct w:val="0"/>
                    <w:bidi w:val="0"/>
                    <w:adjustRightInd/>
                    <w:snapToGrid w:val="0"/>
                    <w:spacing w:line="300" w:lineRule="auto"/>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着力打好重污染天气消除攻坚战</w:t>
                  </w:r>
                </w:p>
              </w:tc>
              <w:tc>
                <w:tcPr>
                  <w:tcW w:w="2268" w:type="pct"/>
                  <w:vAlign w:val="center"/>
                </w:tcPr>
                <w:p w14:paraId="4D7227FD">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推动重点行业企业和工业炉窑、垃圾焚烧重点设施超低排放改造（深度治理），严格控制物料（含废渣）运输、装卸、储存、转移和工艺过程无组织排放。</w:t>
                  </w:r>
                </w:p>
              </w:tc>
              <w:tc>
                <w:tcPr>
                  <w:tcW w:w="2121" w:type="pct"/>
                  <w:vAlign w:val="center"/>
                </w:tcPr>
                <w:p w14:paraId="435B199F">
                  <w:pPr>
                    <w:keepNext w:val="0"/>
                    <w:pageBreakBefore w:val="0"/>
                    <w:kinsoku/>
                    <w:wordWrap/>
                    <w:overflowPunct/>
                    <w:topLinePunct w:val="0"/>
                    <w:bidi w:val="0"/>
                    <w:adjustRightInd/>
                    <w:snapToGrid w:val="0"/>
                    <w:spacing w:line="300" w:lineRule="auto"/>
                    <w:jc w:val="center"/>
                    <w:textAlignment w:val="auto"/>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本项目不涉及上述内容</w:t>
                  </w:r>
                </w:p>
              </w:tc>
            </w:tr>
            <w:tr w14:paraId="426F9E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restart"/>
                  <w:vAlign w:val="center"/>
                </w:tcPr>
                <w:p w14:paraId="5BD28F49">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着力打好臭氧污染防治攻坚战</w:t>
                  </w:r>
                </w:p>
              </w:tc>
              <w:tc>
                <w:tcPr>
                  <w:tcW w:w="2268" w:type="pct"/>
                  <w:vAlign w:val="center"/>
                </w:tcPr>
                <w:p w14:paraId="4642EE3B">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以化工、涂装、医药、包装印刷、油品储运销等行业领域为重点，实施原辅材料和产品源头替代工程</w:t>
                  </w:r>
                  <w:r>
                    <w:rPr>
                      <w:rFonts w:hint="eastAsia"/>
                      <w:color w:val="000000" w:themeColor="text1"/>
                      <w:sz w:val="21"/>
                      <w:szCs w:val="21"/>
                      <w:highlight w:val="none"/>
                      <w:lang w:eastAsia="zh-CN"/>
                      <w14:textFill>
                        <w14:solidFill>
                          <w14:schemeClr w14:val="tx1"/>
                        </w14:solidFill>
                      </w14:textFill>
                    </w:rPr>
                    <w:t>。</w:t>
                  </w:r>
                </w:p>
              </w:tc>
              <w:tc>
                <w:tcPr>
                  <w:tcW w:w="2121" w:type="pct"/>
                  <w:vAlign w:val="center"/>
                </w:tcPr>
                <w:p w14:paraId="47B32D00">
                  <w:pPr>
                    <w:keepNext w:val="0"/>
                    <w:pageBreakBefore w:val="0"/>
                    <w:kinsoku/>
                    <w:wordWrap/>
                    <w:overflowPunct/>
                    <w:topLinePunct w:val="0"/>
                    <w:bidi w:val="0"/>
                    <w:adjustRightInd/>
                    <w:snapToGrid w:val="0"/>
                    <w:spacing w:line="300" w:lineRule="auto"/>
                    <w:jc w:val="center"/>
                    <w:textAlignment w:val="auto"/>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本项目不属于以上以上行业</w:t>
                  </w:r>
                </w:p>
              </w:tc>
            </w:tr>
            <w:tr w14:paraId="2F7CDCF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continue"/>
                  <w:vAlign w:val="center"/>
                </w:tcPr>
                <w:p w14:paraId="03243BAA">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p>
              </w:tc>
              <w:tc>
                <w:tcPr>
                  <w:tcW w:w="2268" w:type="pct"/>
                  <w:vAlign w:val="center"/>
                </w:tcPr>
                <w:p w14:paraId="3CE0452D">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提高企业挥发性有机物治理水平</w:t>
                  </w:r>
                  <w:r>
                    <w:rPr>
                      <w:rFonts w:hint="eastAsia"/>
                      <w:color w:val="000000" w:themeColor="text1"/>
                      <w:sz w:val="21"/>
                      <w:szCs w:val="21"/>
                      <w:highlight w:val="none"/>
                      <w:lang w:eastAsia="zh-CN"/>
                      <w14:textFill>
                        <w14:solidFill>
                          <w14:schemeClr w14:val="tx1"/>
                        </w14:solidFill>
                      </w14:textFill>
                    </w:rPr>
                    <w:t>。</w:t>
                  </w:r>
                </w:p>
              </w:tc>
              <w:tc>
                <w:tcPr>
                  <w:tcW w:w="2121" w:type="pct"/>
                  <w:vAlign w:val="center"/>
                </w:tcPr>
                <w:p w14:paraId="4EB90CA9">
                  <w:pPr>
                    <w:keepNext w:val="0"/>
                    <w:pageBreakBefore w:val="0"/>
                    <w:kinsoku/>
                    <w:wordWrap/>
                    <w:overflowPunct/>
                    <w:topLinePunct w:val="0"/>
                    <w:bidi w:val="0"/>
                    <w:adjustRightInd/>
                    <w:snapToGrid w:val="0"/>
                    <w:spacing w:line="300" w:lineRule="auto"/>
                    <w:jc w:val="center"/>
                    <w:textAlignment w:val="auto"/>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本项目不涉及挥发性有机物。</w:t>
                  </w:r>
                </w:p>
              </w:tc>
            </w:tr>
            <w:tr w14:paraId="01EC5A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continue"/>
                  <w:vAlign w:val="center"/>
                </w:tcPr>
                <w:p w14:paraId="1471E80F">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p>
              </w:tc>
              <w:tc>
                <w:tcPr>
                  <w:tcW w:w="2268" w:type="pct"/>
                  <w:vAlign w:val="center"/>
                </w:tcPr>
                <w:p w14:paraId="31E2A896">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强化装卸废气收集治理。向汽车罐车装载汽油、航空煤油、石脑油和苯、甲苯、二甲苯等应采用底部装载方式，换用自封式快速接头</w:t>
                  </w:r>
                  <w:r>
                    <w:rPr>
                      <w:rFonts w:hint="eastAsia"/>
                      <w:color w:val="000000" w:themeColor="text1"/>
                      <w:sz w:val="21"/>
                      <w:szCs w:val="21"/>
                      <w:highlight w:val="none"/>
                      <w:lang w:eastAsia="zh-CN"/>
                      <w14:textFill>
                        <w14:solidFill>
                          <w14:schemeClr w14:val="tx1"/>
                        </w14:solidFill>
                      </w14:textFill>
                    </w:rPr>
                    <w:t>。</w:t>
                  </w:r>
                </w:p>
              </w:tc>
              <w:tc>
                <w:tcPr>
                  <w:tcW w:w="2121" w:type="pct"/>
                  <w:vAlign w:val="center"/>
                </w:tcPr>
                <w:p w14:paraId="37F82015">
                  <w:pPr>
                    <w:keepNext w:val="0"/>
                    <w:pageBreakBefore w:val="0"/>
                    <w:kinsoku/>
                    <w:wordWrap/>
                    <w:overflowPunct/>
                    <w:topLinePunct w:val="0"/>
                    <w:bidi w:val="0"/>
                    <w:adjustRightInd/>
                    <w:snapToGrid w:val="0"/>
                    <w:spacing w:line="300" w:lineRule="auto"/>
                    <w:jc w:val="center"/>
                    <w:textAlignment w:val="auto"/>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本项目不涉及上述内容</w:t>
                  </w:r>
                </w:p>
              </w:tc>
            </w:tr>
            <w:tr w14:paraId="0124E4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69C79163">
                  <w:pPr>
                    <w:keepNext w:val="0"/>
                    <w:pageBreakBefore w:val="0"/>
                    <w:kinsoku/>
                    <w:wordWrap/>
                    <w:overflowPunct/>
                    <w:topLinePunct w:val="0"/>
                    <w:bidi w:val="0"/>
                    <w:adjustRightInd/>
                    <w:snapToGrid w:val="0"/>
                    <w:spacing w:line="300" w:lineRule="auto"/>
                    <w:jc w:val="center"/>
                    <w:textAlignment w:val="auto"/>
                    <w:rPr>
                      <w:rFonts w:hint="eastAsia" w:ascii="Times New Roman" w:hAnsi="Times New Roman" w:eastAsia="宋体" w:cs="宋体"/>
                      <w:bCs/>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动物防疫条件审查办法</w:t>
                  </w:r>
                  <w:r>
                    <w:rPr>
                      <w:rFonts w:hint="eastAsia" w:ascii="Times New Roman" w:hAnsi="Times New Roman" w:eastAsia="宋体" w:cs="宋体"/>
                      <w:b/>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中华人民共和国农业农村部令2022年第8号</w:t>
                  </w:r>
                  <w:r>
                    <w:rPr>
                      <w:rFonts w:hint="eastAsia" w:ascii="Times New Roman" w:hAnsi="Times New Roman" w:eastAsia="宋体" w:cs="宋体"/>
                      <w:b/>
                      <w:bCs w:val="0"/>
                      <w:color w:val="000000" w:themeColor="text1"/>
                      <w:sz w:val="21"/>
                      <w:szCs w:val="21"/>
                      <w:highlight w:val="none"/>
                      <w:lang w:eastAsia="zh-CN"/>
                      <w14:textFill>
                        <w14:solidFill>
                          <w14:schemeClr w14:val="tx1"/>
                        </w14:solidFill>
                      </w14:textFill>
                    </w:rPr>
                    <w:t>）</w:t>
                  </w:r>
                </w:p>
              </w:tc>
            </w:tr>
            <w:tr w14:paraId="4B9732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restart"/>
                  <w:vAlign w:val="center"/>
                </w:tcPr>
                <w:p w14:paraId="2B705883">
                  <w:pPr>
                    <w:keepNext w:val="0"/>
                    <w:pageBreakBefore w:val="0"/>
                    <w:tabs>
                      <w:tab w:val="left" w:pos="2160"/>
                    </w:tabs>
                    <w:kinsoku/>
                    <w:wordWrap/>
                    <w:overflowPunct/>
                    <w:topLinePunct w:val="0"/>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第二章</w:t>
                  </w:r>
                </w:p>
                <w:p w14:paraId="45636B2F">
                  <w:pPr>
                    <w:keepNext w:val="0"/>
                    <w:pageBreakBefore w:val="0"/>
                    <w:tabs>
                      <w:tab w:val="left" w:pos="2160"/>
                    </w:tabs>
                    <w:kinsoku/>
                    <w:wordWrap/>
                    <w:overflowPunct/>
                    <w:topLinePunct w:val="0"/>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动物防疫条件</w:t>
                  </w:r>
                </w:p>
              </w:tc>
              <w:tc>
                <w:tcPr>
                  <w:tcW w:w="2268" w:type="pct"/>
                  <w:vAlign w:val="center"/>
                </w:tcPr>
                <w:p w14:paraId="659708DA">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第六条</w:t>
                  </w:r>
                  <w:r>
                    <w:rPr>
                      <w:rFonts w:hint="eastAsia" w:ascii="Times New Roman" w:hAnsi="Times New Roman" w:eastAsia="宋体"/>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highlight w:val="none"/>
                      <w14:textFill>
                        <w14:solidFill>
                          <w14:schemeClr w14:val="tx1"/>
                        </w14:solidFill>
                      </w14:textFill>
                    </w:rPr>
                    <w:t>动物饲养场、动物隔离场所、动物屠宰加工场所以及动物和动物产品无害化处理场所应当符合下列条件：</w:t>
                  </w:r>
                </w:p>
                <w:p w14:paraId="25D7D24C">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（一）各场所之间，各场所与动物诊疗场所、居民生活区、生活饮用水水源地、学校、医院等公共场所之间保持必要的距离；</w:t>
                  </w:r>
                </w:p>
                <w:p w14:paraId="2E2880BC">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（二）场区周围建有围墙等隔离设施；场区出入口处设置运输车辆消毒通道或者消毒池，并单独设置人员消毒通道；生产经营区与生活办公区分开，并有隔离设施；生产经营区入口处设置人员更衣消毒室；</w:t>
                  </w:r>
                </w:p>
                <w:p w14:paraId="5D350CD2">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（三）配备与其生产经营规模相适应的执业兽医或者动物防疫技术人员；</w:t>
                  </w:r>
                </w:p>
                <w:p w14:paraId="202D6822">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（四）配备与其生产经营规模相适应的污水、污物处理设施，清洗消毒设施设备，以及必要的防鼠、防鸟、防虫设施设备；</w:t>
                  </w:r>
                </w:p>
                <w:p w14:paraId="0E7D0CC1">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（五）建立隔离消毒、购销台账、日常巡查等动物防疫制度。</w:t>
                  </w:r>
                </w:p>
              </w:tc>
              <w:tc>
                <w:tcPr>
                  <w:tcW w:w="2121" w:type="pct"/>
                  <w:vAlign w:val="center"/>
                </w:tcPr>
                <w:p w14:paraId="22075F8E">
                  <w:pPr>
                    <w:keepNext w:val="0"/>
                    <w:pageBreakBefore w:val="0"/>
                    <w:kinsoku/>
                    <w:wordWrap/>
                    <w:overflowPunct/>
                    <w:topLinePunct w:val="0"/>
                    <w:bidi w:val="0"/>
                    <w:adjustRightInd/>
                    <w:snapToGrid w:val="0"/>
                    <w:spacing w:line="300" w:lineRule="auto"/>
                    <w:jc w:val="center"/>
                    <w:textAlignment w:val="auto"/>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本项目为屠宰及肉类加工项目，周边无动物饲养场、动物隔离场所以及动物和动物产品无害化处理场所，无</w:t>
                  </w:r>
                  <w:r>
                    <w:rPr>
                      <w:rFonts w:hint="eastAsia" w:ascii="Times New Roman" w:hAnsi="Times New Roman" w:eastAsia="宋体"/>
                      <w:color w:val="000000" w:themeColor="text1"/>
                      <w:sz w:val="21"/>
                      <w:szCs w:val="21"/>
                      <w:highlight w:val="none"/>
                      <w14:textFill>
                        <w14:solidFill>
                          <w14:schemeClr w14:val="tx1"/>
                        </w14:solidFill>
                      </w14:textFill>
                    </w:rPr>
                    <w:t>动物诊疗场所、生活饮用水水源地、学校、医院等公共场所</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color w:val="000000" w:themeColor="text1"/>
                      <w:sz w:val="21"/>
                      <w:szCs w:val="21"/>
                      <w:highlight w:val="none"/>
                      <w:lang w:val="en-US" w:eastAsia="zh-CN"/>
                      <w14:textFill>
                        <w14:solidFill>
                          <w14:schemeClr w14:val="tx1"/>
                        </w14:solidFill>
                      </w14:textFill>
                    </w:rPr>
                    <w:t>与南侧</w:t>
                  </w:r>
                  <w:r>
                    <w:rPr>
                      <w:rFonts w:hint="eastAsia"/>
                      <w:color w:val="000000" w:themeColor="text1"/>
                      <w:sz w:val="21"/>
                      <w:szCs w:val="21"/>
                      <w:highlight w:val="none"/>
                      <w:lang w:val="en-US" w:eastAsia="zh-CN"/>
                      <w14:textFill>
                        <w14:solidFill>
                          <w14:schemeClr w14:val="tx1"/>
                        </w14:solidFill>
                      </w14:textFill>
                    </w:rPr>
                    <w:t>社头集镇</w:t>
                  </w:r>
                  <w:r>
                    <w:rPr>
                      <w:rFonts w:hint="eastAsia" w:ascii="Times New Roman" w:hAnsi="Times New Roman"/>
                      <w:color w:val="000000" w:themeColor="text1"/>
                      <w:sz w:val="21"/>
                      <w:szCs w:val="21"/>
                      <w:highlight w:val="none"/>
                      <w:lang w:val="en-US" w:eastAsia="zh-CN"/>
                      <w14:textFill>
                        <w14:solidFill>
                          <w14:schemeClr w14:val="tx1"/>
                        </w14:solidFill>
                      </w14:textFill>
                    </w:rPr>
                    <w:t>相距约</w:t>
                  </w:r>
                  <w:r>
                    <w:rPr>
                      <w:rFonts w:hint="eastAsia"/>
                      <w:color w:val="000000" w:themeColor="text1"/>
                      <w:sz w:val="21"/>
                      <w:szCs w:val="21"/>
                      <w:highlight w:val="none"/>
                      <w:lang w:val="en-US" w:eastAsia="zh-CN"/>
                      <w14:textFill>
                        <w14:solidFill>
                          <w14:schemeClr w14:val="tx1"/>
                        </w14:solidFill>
                      </w14:textFill>
                    </w:rPr>
                    <w:t>79</w:t>
                  </w:r>
                  <w:r>
                    <w:rPr>
                      <w:rFonts w:hint="eastAsia" w:ascii="Times New Roman" w:hAnsi="Times New Roman"/>
                      <w:color w:val="000000" w:themeColor="text1"/>
                      <w:sz w:val="21"/>
                      <w:szCs w:val="21"/>
                      <w:highlight w:val="none"/>
                      <w:lang w:val="en-US" w:eastAsia="zh-CN"/>
                      <w14:textFill>
                        <w14:solidFill>
                          <w14:schemeClr w14:val="tx1"/>
                        </w14:solidFill>
                      </w14:textFill>
                    </w:rPr>
                    <w:t>m。本项目厂区周围建有围墙，出入口设置消毒池，且单独设置人员消毒通道，</w:t>
                  </w:r>
                  <w:r>
                    <w:rPr>
                      <w:rFonts w:hint="eastAsia" w:ascii="Times New Roman" w:hAnsi="Times New Roman" w:eastAsia="宋体"/>
                      <w:color w:val="000000" w:themeColor="text1"/>
                      <w:sz w:val="21"/>
                      <w:szCs w:val="21"/>
                      <w:highlight w:val="none"/>
                      <w14:textFill>
                        <w14:solidFill>
                          <w14:schemeClr w14:val="tx1"/>
                        </w14:solidFill>
                      </w14:textFill>
                    </w:rPr>
                    <w:t>生产经营区与生活办公区分开，并有隔离设施；生产经营区入口处设置人员更衣消毒室</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color w:val="000000" w:themeColor="text1"/>
                      <w:sz w:val="21"/>
                      <w:szCs w:val="21"/>
                      <w:highlight w:val="none"/>
                      <w:lang w:val="en-US" w:eastAsia="zh-CN"/>
                      <w14:textFill>
                        <w14:solidFill>
                          <w14:schemeClr w14:val="tx1"/>
                        </w14:solidFill>
                      </w14:textFill>
                    </w:rPr>
                    <w:t>本项目建成后</w:t>
                  </w:r>
                  <w:r>
                    <w:rPr>
                      <w:rFonts w:hint="eastAsia" w:ascii="Times New Roman" w:hAnsi="Times New Roman" w:eastAsia="宋体"/>
                      <w:color w:val="000000" w:themeColor="text1"/>
                      <w:sz w:val="21"/>
                      <w:szCs w:val="21"/>
                      <w:highlight w:val="none"/>
                      <w14:textFill>
                        <w14:solidFill>
                          <w14:schemeClr w14:val="tx1"/>
                        </w14:solidFill>
                      </w14:textFill>
                    </w:rPr>
                    <w:t>配备与其生产经营规模相适应的执业兽医或者动物防疫技术人员</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color w:val="000000" w:themeColor="text1"/>
                      <w:sz w:val="21"/>
                      <w:szCs w:val="21"/>
                      <w:highlight w:val="none"/>
                      <w:lang w:val="en-US" w:eastAsia="zh-CN"/>
                      <w14:textFill>
                        <w14:solidFill>
                          <w14:schemeClr w14:val="tx1"/>
                        </w14:solidFill>
                      </w14:textFill>
                    </w:rPr>
                    <w:t>本次扩建项目对现有废水处理设施进行提升改造，配备</w:t>
                  </w:r>
                  <w:r>
                    <w:rPr>
                      <w:rFonts w:hint="eastAsia" w:ascii="Times New Roman" w:hAnsi="Times New Roman" w:eastAsia="宋体"/>
                      <w:color w:val="000000" w:themeColor="text1"/>
                      <w:sz w:val="21"/>
                      <w:szCs w:val="21"/>
                      <w:highlight w:val="none"/>
                      <w14:textFill>
                        <w14:solidFill>
                          <w14:schemeClr w14:val="tx1"/>
                        </w14:solidFill>
                      </w14:textFill>
                    </w:rPr>
                    <w:t>与生产经营规模相适应的</w:t>
                  </w:r>
                  <w:r>
                    <w:rPr>
                      <w:rFonts w:hint="eastAsia" w:ascii="Times New Roman" w:hAnsi="Times New Roman"/>
                      <w:color w:val="000000" w:themeColor="text1"/>
                      <w:sz w:val="21"/>
                      <w:szCs w:val="21"/>
                      <w:highlight w:val="none"/>
                      <w:lang w:val="en-US" w:eastAsia="zh-CN"/>
                      <w14:textFill>
                        <w14:solidFill>
                          <w14:schemeClr w14:val="tx1"/>
                        </w14:solidFill>
                      </w14:textFill>
                    </w:rPr>
                    <w:t>污</w:t>
                  </w:r>
                  <w:r>
                    <w:rPr>
                      <w:rFonts w:hint="eastAsia" w:ascii="Times New Roman" w:hAnsi="Times New Roman" w:eastAsia="宋体"/>
                      <w:color w:val="000000" w:themeColor="text1"/>
                      <w:sz w:val="21"/>
                      <w:szCs w:val="21"/>
                      <w:highlight w:val="none"/>
                      <w14:textFill>
                        <w14:solidFill>
                          <w14:schemeClr w14:val="tx1"/>
                        </w14:solidFill>
                      </w14:textFill>
                    </w:rPr>
                    <w:t>物处理设施，清洗消毒设施设备，以及必要的防鼠、防鸟、防虫设施设备</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color w:val="000000" w:themeColor="text1"/>
                      <w:sz w:val="21"/>
                      <w:szCs w:val="21"/>
                      <w:highlight w:val="none"/>
                      <w:lang w:val="en-US" w:eastAsia="zh-CN"/>
                      <w14:textFill>
                        <w14:solidFill>
                          <w14:schemeClr w14:val="tx1"/>
                        </w14:solidFill>
                      </w14:textFill>
                    </w:rPr>
                    <w:t>本项目建成后</w:t>
                  </w:r>
                  <w:r>
                    <w:rPr>
                      <w:rFonts w:hint="eastAsia" w:ascii="Times New Roman" w:hAnsi="Times New Roman" w:eastAsia="宋体"/>
                      <w:color w:val="000000" w:themeColor="text1"/>
                      <w:sz w:val="21"/>
                      <w:szCs w:val="21"/>
                      <w:highlight w:val="none"/>
                      <w14:textFill>
                        <w14:solidFill>
                          <w14:schemeClr w14:val="tx1"/>
                        </w14:solidFill>
                      </w14:textFill>
                    </w:rPr>
                    <w:t>建立隔离消毒、购销台账、日常巡查等动物防疫制度</w:t>
                  </w:r>
                  <w:r>
                    <w:rPr>
                      <w:rFonts w:hint="eastAsia" w:ascii="Times New Roman" w:hAnsi="Times New Roman"/>
                      <w:color w:val="000000" w:themeColor="text1"/>
                      <w:sz w:val="21"/>
                      <w:szCs w:val="21"/>
                      <w:highlight w:val="none"/>
                      <w:lang w:eastAsia="zh-CN"/>
                      <w14:textFill>
                        <w14:solidFill>
                          <w14:schemeClr w14:val="tx1"/>
                        </w14:solidFill>
                      </w14:textFill>
                    </w:rPr>
                    <w:t>。</w:t>
                  </w:r>
                </w:p>
              </w:tc>
            </w:tr>
            <w:tr w14:paraId="42D81C2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Merge w:val="continue"/>
                  <w:vAlign w:val="center"/>
                </w:tcPr>
                <w:p w14:paraId="230AA726">
                  <w:pPr>
                    <w:keepNext w:val="0"/>
                    <w:pageBreakBefore w:val="0"/>
                    <w:tabs>
                      <w:tab w:val="left" w:pos="2160"/>
                    </w:tabs>
                    <w:kinsoku/>
                    <w:wordWrap/>
                    <w:overflowPunct/>
                    <w:topLinePunct w:val="0"/>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p>
              </w:tc>
              <w:tc>
                <w:tcPr>
                  <w:tcW w:w="2268" w:type="pct"/>
                  <w:vAlign w:val="center"/>
                </w:tcPr>
                <w:p w14:paraId="4B601EE6">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第九条</w:t>
                  </w:r>
                  <w:r>
                    <w:rPr>
                      <w:rFonts w:hint="eastAsia" w:ascii="Times New Roman" w:hAnsi="Times New Roman"/>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highlight w:val="none"/>
                      <w14:textFill>
                        <w14:solidFill>
                          <w14:schemeClr w14:val="tx1"/>
                        </w14:solidFill>
                      </w14:textFill>
                    </w:rPr>
                    <w:t>动物屠宰加工场所除符合本办法第六条规定外，还应当符合下列条件：</w:t>
                  </w:r>
                </w:p>
                <w:p w14:paraId="511A4496">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（一）入场动物卸载区域有固定的车辆消毒场地，并配备车辆清洗消毒设备；</w:t>
                  </w:r>
                </w:p>
                <w:p w14:paraId="4D01E06E">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（二）有与其屠宰规模相适应的独立检疫室和休息室；有待宰圈、急宰间，加工原毛、生皮、绒、骨、角的，还应当设置封闭式熏蒸消毒间；</w:t>
                  </w:r>
                </w:p>
                <w:p w14:paraId="0D24A8E4">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（三）屠宰间配备检疫操作台；</w:t>
                  </w:r>
                </w:p>
                <w:p w14:paraId="792C03E0">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（四）有符合国家规定的病死动物和病害动物产品无害化处理设施设备或者冷藏冷冻等暂存设施设备；</w:t>
                  </w:r>
                </w:p>
                <w:p w14:paraId="6A723294">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（五）建立动物进场查验登记、动物产品出场登记、检疫申报、疫情报告、无害化处理等动物防疫制度。</w:t>
                  </w:r>
                </w:p>
              </w:tc>
              <w:tc>
                <w:tcPr>
                  <w:tcW w:w="2121" w:type="pct"/>
                  <w:vAlign w:val="center"/>
                </w:tcPr>
                <w:p w14:paraId="7C8FF1F9">
                  <w:pPr>
                    <w:keepNext w:val="0"/>
                    <w:pageBreakBefore w:val="0"/>
                    <w:kinsoku/>
                    <w:wordWrap/>
                    <w:overflowPunct/>
                    <w:topLinePunct w:val="0"/>
                    <w:bidi w:val="0"/>
                    <w:adjustRightInd/>
                    <w:snapToGrid w:val="0"/>
                    <w:spacing w:line="300" w:lineRule="auto"/>
                    <w:jc w:val="center"/>
                    <w:textAlignment w:val="auto"/>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本项目</w:t>
                  </w:r>
                  <w:r>
                    <w:rPr>
                      <w:rFonts w:hint="eastAsia" w:ascii="Times New Roman" w:hAnsi="Times New Roman" w:eastAsia="宋体"/>
                      <w:color w:val="000000" w:themeColor="text1"/>
                      <w:sz w:val="21"/>
                      <w:szCs w:val="21"/>
                      <w:highlight w:val="none"/>
                      <w14:textFill>
                        <w14:solidFill>
                          <w14:schemeClr w14:val="tx1"/>
                        </w14:solidFill>
                      </w14:textFill>
                    </w:rPr>
                    <w:t>入场动物卸载区域有固定的车辆消毒场地，并配备车辆清洗消毒设备</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olor w:val="000000" w:themeColor="text1"/>
                      <w:sz w:val="21"/>
                      <w:szCs w:val="21"/>
                      <w:highlight w:val="none"/>
                      <w14:textFill>
                        <w14:solidFill>
                          <w14:schemeClr w14:val="tx1"/>
                        </w14:solidFill>
                      </w14:textFill>
                    </w:rPr>
                    <w:t>有与其屠宰规模相适应的独立检疫室和休息室；有待宰圈、急宰间，</w:t>
                  </w:r>
                  <w:r>
                    <w:rPr>
                      <w:rFonts w:hint="eastAsia" w:ascii="Times New Roman" w:hAnsi="Times New Roman"/>
                      <w:color w:val="000000" w:themeColor="text1"/>
                      <w:sz w:val="21"/>
                      <w:szCs w:val="21"/>
                      <w:highlight w:val="none"/>
                      <w:lang w:val="en-US" w:eastAsia="zh-CN"/>
                      <w14:textFill>
                        <w14:solidFill>
                          <w14:schemeClr w14:val="tx1"/>
                        </w14:solidFill>
                      </w14:textFill>
                    </w:rPr>
                    <w:t>不</w:t>
                  </w:r>
                  <w:r>
                    <w:rPr>
                      <w:rFonts w:hint="eastAsia" w:ascii="Times New Roman" w:hAnsi="Times New Roman" w:eastAsia="宋体"/>
                      <w:color w:val="000000" w:themeColor="text1"/>
                      <w:sz w:val="21"/>
                      <w:szCs w:val="21"/>
                      <w:highlight w:val="none"/>
                      <w14:textFill>
                        <w14:solidFill>
                          <w14:schemeClr w14:val="tx1"/>
                        </w14:solidFill>
                      </w14:textFill>
                    </w:rPr>
                    <w:t>加工原毛、生皮、绒、骨、角</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olor w:val="000000" w:themeColor="text1"/>
                      <w:sz w:val="21"/>
                      <w:szCs w:val="21"/>
                      <w:highlight w:val="none"/>
                      <w14:textFill>
                        <w14:solidFill>
                          <w14:schemeClr w14:val="tx1"/>
                        </w14:solidFill>
                      </w14:textFill>
                    </w:rPr>
                    <w:t>屠宰间配备检疫操作台</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olor w:val="000000" w:themeColor="text1"/>
                      <w:sz w:val="21"/>
                      <w:szCs w:val="21"/>
                      <w:highlight w:val="none"/>
                      <w14:textFill>
                        <w14:solidFill>
                          <w14:schemeClr w14:val="tx1"/>
                        </w14:solidFill>
                      </w14:textFill>
                    </w:rPr>
                    <w:t>有符合国家规定的病死动物和病害动物产品无害化处理设施设备或者冷藏冷冻等暂存设施设备</w:t>
                  </w:r>
                  <w:r>
                    <w:rPr>
                      <w:rFonts w:hint="eastAsia" w:ascii="Times New Roman" w:hAnsi="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olor w:val="000000" w:themeColor="text1"/>
                      <w:sz w:val="21"/>
                      <w:szCs w:val="21"/>
                      <w:highlight w:val="none"/>
                      <w14:textFill>
                        <w14:solidFill>
                          <w14:schemeClr w14:val="tx1"/>
                        </w14:solidFill>
                      </w14:textFill>
                    </w:rPr>
                    <w:t>建立动物进场查验登记、动物产品出场登记、检疫申报、疫情报告、无害化处理等动物防疫制度</w:t>
                  </w:r>
                </w:p>
              </w:tc>
            </w:tr>
            <w:tr w14:paraId="1C1A85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vAlign w:val="center"/>
                </w:tcPr>
                <w:p w14:paraId="57F356B2">
                  <w:pPr>
                    <w:keepNext w:val="0"/>
                    <w:pageBreakBefore w:val="0"/>
                    <w:kinsoku/>
                    <w:wordWrap/>
                    <w:overflowPunct/>
                    <w:topLinePunct w:val="0"/>
                    <w:bidi w:val="0"/>
                    <w:adjustRightInd/>
                    <w:snapToGrid w:val="0"/>
                    <w:spacing w:line="300" w:lineRule="auto"/>
                    <w:jc w:val="center"/>
                    <w:textAlignment w:val="auto"/>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《江苏省工业废水与生活污水分质处理工作推进方案》（苏环办</w:t>
                  </w:r>
                  <w:r>
                    <w:rPr>
                      <w:rFonts w:hint="eastAsia" w:ascii="Times New Roman" w:hAnsi="Times New Roman" w:eastAsia="宋体" w:cs="宋体"/>
                      <w:b/>
                      <w:bCs w:val="0"/>
                      <w:color w:val="000000" w:themeColor="text1"/>
                      <w:sz w:val="21"/>
                      <w:szCs w:val="21"/>
                      <w:highlight w:val="none"/>
                      <w14:textFill>
                        <w14:solidFill>
                          <w14:schemeClr w14:val="tx1"/>
                        </w14:solidFill>
                      </w14:textFill>
                    </w:rPr>
                    <w:t>〔202</w:t>
                  </w: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3</w:t>
                  </w:r>
                  <w:r>
                    <w:rPr>
                      <w:rFonts w:hint="eastAsia" w:ascii="Times New Roman" w:hAnsi="Times New Roman" w:eastAsia="宋体" w:cs="宋体"/>
                      <w:b/>
                      <w:bCs w:val="0"/>
                      <w:color w:val="000000" w:themeColor="text1"/>
                      <w:sz w:val="21"/>
                      <w:szCs w:val="21"/>
                      <w:highlight w:val="none"/>
                      <w14:textFill>
                        <w14:solidFill>
                          <w14:schemeClr w14:val="tx1"/>
                        </w14:solidFill>
                      </w14:textFill>
                    </w:rPr>
                    <w:t>〕</w:t>
                  </w: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144</w:t>
                  </w:r>
                  <w:r>
                    <w:rPr>
                      <w:rFonts w:hint="eastAsia" w:ascii="Times New Roman" w:hAnsi="Times New Roman" w:eastAsia="宋体" w:cs="宋体"/>
                      <w:b/>
                      <w:bCs w:val="0"/>
                      <w:color w:val="000000" w:themeColor="text1"/>
                      <w:sz w:val="21"/>
                      <w:szCs w:val="21"/>
                      <w:highlight w:val="none"/>
                      <w14:textFill>
                        <w14:solidFill>
                          <w14:schemeClr w14:val="tx1"/>
                        </w14:solidFill>
                      </w14:textFill>
                    </w:rPr>
                    <w:t>号</w:t>
                  </w:r>
                  <w:r>
                    <w:rPr>
                      <w:rFonts w:hint="eastAsia" w:ascii="Times New Roman" w:hAnsi="Times New Roman" w:eastAsia="宋体" w:cs="宋体"/>
                      <w:b/>
                      <w:bCs w:val="0"/>
                      <w:color w:val="000000" w:themeColor="text1"/>
                      <w:sz w:val="21"/>
                      <w:szCs w:val="21"/>
                      <w:highlight w:val="none"/>
                      <w:lang w:val="en-US" w:eastAsia="zh-CN"/>
                      <w14:textFill>
                        <w14:solidFill>
                          <w14:schemeClr w14:val="tx1"/>
                        </w14:solidFill>
                      </w14:textFill>
                    </w:rPr>
                    <w:t>）</w:t>
                  </w:r>
                </w:p>
              </w:tc>
            </w:tr>
            <w:tr w14:paraId="17CBD2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9" w:type="pct"/>
                  <w:vAlign w:val="center"/>
                </w:tcPr>
                <w:p w14:paraId="0F0ADBDE">
                  <w:pPr>
                    <w:keepNext w:val="0"/>
                    <w:pageBreakBefore w:val="0"/>
                    <w:tabs>
                      <w:tab w:val="left" w:pos="2160"/>
                    </w:tabs>
                    <w:kinsoku/>
                    <w:wordWrap/>
                    <w:overflowPunct/>
                    <w:topLinePunct w:val="0"/>
                    <w:bidi w:val="0"/>
                    <w:adjustRightInd/>
                    <w:snapToGrid w:val="0"/>
                    <w:spacing w:line="300" w:lineRule="auto"/>
                    <w:jc w:val="center"/>
                    <w:textAlignment w:val="auto"/>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二、准入条件及评估原则-现有企业</w:t>
                  </w:r>
                </w:p>
              </w:tc>
              <w:tc>
                <w:tcPr>
                  <w:tcW w:w="2268" w:type="pct"/>
                  <w:vAlign w:val="center"/>
                </w:tcPr>
                <w:p w14:paraId="1DC9FC70">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1.可生化优先原则：以下制造业工业企业，生产废水可生化性较好，有利于城镇污水处理厂提高处理效能，与城镇污水处理厂约定纳管标准限值、签订书面合同、变更排污及排水许可证内容、完成备案手续后可优先接入城镇污水处理厂：（1）发酵酒精和白酒、啤酒、味精、制糖工业（依据行业标准修改单和排污许可证技术规范，排放浓度可协商）；（2）淀粉、酵母、柠檬酸工业（依据行业标准修改单征求意见稿，排放浓度可协商）；（3）肉类加工工业（依据行业标准，BOD</w:t>
                  </w:r>
                  <w:r>
                    <w:rPr>
                      <w:rFonts w:hint="eastAsia" w:ascii="Times New Roman" w:hAnsi="Times New Roman"/>
                      <w:color w:val="000000" w:themeColor="text1"/>
                      <w:sz w:val="21"/>
                      <w:szCs w:val="21"/>
                      <w:highlight w:val="none"/>
                      <w:vertAlign w:val="subscript"/>
                      <w:lang w:val="en-US" w:eastAsia="zh-CN"/>
                      <w14:textFill>
                        <w14:solidFill>
                          <w14:schemeClr w14:val="tx1"/>
                        </w14:solidFill>
                      </w14:textFill>
                    </w:rPr>
                    <w:t>5</w:t>
                  </w:r>
                  <w:r>
                    <w:rPr>
                      <w:rFonts w:hint="eastAsia" w:ascii="Times New Roman" w:hAnsi="Times New Roman"/>
                      <w:color w:val="000000" w:themeColor="text1"/>
                      <w:sz w:val="21"/>
                      <w:szCs w:val="21"/>
                      <w:highlight w:val="none"/>
                      <w:lang w:val="en-US" w:eastAsia="zh-CN"/>
                      <w14:textFill>
                        <w14:solidFill>
                          <w14:schemeClr w14:val="tx1"/>
                        </w14:solidFill>
                      </w14:textFill>
                    </w:rPr>
                    <w:t>浓度可放宽至600mg/L，COD</w:t>
                  </w:r>
                  <w:r>
                    <w:rPr>
                      <w:rFonts w:hint="eastAsia" w:ascii="Times New Roman" w:hAnsi="Times New Roman"/>
                      <w:color w:val="000000" w:themeColor="text1"/>
                      <w:sz w:val="21"/>
                      <w:szCs w:val="21"/>
                      <w:highlight w:val="none"/>
                      <w:vertAlign w:val="subscript"/>
                      <w:lang w:val="en-US" w:eastAsia="zh-CN"/>
                      <w14:textFill>
                        <w14:solidFill>
                          <w14:schemeClr w14:val="tx1"/>
                        </w14:solidFill>
                      </w14:textFill>
                    </w:rPr>
                    <w:t>Cr</w:t>
                  </w:r>
                  <w:r>
                    <w:rPr>
                      <w:rFonts w:hint="eastAsia" w:ascii="Times New Roman" w:hAnsi="Times New Roman"/>
                      <w:color w:val="000000" w:themeColor="text1"/>
                      <w:sz w:val="21"/>
                      <w:szCs w:val="21"/>
                      <w:highlight w:val="none"/>
                      <w:lang w:val="en-US" w:eastAsia="zh-CN"/>
                      <w14:textFill>
                        <w14:solidFill>
                          <w14:schemeClr w14:val="tx1"/>
                        </w14:solidFill>
                      </w14:textFill>
                    </w:rPr>
                    <w:t>浓度可放宽至1000mg/L）。</w:t>
                  </w:r>
                </w:p>
                <w:p w14:paraId="41D6172A">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2.纳管浓度达标原则：工业企业排放的常规和特征污染物浓度均需达到相应的纳管标准和协议要求，其中部分行业污染物按照行业排放标准要求须达到直接排放限值,方可接入城镇污水处理厂。</w:t>
                  </w:r>
                </w:p>
                <w:p w14:paraId="7DC0BCD4">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3.总量达标双控原则：纳管工业企业其排放的废水和污染物总量，不得高于环评报告及批复、排污及排水许可证等核定的纳管总量控制限值；城镇污水处理厂排放的某一项特征污染物的总量不得高于所有纳管工业企业按照相应标准直接排放限值核算的该项特征污染物排放总量之和。</w:t>
                  </w:r>
                </w:p>
                <w:p w14:paraId="44BB009D">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4.工业废水限量纳管原则：工业废水总量超过1万吨/日的省级以上工业园区，或者工业废水纳管量占比超过40%的城镇污水处理厂所在区域，原则上应配套专业的工业废水处理厂。</w:t>
                  </w:r>
                </w:p>
                <w:p w14:paraId="3E9959D4">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5.污水处理厂稳定运行原则：纳管的工业企业废水不得影响城镇污水处理厂的稳定运行和达标排放，污水处理厂出现受纳管工业废水冲击负荷影响导致排水超标或者进水可生化污染物浓度过低时，应强化纳管企业的退出管控力度。</w:t>
                  </w:r>
                </w:p>
                <w:p w14:paraId="47E364D8">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eastAsia" w:ascii="Times New Roman" w:hAnsi="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6.环境质量达标原则：区域内国省考断面、水源地等敏感水域不得出现氟化物、挥发酚等特征污染物检出超标情况，否则应强化对上游汇水区域范围内排放上述特征污染物纳管企业的退出管控力度。</w:t>
                  </w:r>
                </w:p>
                <w:p w14:paraId="53EF4C68">
                  <w:pPr>
                    <w:pStyle w:val="63"/>
                    <w:keepNext w:val="0"/>
                    <w:pageBreakBefore w:val="0"/>
                    <w:kinsoku/>
                    <w:wordWrap/>
                    <w:overflowPunct/>
                    <w:topLinePunct w:val="0"/>
                    <w:bidi w:val="0"/>
                    <w:adjustRightInd/>
                    <w:snapToGrid w:val="0"/>
                    <w:spacing w:line="300" w:lineRule="auto"/>
                    <w:ind w:firstLine="420" w:firstLineChars="200"/>
                    <w:jc w:val="left"/>
                    <w:textAlignment w:val="auto"/>
                    <w:rPr>
                      <w:rFonts w:hint="default" w:ascii="Times New Roman" w:hAnsi="Times New Roman" w:eastAsia="宋体"/>
                      <w:color w:val="000000" w:themeColor="text1"/>
                      <w:sz w:val="21"/>
                      <w:szCs w:val="21"/>
                      <w:highlight w:val="none"/>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7.污水处理厂出水负责原则：城镇污水处理厂及其运营单位，对城镇污水集中处理设施的出水水质负责，应积极参与纳管企业水质水量对污水处理设施正常运行影响的评估工作,认为其生产废水含有污染物不能被污水处理设施有效处理或者可能影响污水处理设施出水稳定达标的,应及时报城镇排水主管部门和生态环境部门。</w:t>
                  </w:r>
                </w:p>
              </w:tc>
              <w:tc>
                <w:tcPr>
                  <w:tcW w:w="2121" w:type="pct"/>
                  <w:vAlign w:val="center"/>
                </w:tcPr>
                <w:p w14:paraId="05332382">
                  <w:pPr>
                    <w:keepNext w:val="0"/>
                    <w:pageBreakBefore w:val="0"/>
                    <w:kinsoku/>
                    <w:wordWrap/>
                    <w:overflowPunct/>
                    <w:topLinePunct w:val="0"/>
                    <w:bidi w:val="0"/>
                    <w:adjustRightInd/>
                    <w:snapToGrid w:val="0"/>
                    <w:spacing w:line="300" w:lineRule="auto"/>
                    <w:jc w:val="center"/>
                    <w:textAlignment w:val="auto"/>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本项目属于肉类加工工业，生产废水可生化性较好，</w:t>
                  </w:r>
                  <w:r>
                    <w:rPr>
                      <w:rFonts w:hint="eastAsia" w:ascii="Times New Roman" w:hAnsi="Times New Roman"/>
                      <w:color w:val="000000" w:themeColor="text1"/>
                      <w:sz w:val="21"/>
                      <w:szCs w:val="21"/>
                      <w:highlight w:val="none"/>
                      <w:lang w:val="en-US" w:eastAsia="zh-CN"/>
                      <w14:textFill>
                        <w14:solidFill>
                          <w14:schemeClr w14:val="tx1"/>
                        </w14:solidFill>
                      </w14:textFill>
                    </w:rPr>
                    <w:t>有利于城镇污水处理厂提高处理效能，与污水处理厂约定纳管标准后可接入市政污水管网至指前污水处理厂处理。本项目产生的各类生产废水经厂内废水处理设施预处理后可满足纳管标准。相关废水总量在指前污水处理厂中平衡。</w:t>
                  </w:r>
                </w:p>
              </w:tc>
            </w:tr>
          </w:tbl>
          <w:p w14:paraId="3E9F4E06">
            <w:pPr>
              <w:keepLines/>
              <w:spacing w:line="360" w:lineRule="auto"/>
              <w:ind w:firstLine="404" w:firstLineChars="200"/>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本项目选址不在国家级生态保护红线范围和生态空间管控区内，各类污染物均采取有效的治理措施，并确保废气达标排放，环境现状检测表明</w:t>
            </w:r>
            <w:r>
              <w:rPr>
                <w:rFonts w:hint="eastAsia" w:ascii="Times New Roman" w:hAnsi="Times New Roman" w:eastAsia="宋体" w:cs="宋体"/>
                <w:color w:val="000000" w:themeColor="text1"/>
                <w:spacing w:val="-4"/>
                <w:sz w:val="21"/>
                <w:szCs w:val="21"/>
                <w:highlight w:val="none"/>
                <w14:textFill>
                  <w14:solidFill>
                    <w14:schemeClr w14:val="tx1"/>
                  </w14:solidFill>
                </w14:textFill>
              </w:rPr>
              <w:t>该</w:t>
            </w:r>
            <w:r>
              <w:rPr>
                <w:rFonts w:ascii="Times New Roman" w:hAnsi="Times New Roman" w:eastAsia="宋体" w:cs="宋体"/>
                <w:color w:val="000000" w:themeColor="text1"/>
                <w:spacing w:val="-4"/>
                <w:sz w:val="21"/>
                <w:szCs w:val="21"/>
                <w:highlight w:val="none"/>
                <w14:textFill>
                  <w14:solidFill>
                    <w14:schemeClr w14:val="tx1"/>
                  </w14:solidFill>
                </w14:textFill>
              </w:rPr>
              <w:t>区域环境质量现状</w:t>
            </w:r>
            <w:r>
              <w:rPr>
                <w:rFonts w:hint="eastAsia" w:ascii="Times New Roman" w:hAnsi="Times New Roman" w:eastAsia="宋体" w:cs="宋体"/>
                <w:color w:val="000000" w:themeColor="text1"/>
                <w:spacing w:val="-4"/>
                <w:sz w:val="21"/>
                <w:szCs w:val="21"/>
                <w:highlight w:val="none"/>
                <w14:textFill>
                  <w14:solidFill>
                    <w14:schemeClr w14:val="tx1"/>
                  </w14:solidFill>
                </w14:textFill>
              </w:rPr>
              <w:t>尚可</w:t>
            </w:r>
            <w:r>
              <w:rPr>
                <w:rFonts w:ascii="Times New Roman" w:hAnsi="Times New Roman" w:eastAsia="宋体" w:cs="宋体"/>
                <w:color w:val="000000" w:themeColor="text1"/>
                <w:spacing w:val="-4"/>
                <w:sz w:val="21"/>
                <w:szCs w:val="21"/>
                <w:highlight w:val="none"/>
                <w14:textFill>
                  <w14:solidFill>
                    <w14:schemeClr w14:val="tx1"/>
                  </w14:solidFill>
                </w14:textFill>
              </w:rPr>
              <w:t>，同时，本项目符合产业政策和各项环保法律法规。总体来说，本项目的建设符合《关于以改善环境质量为核心加强环境影响评价管理的通知》中的相关规定。综上所述，本项目符合国家及地方相关产业政策及法律法规要求。</w:t>
            </w:r>
          </w:p>
        </w:tc>
      </w:tr>
    </w:tbl>
    <w:p w14:paraId="6A313D86">
      <w:pPr>
        <w:spacing w:line="360" w:lineRule="auto"/>
        <w:outlineLvl w:val="0"/>
        <w:rPr>
          <w:rFonts w:ascii="Times New Roman" w:hAnsi="Times New Roman" w:eastAsia="宋体" w:cs="宋体"/>
          <w:color w:val="000000" w:themeColor="text1"/>
          <w:sz w:val="30"/>
          <w:highlight w:val="none"/>
          <w14:textFill>
            <w14:solidFill>
              <w14:schemeClr w14:val="tx1"/>
            </w14:solidFill>
          </w14:textFill>
        </w:rPr>
        <w:sectPr>
          <w:footerReference r:id="rId7"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14:paraId="3892133E">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pPr>
      <w:bookmarkStart w:id="5" w:name="_Toc12272"/>
      <w:r>
        <w:rPr>
          <w:rFonts w:hint="eastAsia" w:ascii="Times New Roman" w:hAnsi="Times New Roman" w:eastAsia="宋体" w:cs="宋体"/>
          <w:snapToGrid w:val="0"/>
          <w:color w:val="000000" w:themeColor="text1"/>
          <w:sz w:val="30"/>
          <w:szCs w:val="30"/>
          <w:highlight w:val="none"/>
          <w14:textFill>
            <w14:solidFill>
              <w14:schemeClr w14:val="tx1"/>
            </w14:solidFill>
          </w14:textFill>
        </w:rPr>
        <w:t>二、建设项目工程分析</w:t>
      </w:r>
      <w:bookmarkEnd w:id="5"/>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3"/>
        <w:gridCol w:w="8430"/>
      </w:tblGrid>
      <w:tr w14:paraId="05448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463" w:type="dxa"/>
            <w:vAlign w:val="center"/>
          </w:tcPr>
          <w:p w14:paraId="79671DE3">
            <w:pPr>
              <w:pStyle w:val="22"/>
              <w:widowControl w:val="0"/>
              <w:adjustRightInd w:val="0"/>
              <w:snapToGrid w:val="0"/>
              <w:spacing w:before="0" w:beforeAutospacing="0" w:after="0" w:afterAutospacing="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建设内容</w:t>
            </w:r>
          </w:p>
        </w:tc>
        <w:tc>
          <w:tcPr>
            <w:tcW w:w="8430" w:type="dxa"/>
          </w:tcPr>
          <w:p w14:paraId="3A2B67B3">
            <w:pPr>
              <w:spacing w:line="360" w:lineRule="auto"/>
              <w:ind w:firstLine="406" w:firstLineChars="200"/>
              <w:rPr>
                <w:rFonts w:ascii="Times New Roman" w:hAnsi="Times New Roman" w:eastAsia="宋体" w:cs="宋体"/>
                <w:b/>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color w:val="000000" w:themeColor="text1"/>
                <w:spacing w:val="-4"/>
                <w:sz w:val="21"/>
                <w:szCs w:val="21"/>
                <w:highlight w:val="none"/>
                <w14:textFill>
                  <w14:solidFill>
                    <w14:schemeClr w14:val="tx1"/>
                  </w14:solidFill>
                </w14:textFill>
              </w:rPr>
              <w:t>1、项目由来</w:t>
            </w:r>
          </w:p>
          <w:p w14:paraId="400BFF62">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常州市金坛区二呆子牛肉有限公司</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成立于</w:t>
            </w:r>
            <w:r>
              <w:rPr>
                <w:rFonts w:hint="eastAsia" w:cs="宋体"/>
                <w:color w:val="000000" w:themeColor="text1"/>
                <w:sz w:val="21"/>
                <w:szCs w:val="21"/>
                <w:highlight w:val="none"/>
                <w:lang w:val="en-US" w:eastAsia="zh-CN"/>
                <w14:textFill>
                  <w14:solidFill>
                    <w14:schemeClr w14:val="tx1"/>
                  </w14:solidFill>
                </w14:textFill>
              </w:rPr>
              <w:t>2006</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年</w:t>
            </w:r>
            <w:r>
              <w:rPr>
                <w:rFonts w:hint="eastAsia" w:cs="宋体"/>
                <w:color w:val="000000" w:themeColor="text1"/>
                <w:sz w:val="21"/>
                <w:szCs w:val="21"/>
                <w:highlight w:val="none"/>
                <w:lang w:val="en-US" w:eastAsia="zh-CN"/>
                <w14:textFill>
                  <w14:solidFill>
                    <w14:schemeClr w14:val="tx1"/>
                  </w14:solidFill>
                </w14:textFill>
              </w:rPr>
              <w:t>9</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月</w:t>
            </w:r>
            <w:r>
              <w:rPr>
                <w:rFonts w:hint="eastAsia" w:cs="宋体"/>
                <w:color w:val="000000" w:themeColor="text1"/>
                <w:sz w:val="21"/>
                <w:szCs w:val="21"/>
                <w:highlight w:val="none"/>
                <w:lang w:val="en-US" w:eastAsia="zh-CN"/>
                <w14:textFill>
                  <w14:solidFill>
                    <w14:schemeClr w14:val="tx1"/>
                  </w14:solidFill>
                </w14:textFill>
              </w:rPr>
              <w:t>26</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日，</w:t>
            </w:r>
            <w:r>
              <w:rPr>
                <w:rFonts w:hint="eastAsia" w:cs="宋体"/>
                <w:color w:val="000000" w:themeColor="text1"/>
                <w:sz w:val="21"/>
                <w:szCs w:val="21"/>
                <w:highlight w:val="none"/>
                <w:lang w:val="en-US" w:eastAsia="zh-CN"/>
                <w14:textFill>
                  <w14:solidFill>
                    <w14:schemeClr w14:val="tx1"/>
                  </w14:solidFill>
                </w14:textFill>
              </w:rPr>
              <w:t>位于江苏省常州市金坛区指前镇社头集镇社兴东路，</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经营范围：肉制品（酱卤肉制品）生产；肉牛屠宰、加工、销售、收购。（依法须经批准的项目，经相关部门批准后方可开展经营活动）。</w:t>
            </w:r>
          </w:p>
          <w:p w14:paraId="0877E3A3">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现有项目《新建水牛存栏饲养、屠宰及加工项目》于2006年9月15日取得了原金坛市环境保护局的审批意见，于2020年5月15日取得了竣工环境保护验收意见，于2025年4月14日取得了企业事业单位突发环境事件应急预案备案表，目前生产能力为年存栏饲养水牛15头（临时饲养），年屠宰水牛500头、加工牛肉10吨、加工牛杂2吨。</w:t>
            </w:r>
          </w:p>
          <w:p w14:paraId="5A37CF00">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因市场发展需求，</w:t>
            </w:r>
            <w:r>
              <w:rPr>
                <w:rFonts w:hint="eastAsia" w:cs="宋体"/>
                <w:color w:val="000000" w:themeColor="text1"/>
                <w:sz w:val="21"/>
                <w:szCs w:val="21"/>
                <w:highlight w:val="none"/>
                <w:lang w:val="en-US" w:eastAsia="zh-CN"/>
                <w14:textFill>
                  <w14:solidFill>
                    <w14:schemeClr w14:val="tx1"/>
                  </w14:solidFill>
                </w14:textFill>
              </w:rPr>
              <w:t>常州市金坛区二呆子牛肉有限公司拟总投资500万元，</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利用现有厂房2099平方米，扩建年产牛肉卤制品1400吨、牛肉副产品1900吨。项目建成后，年屠宰肉牛10000万头，年产牛肉卤制品1400吨、牛肉副产品1900吨。该项目已取得常州市金坛区发展和改革局备案，备案证号‘坛发改备【2025】1494号’。</w:t>
            </w:r>
          </w:p>
          <w:p w14:paraId="28E383AE">
            <w:pPr>
              <w:spacing w:line="360" w:lineRule="auto"/>
              <w:ind w:firstLine="420" w:firstLineChars="200"/>
              <w:rPr>
                <w:rFonts w:hint="eastAsia"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本项目分期建设，</w:t>
            </w:r>
            <w:r>
              <w:rPr>
                <w:rFonts w:hint="eastAsia" w:cs="宋体"/>
                <w:color w:val="000000" w:themeColor="text1"/>
                <w:sz w:val="21"/>
                <w:szCs w:val="21"/>
                <w:highlight w:val="none"/>
                <w:lang w:val="en-US" w:eastAsia="zh-CN"/>
                <w14:textFill>
                  <w14:solidFill>
                    <w14:schemeClr w14:val="tx1"/>
                  </w14:solidFill>
                </w14:textFill>
              </w:rPr>
              <w:t>本期项目利用现有厂房改造现有机械化屠宰线，购置</w:t>
            </w:r>
            <w:r>
              <w:rPr>
                <w:rFonts w:hint="eastAsia" w:ascii="Times New Roman" w:hAnsi="Times New Roman" w:eastAsia="宋体" w:cs="宋体"/>
                <w:color w:val="000000" w:themeColor="text1"/>
                <w:sz w:val="21"/>
                <w:szCs w:val="21"/>
                <w:highlight w:val="none"/>
                <w14:textFill>
                  <w14:solidFill>
                    <w14:schemeClr w14:val="tx1"/>
                  </w14:solidFill>
                </w14:textFill>
              </w:rPr>
              <w:t>设备为：1台切条机、1台提升机、1条焯水线、1条清洗线、1条蒸煮线、1条水冷线、1条风冷线和1台真空包装机</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扩建屠宰区、</w:t>
            </w: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副产品加工区、圈养区、冷冻室等。</w:t>
            </w:r>
            <w:r>
              <w:rPr>
                <w:rFonts w:hint="eastAsia"/>
                <w:snapToGrid w:val="0"/>
                <w:color w:val="000000" w:themeColor="text1"/>
                <w:kern w:val="0"/>
                <w:sz w:val="21"/>
                <w:szCs w:val="21"/>
                <w:highlight w:val="none"/>
                <w:lang w:val="en-US" w:eastAsia="zh-CN"/>
                <w14:textFill>
                  <w14:solidFill>
                    <w14:schemeClr w14:val="tx1"/>
                  </w14:solidFill>
                </w14:textFill>
              </w:rPr>
              <w:t>本期</w:t>
            </w:r>
            <w:r>
              <w:rPr>
                <w:rFonts w:hint="eastAsia" w:cs="宋体"/>
                <w:color w:val="000000" w:themeColor="text1"/>
                <w:sz w:val="21"/>
                <w:szCs w:val="21"/>
                <w:highlight w:val="none"/>
                <w:lang w:val="en-US" w:eastAsia="zh-CN"/>
                <w14:textFill>
                  <w14:solidFill>
                    <w14:schemeClr w14:val="tx1"/>
                  </w14:solidFill>
                </w14:textFill>
              </w:rPr>
              <w:t>项目建成后可</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屠宰肉牛7000头，</w:t>
            </w:r>
            <w:r>
              <w:rPr>
                <w:rFonts w:hint="eastAsia" w:cs="宋体"/>
                <w:color w:val="000000" w:themeColor="text1"/>
                <w:sz w:val="21"/>
                <w:szCs w:val="21"/>
                <w:highlight w:val="none"/>
                <w:lang w:val="en-US" w:eastAsia="zh-CN"/>
                <w14:textFill>
                  <w14:solidFill>
                    <w14:schemeClr w14:val="tx1"/>
                  </w14:solidFill>
                </w14:textFill>
              </w:rPr>
              <w:t>形成年产牛肉卤制品980吨、牛肉副产品1330吨的生产能力</w:t>
            </w:r>
            <w:r>
              <w:rPr>
                <w:rFonts w:hint="eastAsia" w:cs="宋体"/>
                <w:color w:val="000000" w:themeColor="text1"/>
                <w:sz w:val="21"/>
                <w:szCs w:val="21"/>
                <w:highlight w:val="none"/>
                <w:lang w:eastAsia="zh-CN"/>
                <w14:textFill>
                  <w14:solidFill>
                    <w14:schemeClr w14:val="tx1"/>
                  </w14:solidFill>
                </w14:textFill>
              </w:rPr>
              <w:t>。</w:t>
            </w:r>
          </w:p>
          <w:p w14:paraId="56B896B3">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本次环评仅评价本期的建设内容，待二期建设时，建设单位需根据</w:t>
            </w:r>
            <w:r>
              <w:rPr>
                <w:rFonts w:hint="eastAsia" w:ascii="Times New Roman" w:hAnsi="Times New Roman" w:eastAsia="宋体" w:cs="宋体"/>
                <w:color w:val="000000" w:themeColor="text1"/>
                <w:sz w:val="21"/>
                <w:szCs w:val="21"/>
                <w:highlight w:val="none"/>
                <w14:textFill>
                  <w14:solidFill>
                    <w14:schemeClr w14:val="tx1"/>
                  </w14:solidFill>
                </w14:textFill>
              </w:rPr>
              <w:t>《建设项目环境影响评价分类管理名录》</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相关要求，全厂重新评价。</w:t>
            </w:r>
          </w:p>
          <w:p w14:paraId="0F6FE6D9">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对照《国民经济行业分类》（GB/T4754-2017），本项目行业类别属于</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C1351牲畜屠宰、C1353肉制品及副产品加工</w:t>
            </w:r>
            <w:r>
              <w:rPr>
                <w:rFonts w:hint="eastAsia" w:ascii="Times New Roman" w:hAnsi="Times New Roman" w:eastAsia="宋体" w:cs="宋体"/>
                <w:color w:val="000000" w:themeColor="text1"/>
                <w:sz w:val="21"/>
                <w:szCs w:val="21"/>
                <w:highlight w:val="none"/>
                <w14:textFill>
                  <w14:solidFill>
                    <w14:schemeClr w14:val="tx1"/>
                  </w14:solidFill>
                </w14:textFill>
              </w:rPr>
              <w:t>。根据《中华人民共和国环境保护法》、《中华人民共和国环境影响评价法》和《建设项目环境保护管理条例》（2017年10月1日起施行）以及《建设项目环境影响评价分类管理名录》（2021年版）的有关条款规定，本项目属于《建设项目环境影响评价分类管理名录》（2021年版）－</w:t>
            </w:r>
            <w:r>
              <w:rPr>
                <w:rFonts w:hint="eastAsia" w:cs="宋体"/>
                <w:color w:val="000000" w:themeColor="text1"/>
                <w:sz w:val="21"/>
                <w:szCs w:val="21"/>
                <w:highlight w:val="none"/>
                <w:lang w:val="en-US" w:eastAsia="zh-CN"/>
                <w14:textFill>
                  <w14:solidFill>
                    <w14:schemeClr w14:val="tx1"/>
                  </w14:solidFill>
                </w14:textFill>
              </w:rPr>
              <w:t>十、农副食品加工业13、18屠宰及肉类加工135中的“其他屠宰；年加工2万吨及以上的肉类加工”</w:t>
            </w:r>
            <w:r>
              <w:rPr>
                <w:rFonts w:hint="eastAsia" w:ascii="Times New Roman" w:hAnsi="Times New Roman" w:eastAsia="宋体" w:cs="宋体"/>
                <w:color w:val="000000" w:themeColor="text1"/>
                <w:sz w:val="21"/>
                <w:szCs w:val="21"/>
                <w:highlight w:val="none"/>
                <w14:textFill>
                  <w14:solidFill>
                    <w14:schemeClr w14:val="tx1"/>
                  </w14:solidFill>
                </w14:textFill>
              </w:rPr>
              <w:t>，需编制环境影响报告表。</w:t>
            </w:r>
          </w:p>
          <w:p w14:paraId="15967AC6">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为此，本项目建设单位</w:t>
            </w:r>
            <w:r>
              <w:rPr>
                <w:rFonts w:hint="eastAsia" w:cs="宋体"/>
                <w:color w:val="000000" w:themeColor="text1"/>
                <w:spacing w:val="-4"/>
                <w:sz w:val="21"/>
                <w:szCs w:val="21"/>
                <w:highlight w:val="none"/>
                <w:lang w:eastAsia="zh-CN"/>
                <w14:textFill>
                  <w14:solidFill>
                    <w14:schemeClr w14:val="tx1"/>
                  </w14:solidFill>
                </w14:textFill>
              </w:rPr>
              <w:t>常州市金坛区二呆子牛肉有限公司</w:t>
            </w:r>
            <w:r>
              <w:rPr>
                <w:rFonts w:hint="eastAsia" w:ascii="Times New Roman" w:hAnsi="Times New Roman" w:eastAsia="宋体" w:cs="宋体"/>
                <w:color w:val="000000" w:themeColor="text1"/>
                <w:sz w:val="21"/>
                <w:szCs w:val="21"/>
                <w:highlight w:val="none"/>
                <w14:textFill>
                  <w14:solidFill>
                    <w14:schemeClr w14:val="tx1"/>
                  </w14:solidFill>
                </w14:textFill>
              </w:rPr>
              <w:t>委托</w:t>
            </w:r>
            <w:r>
              <w:rPr>
                <w:rFonts w:hint="eastAsia" w:cs="宋体"/>
                <w:color w:val="000000" w:themeColor="text1"/>
                <w:sz w:val="21"/>
                <w:szCs w:val="21"/>
                <w:highlight w:val="none"/>
                <w:lang w:val="en-US" w:eastAsia="zh-CN"/>
                <w14:textFill>
                  <w14:solidFill>
                    <w14:schemeClr w14:val="tx1"/>
                  </w14:solidFill>
                </w14:textFill>
              </w:rPr>
              <w:t>南京</w:t>
            </w:r>
            <w:r>
              <w:rPr>
                <w:rFonts w:hint="eastAsia" w:ascii="Times New Roman" w:hAnsi="Times New Roman" w:eastAsia="宋体" w:cs="宋体"/>
                <w:color w:val="000000" w:themeColor="text1"/>
                <w:sz w:val="21"/>
                <w:szCs w:val="21"/>
                <w:highlight w:val="none"/>
                <w14:textFill>
                  <w14:solidFill>
                    <w14:schemeClr w14:val="tx1"/>
                  </w14:solidFill>
                </w14:textFill>
              </w:rPr>
              <w:t>昊晟环保科技有限公司承担该项目的环境影响评价工作，</w:t>
            </w:r>
            <w:r>
              <w:rPr>
                <w:rFonts w:hint="eastAsia" w:cs="宋体"/>
                <w:color w:val="000000" w:themeColor="text1"/>
                <w:sz w:val="21"/>
                <w:szCs w:val="21"/>
                <w:highlight w:val="none"/>
                <w:lang w:val="en-US" w:eastAsia="zh-CN"/>
                <w14:textFill>
                  <w14:solidFill>
                    <w14:schemeClr w14:val="tx1"/>
                  </w14:solidFill>
                </w14:textFill>
              </w:rPr>
              <w:t>南京</w:t>
            </w:r>
            <w:r>
              <w:rPr>
                <w:rFonts w:hint="eastAsia" w:ascii="Times New Roman" w:hAnsi="Times New Roman" w:eastAsia="宋体" w:cs="宋体"/>
                <w:color w:val="000000" w:themeColor="text1"/>
                <w:sz w:val="21"/>
                <w:szCs w:val="21"/>
                <w:highlight w:val="none"/>
                <w14:textFill>
                  <w14:solidFill>
                    <w14:schemeClr w14:val="tx1"/>
                  </w14:solidFill>
                </w14:textFill>
              </w:rPr>
              <w:t>昊晟环保科技有限公司接受委托后，认真研究了项目有关材料，并组织技术人员进行实地踏勘和调研，收集和核实了有关材料，按照国家对建设项目环境影响评价的有关规定和有关环保政策、技术规范，编制完成了该项目的环境影响报告表，提交给建设单位上报生态环境主管部门审批。</w:t>
            </w:r>
          </w:p>
          <w:p w14:paraId="47246023">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2、项目概况</w:t>
            </w:r>
          </w:p>
          <w:p w14:paraId="7C9F0146">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项目名称：</w:t>
            </w:r>
            <w:r>
              <w:rPr>
                <w:rFonts w:hint="eastAsia" w:cs="宋体"/>
                <w:color w:val="000000" w:themeColor="text1"/>
                <w:sz w:val="21"/>
                <w:szCs w:val="21"/>
                <w:highlight w:val="none"/>
                <w:lang w:eastAsia="zh-CN"/>
                <w14:textFill>
                  <w14:solidFill>
                    <w14:schemeClr w14:val="tx1"/>
                  </w14:solidFill>
                </w14:textFill>
              </w:rPr>
              <w:t>扩建年产牛肉卤制品1400吨和牛肉副产品1900吨</w:t>
            </w:r>
            <w:r>
              <w:rPr>
                <w:rFonts w:hint="eastAsia" w:ascii="Times New Roman" w:hAnsi="Times New Roman" w:eastAsia="宋体" w:cs="宋体"/>
                <w:color w:val="000000" w:themeColor="text1"/>
                <w:sz w:val="21"/>
                <w:szCs w:val="21"/>
                <w:highlight w:val="none"/>
                <w14:textFill>
                  <w14:solidFill>
                    <w14:schemeClr w14:val="tx1"/>
                  </w14:solidFill>
                </w14:textFill>
              </w:rPr>
              <w:t>项目</w:t>
            </w:r>
            <w:r>
              <w:rPr>
                <w:rFonts w:hint="eastAsia" w:cs="宋体"/>
                <w:color w:val="000000" w:themeColor="text1"/>
                <w:sz w:val="21"/>
                <w:szCs w:val="21"/>
                <w:highlight w:val="none"/>
                <w:lang w:eastAsia="zh-CN"/>
                <w14:textFill>
                  <w14:solidFill>
                    <w14:schemeClr w14:val="tx1"/>
                  </w14:solidFill>
                </w14:textFill>
              </w:rPr>
              <w:t>；</w:t>
            </w:r>
          </w:p>
          <w:p w14:paraId="1F51BF8D">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建设单位：</w:t>
            </w:r>
            <w:r>
              <w:rPr>
                <w:rFonts w:hint="eastAsia" w:cs="宋体"/>
                <w:color w:val="000000" w:themeColor="text1"/>
                <w:spacing w:val="-4"/>
                <w:sz w:val="21"/>
                <w:szCs w:val="21"/>
                <w:highlight w:val="none"/>
                <w:lang w:eastAsia="zh-CN"/>
                <w14:textFill>
                  <w14:solidFill>
                    <w14:schemeClr w14:val="tx1"/>
                  </w14:solidFill>
                </w14:textFill>
              </w:rPr>
              <w:t>常州市金坛区二呆子牛肉有限公司；</w:t>
            </w:r>
          </w:p>
          <w:p w14:paraId="2F5A9EA8">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建设地点：</w:t>
            </w:r>
            <w:r>
              <w:rPr>
                <w:rFonts w:hint="eastAsia" w:cs="宋体"/>
                <w:color w:val="000000" w:themeColor="text1"/>
                <w:sz w:val="21"/>
                <w:szCs w:val="21"/>
                <w:highlight w:val="none"/>
                <w:lang w:eastAsia="zh-CN"/>
                <w14:textFill>
                  <w14:solidFill>
                    <w14:schemeClr w14:val="tx1"/>
                  </w14:solidFill>
                </w14:textFill>
              </w:rPr>
              <w:t>江苏省常州市金坛区指前镇社头集镇社兴东路；</w:t>
            </w:r>
          </w:p>
          <w:p w14:paraId="5AAB4A23">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建设规模：</w:t>
            </w:r>
            <w:r>
              <w:rPr>
                <w:rFonts w:hint="eastAsia" w:cs="宋体"/>
                <w:color w:val="000000" w:themeColor="text1"/>
                <w:sz w:val="21"/>
                <w:szCs w:val="21"/>
                <w:highlight w:val="none"/>
                <w:lang w:val="en-US" w:eastAsia="zh-CN"/>
                <w14:textFill>
                  <w14:solidFill>
                    <w14:schemeClr w14:val="tx1"/>
                  </w14:solidFill>
                </w14:textFill>
              </w:rPr>
              <w:t>本期建设规模</w:t>
            </w:r>
            <w:r>
              <w:rPr>
                <w:rFonts w:hint="eastAsia" w:cs="宋体"/>
                <w:color w:val="000000" w:themeColor="text1"/>
                <w:sz w:val="21"/>
                <w:szCs w:val="21"/>
                <w:highlight w:val="none"/>
                <w:lang w:eastAsia="zh-CN"/>
                <w14:textFill>
                  <w14:solidFill>
                    <w14:schemeClr w14:val="tx1"/>
                  </w14:solidFill>
                </w14:textFill>
              </w:rPr>
              <w:t>年产牛肉卤制品</w:t>
            </w:r>
            <w:r>
              <w:rPr>
                <w:rFonts w:hint="eastAsia" w:cs="宋体"/>
                <w:color w:val="000000" w:themeColor="text1"/>
                <w:sz w:val="21"/>
                <w:szCs w:val="21"/>
                <w:highlight w:val="none"/>
                <w:lang w:val="en-US" w:eastAsia="zh-CN"/>
                <w14:textFill>
                  <w14:solidFill>
                    <w14:schemeClr w14:val="tx1"/>
                  </w14:solidFill>
                </w14:textFill>
              </w:rPr>
              <w:t>980</w:t>
            </w:r>
            <w:r>
              <w:rPr>
                <w:rFonts w:hint="eastAsia" w:cs="宋体"/>
                <w:color w:val="000000" w:themeColor="text1"/>
                <w:sz w:val="21"/>
                <w:szCs w:val="21"/>
                <w:highlight w:val="none"/>
                <w:lang w:eastAsia="zh-CN"/>
                <w14:textFill>
                  <w14:solidFill>
                    <w14:schemeClr w14:val="tx1"/>
                  </w14:solidFill>
                </w14:textFill>
              </w:rPr>
              <w:t>吨和牛肉副产品</w:t>
            </w:r>
            <w:r>
              <w:rPr>
                <w:rFonts w:hint="eastAsia" w:cs="宋体"/>
                <w:color w:val="000000" w:themeColor="text1"/>
                <w:sz w:val="21"/>
                <w:szCs w:val="21"/>
                <w:highlight w:val="none"/>
                <w:lang w:val="en-US" w:eastAsia="zh-CN"/>
                <w14:textFill>
                  <w14:solidFill>
                    <w14:schemeClr w14:val="tx1"/>
                  </w14:solidFill>
                </w14:textFill>
              </w:rPr>
              <w:t>1330</w:t>
            </w:r>
            <w:r>
              <w:rPr>
                <w:rFonts w:hint="eastAsia" w:cs="宋体"/>
                <w:color w:val="000000" w:themeColor="text1"/>
                <w:sz w:val="21"/>
                <w:szCs w:val="21"/>
                <w:highlight w:val="none"/>
                <w:lang w:eastAsia="zh-CN"/>
                <w14:textFill>
                  <w14:solidFill>
                    <w14:schemeClr w14:val="tx1"/>
                  </w14:solidFill>
                </w14:textFill>
              </w:rPr>
              <w:t>吨；</w:t>
            </w:r>
          </w:p>
          <w:p w14:paraId="2A3F8FEB">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建设性质：</w:t>
            </w:r>
            <w:r>
              <w:rPr>
                <w:rFonts w:hint="eastAsia" w:cs="宋体"/>
                <w:color w:val="000000" w:themeColor="text1"/>
                <w:sz w:val="21"/>
                <w:szCs w:val="21"/>
                <w:highlight w:val="none"/>
                <w:lang w:val="en-US" w:eastAsia="zh-CN"/>
                <w14:textFill>
                  <w14:solidFill>
                    <w14:schemeClr w14:val="tx1"/>
                  </w14:solidFill>
                </w14:textFill>
              </w:rPr>
              <w:t>扩建；</w:t>
            </w:r>
          </w:p>
          <w:p w14:paraId="685E2069">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占地面积：</w:t>
            </w:r>
            <w:r>
              <w:rPr>
                <w:rFonts w:hint="eastAsia" w:ascii="Times New Roman" w:hAnsi="Times New Roman" w:eastAsia="宋体" w:cs="宋体"/>
                <w:color w:val="000000" w:themeColor="text1"/>
                <w:sz w:val="21"/>
                <w:szCs w:val="21"/>
                <w:highlight w:val="none"/>
                <w14:textFill>
                  <w14:solidFill>
                    <w14:schemeClr w14:val="tx1"/>
                  </w14:solidFill>
                </w14:textFill>
              </w:rPr>
              <w:t>本项目</w:t>
            </w:r>
            <w:r>
              <w:rPr>
                <w:rFonts w:hint="eastAsia" w:cs="宋体"/>
                <w:color w:val="000000" w:themeColor="text1"/>
                <w:sz w:val="21"/>
                <w:szCs w:val="21"/>
                <w:highlight w:val="none"/>
                <w:lang w:eastAsia="zh-CN"/>
                <w14:textFill>
                  <w14:solidFill>
                    <w14:schemeClr w14:val="tx1"/>
                  </w14:solidFill>
                </w14:textFill>
              </w:rPr>
              <w:t>利用现有厂房2099平方米；</w:t>
            </w:r>
          </w:p>
          <w:p w14:paraId="64C4BFD1">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总投资及环保投资：项目总投资</w:t>
            </w:r>
            <w:r>
              <w:rPr>
                <w:rFonts w:hint="eastAsia" w:cs="宋体"/>
                <w:color w:val="000000" w:themeColor="text1"/>
                <w:sz w:val="21"/>
                <w:szCs w:val="21"/>
                <w:highlight w:val="none"/>
                <w:lang w:val="en-US" w:eastAsia="zh-CN"/>
                <w14:textFill>
                  <w14:solidFill>
                    <w14:schemeClr w14:val="tx1"/>
                  </w14:solidFill>
                </w14:textFill>
              </w:rPr>
              <w:t>5</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0</w:t>
            </w:r>
            <w:r>
              <w:rPr>
                <w:rFonts w:hint="eastAsia" w:ascii="Times New Roman" w:hAnsi="Times New Roman" w:eastAsia="宋体" w:cs="宋体"/>
                <w:color w:val="000000" w:themeColor="text1"/>
                <w:sz w:val="21"/>
                <w:szCs w:val="21"/>
                <w:highlight w:val="none"/>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万元，其中环保投资</w:t>
            </w:r>
            <w:r>
              <w:rPr>
                <w:rFonts w:hint="eastAsia" w:cs="宋体"/>
                <w:color w:val="000000" w:themeColor="text1"/>
                <w:sz w:val="21"/>
                <w:szCs w:val="21"/>
                <w:highlight w:val="none"/>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万元</w:t>
            </w:r>
            <w:r>
              <w:rPr>
                <w:rFonts w:hint="eastAsia" w:cs="宋体"/>
                <w:color w:val="000000" w:themeColor="text1"/>
                <w:sz w:val="21"/>
                <w:szCs w:val="21"/>
                <w:highlight w:val="none"/>
                <w:lang w:eastAsia="zh-CN"/>
                <w14:textFill>
                  <w14:solidFill>
                    <w14:schemeClr w14:val="tx1"/>
                  </w14:solidFill>
                </w14:textFill>
              </w:rPr>
              <w:t>；</w:t>
            </w:r>
          </w:p>
          <w:p w14:paraId="384DC73C">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职工人数：</w:t>
            </w:r>
            <w:r>
              <w:rPr>
                <w:rFonts w:hint="eastAsia" w:cs="宋体"/>
                <w:color w:val="000000" w:themeColor="text1"/>
                <w:sz w:val="21"/>
                <w:szCs w:val="21"/>
                <w:highlight w:val="none"/>
                <w:lang w:val="en-US" w:eastAsia="zh-CN"/>
                <w14:textFill>
                  <w14:solidFill>
                    <w14:schemeClr w14:val="tx1"/>
                  </w14:solidFill>
                </w14:textFill>
              </w:rPr>
              <w:t>现有劳动定员8人，本项目新增7人，</w:t>
            </w:r>
            <w:r>
              <w:rPr>
                <w:rFonts w:hint="eastAsia" w:ascii="Times New Roman" w:hAnsi="Times New Roman" w:eastAsia="宋体" w:cs="宋体"/>
                <w:color w:val="000000" w:themeColor="text1"/>
                <w:sz w:val="21"/>
                <w:szCs w:val="21"/>
                <w:highlight w:val="none"/>
                <w14:textFill>
                  <w14:solidFill>
                    <w14:schemeClr w14:val="tx1"/>
                  </w14:solidFill>
                </w14:textFill>
              </w:rPr>
              <w:t>厂内</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不</w:t>
            </w:r>
            <w:r>
              <w:rPr>
                <w:rFonts w:hint="eastAsia" w:ascii="Times New Roman" w:hAnsi="Times New Roman" w:eastAsia="宋体" w:cs="宋体"/>
                <w:color w:val="000000" w:themeColor="text1"/>
                <w:sz w:val="21"/>
                <w:szCs w:val="21"/>
                <w:highlight w:val="none"/>
                <w14:textFill>
                  <w14:solidFill>
                    <w14:schemeClr w14:val="tx1"/>
                  </w14:solidFill>
                </w14:textFill>
              </w:rPr>
              <w:t>设食堂</w:t>
            </w:r>
            <w:r>
              <w:rPr>
                <w:rFonts w:hint="eastAsia" w:cs="宋体"/>
                <w:color w:val="000000" w:themeColor="text1"/>
                <w:sz w:val="21"/>
                <w:szCs w:val="21"/>
                <w:highlight w:val="none"/>
                <w:lang w:eastAsia="zh-CN"/>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宿舍及浴室</w:t>
            </w:r>
            <w:r>
              <w:rPr>
                <w:rFonts w:hint="eastAsia" w:cs="宋体"/>
                <w:color w:val="000000" w:themeColor="text1"/>
                <w:sz w:val="21"/>
                <w:szCs w:val="21"/>
                <w:highlight w:val="none"/>
                <w:lang w:eastAsia="zh-CN"/>
                <w14:textFill>
                  <w14:solidFill>
                    <w14:schemeClr w14:val="tx1"/>
                  </w14:solidFill>
                </w14:textFill>
              </w:rPr>
              <w:t>；</w:t>
            </w:r>
          </w:p>
          <w:p w14:paraId="0805819D">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生产制度：年</w:t>
            </w:r>
            <w:r>
              <w:rPr>
                <w:rFonts w:hint="eastAsia" w:ascii="Times New Roman" w:hAnsi="Times New Roman" w:eastAsia="宋体" w:cs="宋体"/>
                <w:color w:val="000000" w:themeColor="text1"/>
                <w:sz w:val="21"/>
                <w:szCs w:val="21"/>
                <w:highlight w:val="none"/>
                <w14:textFill>
                  <w14:solidFill>
                    <w14:schemeClr w14:val="tx1"/>
                  </w14:solidFill>
                </w14:textFill>
              </w:rPr>
              <w:t>生产</w:t>
            </w:r>
            <w:r>
              <w:rPr>
                <w:rFonts w:hint="eastAsia" w:cs="宋体"/>
                <w:color w:val="000000" w:themeColor="text1"/>
                <w:sz w:val="21"/>
                <w:szCs w:val="21"/>
                <w:highlight w:val="none"/>
                <w:lang w:val="en-US" w:eastAsia="zh-CN"/>
                <w14:textFill>
                  <w14:solidFill>
                    <w14:schemeClr w14:val="tx1"/>
                  </w14:solidFill>
                </w14:textFill>
              </w:rPr>
              <w:t>30</w:t>
            </w:r>
            <w:r>
              <w:rPr>
                <w:rFonts w:hint="eastAsia" w:ascii="Times New Roman" w:hAnsi="Times New Roman" w:eastAsia="宋体" w:cs="宋体"/>
                <w:color w:val="000000" w:themeColor="text1"/>
                <w:sz w:val="21"/>
                <w:szCs w:val="21"/>
                <w:highlight w:val="none"/>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天</w:t>
            </w:r>
            <w:r>
              <w:rPr>
                <w:rFonts w:hint="eastAsia" w:eastAsia="宋体" w:cs="宋体"/>
                <w:color w:val="000000" w:themeColor="text1"/>
                <w:sz w:val="21"/>
                <w:szCs w:val="21"/>
                <w:highlight w:val="none"/>
                <w:lang w:eastAsia="zh-CN"/>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实行</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一</w:t>
            </w:r>
            <w:r>
              <w:rPr>
                <w:rFonts w:ascii="Times New Roman" w:hAnsi="Times New Roman" w:eastAsia="宋体" w:cs="宋体"/>
                <w:color w:val="000000" w:themeColor="text1"/>
                <w:sz w:val="21"/>
                <w:szCs w:val="21"/>
                <w:highlight w:val="none"/>
                <w14:textFill>
                  <w14:solidFill>
                    <w14:schemeClr w14:val="tx1"/>
                  </w14:solidFill>
                </w14:textFill>
              </w:rPr>
              <w:t>班制，</w:t>
            </w:r>
            <w:r>
              <w:rPr>
                <w:rFonts w:hint="eastAsia" w:cs="宋体"/>
                <w:color w:val="000000" w:themeColor="text1"/>
                <w:sz w:val="21"/>
                <w:szCs w:val="21"/>
                <w:highlight w:val="none"/>
                <w:lang w:val="en-US" w:eastAsia="zh-CN"/>
                <w14:textFill>
                  <w14:solidFill>
                    <w14:schemeClr w14:val="tx1"/>
                  </w14:solidFill>
                </w14:textFill>
              </w:rPr>
              <w:t>工作时间为16:00—02:00</w:t>
            </w:r>
            <w:r>
              <w:rPr>
                <w:rFonts w:hint="eastAsia" w:cs="宋体"/>
                <w:color w:val="000000" w:themeColor="text1"/>
                <w:sz w:val="21"/>
                <w:szCs w:val="21"/>
                <w:highlight w:val="none"/>
                <w:lang w:eastAsia="zh-CN"/>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年</w:t>
            </w:r>
            <w:r>
              <w:rPr>
                <w:rFonts w:hint="eastAsia" w:ascii="Times New Roman" w:hAnsi="Times New Roman" w:eastAsia="宋体" w:cs="宋体"/>
                <w:color w:val="000000" w:themeColor="text1"/>
                <w:sz w:val="21"/>
                <w:szCs w:val="21"/>
                <w:highlight w:val="none"/>
                <w14:textFill>
                  <w14:solidFill>
                    <w14:schemeClr w14:val="tx1"/>
                  </w14:solidFill>
                </w14:textFill>
              </w:rPr>
              <w:t>工作时长</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3000</w:t>
            </w:r>
            <w:r>
              <w:rPr>
                <w:rFonts w:ascii="Times New Roman" w:hAnsi="Times New Roman" w:eastAsia="宋体" w:cs="宋体"/>
                <w:color w:val="000000" w:themeColor="text1"/>
                <w:sz w:val="21"/>
                <w:szCs w:val="21"/>
                <w:highlight w:val="none"/>
                <w14:textFill>
                  <w14:solidFill>
                    <w14:schemeClr w14:val="tx1"/>
                  </w14:solidFill>
                </w14:textFill>
              </w:rPr>
              <w:t>h</w:t>
            </w:r>
            <w:r>
              <w:rPr>
                <w:rFonts w:hint="eastAsia" w:cs="宋体"/>
                <w:color w:val="000000" w:themeColor="text1"/>
                <w:sz w:val="21"/>
                <w:szCs w:val="21"/>
                <w:highlight w:val="none"/>
                <w:lang w:eastAsia="zh-CN"/>
                <w14:textFill>
                  <w14:solidFill>
                    <w14:schemeClr w14:val="tx1"/>
                  </w14:solidFill>
                </w14:textFill>
              </w:rPr>
              <w:t>。</w:t>
            </w:r>
          </w:p>
          <w:p w14:paraId="641A6A4A">
            <w:pPr>
              <w:numPr>
                <w:ilvl w:val="0"/>
                <w:numId w:val="2"/>
              </w:numPr>
              <w:spacing w:line="360" w:lineRule="auto"/>
              <w:ind w:firstLine="422" w:firstLineChars="200"/>
              <w:rPr>
                <w:rFonts w:hint="eastAsia" w:ascii="Times New Roman" w:hAnsi="Times New Roman" w:eastAsia="宋体" w:cs="宋体"/>
                <w:b/>
                <w:bCs/>
                <w:color w:val="000000" w:themeColor="text1"/>
                <w:sz w:val="21"/>
                <w:szCs w:val="21"/>
                <w:highlight w:val="none"/>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产品方案</w:t>
            </w:r>
          </w:p>
          <w:p w14:paraId="4D54CA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本项目年屠宰牛7000头，由厂区内制作程牛肉卤制品出售，年产牛肉卤制品980t/a以及牛肉副产品1330t/a。项目的产品方案详见下表：</w:t>
            </w:r>
          </w:p>
          <w:p w14:paraId="791E096D">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w:t>
            </w:r>
            <w:r>
              <w:rPr>
                <w:rFonts w:hint="eastAsia" w:ascii="Times New Roman" w:hAnsi="Times New Roman" w:cs="宋体"/>
                <w:b/>
                <w:bCs/>
                <w:color w:val="000000" w:themeColor="text1"/>
                <w:spacing w:val="-4"/>
                <w:sz w:val="21"/>
                <w:szCs w:val="21"/>
                <w:highlight w:val="none"/>
                <w:lang w:val="en-US" w:eastAsia="zh-CN"/>
                <w14:textFill>
                  <w14:solidFill>
                    <w14:schemeClr w14:val="tx1"/>
                  </w14:solidFill>
                </w14:textFill>
              </w:rPr>
              <w:t>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产品方案</w:t>
            </w:r>
          </w:p>
          <w:tbl>
            <w:tblPr>
              <w:tblStyle w:val="24"/>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53"/>
              <w:gridCol w:w="909"/>
              <w:gridCol w:w="1129"/>
              <w:gridCol w:w="1133"/>
              <w:gridCol w:w="2368"/>
              <w:gridCol w:w="787"/>
              <w:gridCol w:w="740"/>
              <w:gridCol w:w="688"/>
            </w:tblGrid>
            <w:tr w14:paraId="4A66CA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5" w:type="pct"/>
                  <w:noWrap w:val="0"/>
                  <w:vAlign w:val="center"/>
                </w:tcPr>
                <w:p w14:paraId="522A3FE7">
                  <w:pPr>
                    <w:snapToGrid w:val="0"/>
                    <w:jc w:val="center"/>
                    <w:rPr>
                      <w:rFonts w:ascii="Times New Roman" w:hAnsi="Times New Roman" w:eastAsia="宋体"/>
                      <w:b/>
                      <w:smallCaps w:val="0"/>
                      <w:color w:val="000000" w:themeColor="text1"/>
                      <w:sz w:val="21"/>
                      <w:szCs w:val="21"/>
                      <w:highlight w:val="none"/>
                      <w14:textFill>
                        <w14:solidFill>
                          <w14:schemeClr w14:val="tx1"/>
                        </w14:solidFill>
                      </w14:textFill>
                    </w:rPr>
                  </w:pPr>
                  <w:r>
                    <w:rPr>
                      <w:rFonts w:ascii="Times New Roman" w:hAnsi="Times New Roman" w:eastAsia="宋体"/>
                      <w:b/>
                      <w:smallCaps w:val="0"/>
                      <w:color w:val="000000" w:themeColor="text1"/>
                      <w:sz w:val="21"/>
                      <w:szCs w:val="21"/>
                      <w:highlight w:val="none"/>
                      <w14:textFill>
                        <w14:solidFill>
                          <w14:schemeClr w14:val="tx1"/>
                        </w14:solidFill>
                      </w14:textFill>
                    </w:rPr>
                    <w:t>序号</w:t>
                  </w:r>
                </w:p>
              </w:tc>
              <w:tc>
                <w:tcPr>
                  <w:tcW w:w="553" w:type="pct"/>
                  <w:noWrap w:val="0"/>
                  <w:vAlign w:val="center"/>
                </w:tcPr>
                <w:p w14:paraId="3A76FE68">
                  <w:pPr>
                    <w:snapToGrid w:val="0"/>
                    <w:jc w:val="center"/>
                    <w:rPr>
                      <w:rFonts w:ascii="Times New Roman" w:hAnsi="Times New Roman" w:eastAsia="宋体"/>
                      <w:b/>
                      <w:smallCaps w:val="0"/>
                      <w:color w:val="000000" w:themeColor="text1"/>
                      <w:sz w:val="21"/>
                      <w:szCs w:val="21"/>
                      <w:highlight w:val="none"/>
                      <w14:textFill>
                        <w14:solidFill>
                          <w14:schemeClr w14:val="tx1"/>
                        </w14:solidFill>
                      </w14:textFill>
                    </w:rPr>
                  </w:pPr>
                  <w:r>
                    <w:rPr>
                      <w:rFonts w:hint="eastAsia" w:ascii="Times New Roman" w:hAnsi="Times New Roman" w:eastAsia="宋体"/>
                      <w:b/>
                      <w:smallCaps w:val="0"/>
                      <w:color w:val="000000" w:themeColor="text1"/>
                      <w:sz w:val="21"/>
                      <w:szCs w:val="21"/>
                      <w:highlight w:val="none"/>
                      <w14:textFill>
                        <w14:solidFill>
                          <w14:schemeClr w14:val="tx1"/>
                        </w14:solidFill>
                      </w14:textFill>
                    </w:rPr>
                    <w:t>工程名称</w:t>
                  </w:r>
                </w:p>
              </w:tc>
              <w:tc>
                <w:tcPr>
                  <w:tcW w:w="1378" w:type="pct"/>
                  <w:gridSpan w:val="2"/>
                  <w:noWrap w:val="0"/>
                  <w:vAlign w:val="center"/>
                </w:tcPr>
                <w:p w14:paraId="1419A2F8">
                  <w:pPr>
                    <w:snapToGrid w:val="0"/>
                    <w:jc w:val="center"/>
                    <w:rPr>
                      <w:rFonts w:ascii="Times New Roman" w:hAnsi="Times New Roman" w:eastAsia="宋体"/>
                      <w:b/>
                      <w:smallCaps w:val="0"/>
                      <w:color w:val="000000" w:themeColor="text1"/>
                      <w:sz w:val="21"/>
                      <w:szCs w:val="21"/>
                      <w:highlight w:val="none"/>
                      <w14:textFill>
                        <w14:solidFill>
                          <w14:schemeClr w14:val="tx1"/>
                        </w14:solidFill>
                      </w14:textFill>
                    </w:rPr>
                  </w:pPr>
                  <w:r>
                    <w:rPr>
                      <w:rFonts w:ascii="Times New Roman" w:hAnsi="Times New Roman" w:eastAsia="宋体"/>
                      <w:b/>
                      <w:smallCaps w:val="0"/>
                      <w:color w:val="000000" w:themeColor="text1"/>
                      <w:sz w:val="21"/>
                      <w:szCs w:val="21"/>
                      <w:highlight w:val="none"/>
                      <w14:textFill>
                        <w14:solidFill>
                          <w14:schemeClr w14:val="tx1"/>
                        </w14:solidFill>
                      </w14:textFill>
                    </w:rPr>
                    <w:t>产品名称</w:t>
                  </w:r>
                </w:p>
              </w:tc>
              <w:tc>
                <w:tcPr>
                  <w:tcW w:w="1442" w:type="pct"/>
                  <w:noWrap w:val="0"/>
                  <w:vAlign w:val="center"/>
                </w:tcPr>
                <w:p w14:paraId="3550B4B9">
                  <w:pPr>
                    <w:snapToGrid w:val="0"/>
                    <w:jc w:val="center"/>
                    <w:rPr>
                      <w:rFonts w:hint="eastAsia" w:ascii="Times New Roman" w:hAnsi="Times New Roman" w:eastAsia="宋体"/>
                      <w:b/>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 w:val="21"/>
                      <w:szCs w:val="21"/>
                      <w:highlight w:val="none"/>
                      <w:lang w:val="en-US" w:eastAsia="zh-CN"/>
                      <w14:textFill>
                        <w14:solidFill>
                          <w14:schemeClr w14:val="tx1"/>
                        </w14:solidFill>
                      </w14:textFill>
                    </w:rPr>
                    <w:t>产品规格</w:t>
                  </w:r>
                </w:p>
              </w:tc>
              <w:tc>
                <w:tcPr>
                  <w:tcW w:w="930" w:type="pct"/>
                  <w:gridSpan w:val="2"/>
                  <w:noWrap w:val="0"/>
                  <w:vAlign w:val="center"/>
                </w:tcPr>
                <w:p w14:paraId="0B6C7241">
                  <w:pPr>
                    <w:snapToGrid w:val="0"/>
                    <w:jc w:val="center"/>
                    <w:rPr>
                      <w:rFonts w:hint="eastAsia" w:ascii="Times New Roman" w:hAnsi="Times New Roman" w:eastAsia="宋体"/>
                      <w:b/>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 w:val="21"/>
                      <w:szCs w:val="21"/>
                      <w:highlight w:val="none"/>
                      <w14:textFill>
                        <w14:solidFill>
                          <w14:schemeClr w14:val="tx1"/>
                        </w14:solidFill>
                      </w14:textFill>
                    </w:rPr>
                    <w:t>设计能力</w:t>
                  </w:r>
                </w:p>
              </w:tc>
              <w:tc>
                <w:tcPr>
                  <w:tcW w:w="419" w:type="pct"/>
                  <w:noWrap w:val="0"/>
                  <w:vAlign w:val="center"/>
                </w:tcPr>
                <w:p w14:paraId="1C285CB3">
                  <w:pPr>
                    <w:snapToGrid w:val="0"/>
                    <w:jc w:val="center"/>
                    <w:rPr>
                      <w:rFonts w:hint="eastAsia" w:ascii="Times New Roman" w:hAnsi="Times New Roman" w:eastAsia="宋体"/>
                      <w:b/>
                      <w:smallCaps w:val="0"/>
                      <w:color w:val="000000" w:themeColor="text1"/>
                      <w:sz w:val="21"/>
                      <w:szCs w:val="21"/>
                      <w:highlight w:val="none"/>
                      <w14:textFill>
                        <w14:solidFill>
                          <w14:schemeClr w14:val="tx1"/>
                        </w14:solidFill>
                      </w14:textFill>
                    </w:rPr>
                  </w:pPr>
                  <w:r>
                    <w:rPr>
                      <w:rFonts w:hint="eastAsia" w:ascii="Times New Roman" w:hAnsi="Times New Roman" w:eastAsia="宋体"/>
                      <w:b/>
                      <w:smallCaps w:val="0"/>
                      <w:color w:val="000000" w:themeColor="text1"/>
                      <w:sz w:val="21"/>
                      <w:szCs w:val="21"/>
                      <w:highlight w:val="none"/>
                      <w14:textFill>
                        <w14:solidFill>
                          <w14:schemeClr w14:val="tx1"/>
                        </w14:solidFill>
                      </w14:textFill>
                    </w:rPr>
                    <w:t>年工作</w:t>
                  </w:r>
                </w:p>
                <w:p w14:paraId="707CE46C">
                  <w:pPr>
                    <w:snapToGrid w:val="0"/>
                    <w:jc w:val="center"/>
                    <w:rPr>
                      <w:rFonts w:ascii="Times New Roman" w:hAnsi="Times New Roman" w:eastAsia="宋体"/>
                      <w:b/>
                      <w:smallCaps w:val="0"/>
                      <w:color w:val="000000" w:themeColor="text1"/>
                      <w:sz w:val="21"/>
                      <w:szCs w:val="21"/>
                      <w:highlight w:val="none"/>
                      <w14:textFill>
                        <w14:solidFill>
                          <w14:schemeClr w14:val="tx1"/>
                        </w14:solidFill>
                      </w14:textFill>
                    </w:rPr>
                  </w:pPr>
                  <w:r>
                    <w:rPr>
                      <w:rFonts w:hint="eastAsia" w:ascii="Times New Roman" w:hAnsi="Times New Roman" w:eastAsia="宋体"/>
                      <w:b/>
                      <w:smallCaps w:val="0"/>
                      <w:color w:val="000000" w:themeColor="text1"/>
                      <w:sz w:val="21"/>
                      <w:szCs w:val="21"/>
                      <w:highlight w:val="none"/>
                      <w14:textFill>
                        <w14:solidFill>
                          <w14:schemeClr w14:val="tx1"/>
                        </w14:solidFill>
                      </w14:textFill>
                    </w:rPr>
                    <w:t>时长</w:t>
                  </w:r>
                </w:p>
              </w:tc>
            </w:tr>
            <w:tr w14:paraId="224F6E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8"/>
                  <w:noWrap w:val="0"/>
                  <w:vAlign w:val="center"/>
                </w:tcPr>
                <w:p w14:paraId="7A65BBB0">
                  <w:pPr>
                    <w:snapToGrid w:val="0"/>
                    <w:jc w:val="center"/>
                    <w:rPr>
                      <w:rFonts w:hint="default" w:ascii="Times New Roman" w:hAnsi="Times New Roman" w:eastAsia="宋体"/>
                      <w:b/>
                      <w:smallCaps w:val="0"/>
                      <w:color w:val="000000" w:themeColor="text1"/>
                      <w:sz w:val="21"/>
                      <w:szCs w:val="21"/>
                      <w:highlight w:val="none"/>
                      <w:lang w:val="en-US" w:eastAsia="zh-CN"/>
                      <w14:textFill>
                        <w14:solidFill>
                          <w14:schemeClr w14:val="tx1"/>
                        </w14:solidFill>
                      </w14:textFill>
                    </w:rPr>
                  </w:pPr>
                  <w:r>
                    <w:rPr>
                      <w:rFonts w:hint="eastAsia"/>
                      <w:b/>
                      <w:smallCaps w:val="0"/>
                      <w:color w:val="000000" w:themeColor="text1"/>
                      <w:sz w:val="21"/>
                      <w:szCs w:val="21"/>
                      <w:highlight w:val="none"/>
                      <w:lang w:val="en-US" w:eastAsia="zh-CN"/>
                      <w14:textFill>
                        <w14:solidFill>
                          <w14:schemeClr w14:val="tx1"/>
                        </w14:solidFill>
                      </w14:textFill>
                    </w:rPr>
                    <w:t>一期项目</w:t>
                  </w:r>
                </w:p>
              </w:tc>
            </w:tr>
            <w:tr w14:paraId="310834C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5" w:type="pct"/>
                  <w:noWrap w:val="0"/>
                  <w:vAlign w:val="center"/>
                </w:tcPr>
                <w:p w14:paraId="0A75FC7B">
                  <w:pPr>
                    <w:snapToGrid w:val="0"/>
                    <w:jc w:val="center"/>
                    <w:rPr>
                      <w:rFonts w:hint="eastAsia" w:ascii="Times New Roman" w:hAnsi="Times New Roman" w:eastAsia="宋体"/>
                      <w:smallCaps w:val="0"/>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p>
              </w:tc>
              <w:tc>
                <w:tcPr>
                  <w:tcW w:w="553" w:type="pct"/>
                  <w:vMerge w:val="restart"/>
                  <w:noWrap w:val="0"/>
                  <w:vAlign w:val="center"/>
                </w:tcPr>
                <w:p w14:paraId="40F98E73">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机械化</w:t>
                  </w:r>
                </w:p>
                <w:p w14:paraId="467022C1">
                  <w:pPr>
                    <w:snapToGrid w:val="0"/>
                    <w:jc w:val="center"/>
                    <w:rPr>
                      <w:rFonts w:hint="default" w:ascii="Times New Roman" w:hAnsi="Times New Roman" w:eastAsia="宋体"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屠宰线</w:t>
                  </w:r>
                </w:p>
              </w:tc>
              <w:tc>
                <w:tcPr>
                  <w:tcW w:w="1378" w:type="pct"/>
                  <w:gridSpan w:val="2"/>
                  <w:noWrap w:val="0"/>
                  <w:vAlign w:val="center"/>
                </w:tcPr>
                <w:p w14:paraId="498B3EC4">
                  <w:pPr>
                    <w:snapToGrid w:val="0"/>
                    <w:jc w:val="center"/>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牛肉卤制品</w:t>
                  </w:r>
                </w:p>
              </w:tc>
              <w:tc>
                <w:tcPr>
                  <w:tcW w:w="1442" w:type="pct"/>
                  <w:noWrap w:val="0"/>
                  <w:vAlign w:val="center"/>
                </w:tcPr>
                <w:p w14:paraId="5286CE34">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《酱卤肉制品质量通则》</w:t>
                  </w:r>
                </w:p>
                <w:p w14:paraId="3DD30E81">
                  <w:pPr>
                    <w:snapToGrid w:val="0"/>
                    <w:jc w:val="center"/>
                    <w:rPr>
                      <w:rFonts w:hint="default" w:ascii="Times New Roman" w:hAnsi="Times New Roman" w:eastAsia="宋体"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（GB23586-2022）</w:t>
                  </w:r>
                </w:p>
              </w:tc>
              <w:tc>
                <w:tcPr>
                  <w:tcW w:w="930" w:type="pct"/>
                  <w:gridSpan w:val="2"/>
                  <w:noWrap w:val="0"/>
                  <w:vAlign w:val="center"/>
                </w:tcPr>
                <w:p w14:paraId="2303B693">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980t/a</w:t>
                  </w:r>
                </w:p>
              </w:tc>
              <w:tc>
                <w:tcPr>
                  <w:tcW w:w="419" w:type="pct"/>
                  <w:vMerge w:val="restart"/>
                  <w:noWrap w:val="0"/>
                  <w:vAlign w:val="center"/>
                </w:tcPr>
                <w:p w14:paraId="47901C39">
                  <w:pPr>
                    <w:snapToGrid w:val="0"/>
                    <w:jc w:val="center"/>
                    <w:rPr>
                      <w:rFonts w:hint="default" w:ascii="Times New Roman" w:hAnsi="Times New Roman" w:eastAsia="宋体"/>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3000h</w:t>
                  </w:r>
                </w:p>
              </w:tc>
            </w:tr>
            <w:tr w14:paraId="0B3862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5" w:type="pct"/>
                  <w:vMerge w:val="restart"/>
                  <w:noWrap w:val="0"/>
                  <w:vAlign w:val="center"/>
                </w:tcPr>
                <w:p w14:paraId="36EF9C6D">
                  <w:pPr>
                    <w:snapToGrid w:val="0"/>
                    <w:jc w:val="center"/>
                    <w:rPr>
                      <w:rFonts w:hint="default"/>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p>
              </w:tc>
              <w:tc>
                <w:tcPr>
                  <w:tcW w:w="553" w:type="pct"/>
                  <w:vMerge w:val="continue"/>
                  <w:noWrap w:val="0"/>
                  <w:vAlign w:val="center"/>
                </w:tcPr>
                <w:p w14:paraId="08665800">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87" w:type="pct"/>
                  <w:vMerge w:val="restart"/>
                  <w:noWrap w:val="0"/>
                  <w:vAlign w:val="center"/>
                </w:tcPr>
                <w:p w14:paraId="37EA5EB1">
                  <w:pPr>
                    <w:snapToGrid w:val="0"/>
                    <w:jc w:val="center"/>
                    <w:rPr>
                      <w:rFonts w:hint="default"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牛肉副产品</w:t>
                  </w:r>
                </w:p>
              </w:tc>
              <w:tc>
                <w:tcPr>
                  <w:tcW w:w="690" w:type="pct"/>
                  <w:noWrap w:val="0"/>
                  <w:vAlign w:val="center"/>
                </w:tcPr>
                <w:p w14:paraId="6228F61B">
                  <w:pPr>
                    <w:snapToGrid w:val="0"/>
                    <w:jc w:val="center"/>
                    <w:rPr>
                      <w:rFonts w:hint="default"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内脏</w:t>
                  </w:r>
                </w:p>
              </w:tc>
              <w:tc>
                <w:tcPr>
                  <w:tcW w:w="1442" w:type="pct"/>
                  <w:vMerge w:val="restart"/>
                  <w:noWrap w:val="0"/>
                  <w:vAlign w:val="center"/>
                </w:tcPr>
                <w:p w14:paraId="312033CF">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《食品安全国家标准鲜（冻）畜、禽产品》（GB2707-2016）</w:t>
                  </w:r>
                </w:p>
              </w:tc>
              <w:tc>
                <w:tcPr>
                  <w:tcW w:w="479" w:type="pct"/>
                  <w:vMerge w:val="restart"/>
                  <w:noWrap w:val="0"/>
                  <w:vAlign w:val="center"/>
                </w:tcPr>
                <w:p w14:paraId="35E8F6DD">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1330t/a</w:t>
                  </w:r>
                </w:p>
              </w:tc>
              <w:tc>
                <w:tcPr>
                  <w:tcW w:w="450" w:type="pct"/>
                  <w:noWrap w:val="0"/>
                  <w:vAlign w:val="center"/>
                </w:tcPr>
                <w:p w14:paraId="30D7D7A5">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315t/a</w:t>
                  </w:r>
                </w:p>
              </w:tc>
              <w:tc>
                <w:tcPr>
                  <w:tcW w:w="419" w:type="pct"/>
                  <w:vMerge w:val="continue"/>
                  <w:noWrap w:val="0"/>
                  <w:vAlign w:val="center"/>
                </w:tcPr>
                <w:p w14:paraId="7266100E">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r>
            <w:tr w14:paraId="1CB220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5" w:type="pct"/>
                  <w:vMerge w:val="continue"/>
                  <w:noWrap w:val="0"/>
                  <w:vAlign w:val="center"/>
                </w:tcPr>
                <w:p w14:paraId="4AAC4440">
                  <w:pPr>
                    <w:snapToGrid w:val="0"/>
                    <w:jc w:val="center"/>
                    <w:rPr>
                      <w:rFonts w:hint="eastAsia"/>
                      <w:color w:val="000000" w:themeColor="text1"/>
                      <w:sz w:val="21"/>
                      <w:szCs w:val="21"/>
                      <w:highlight w:val="none"/>
                      <w:lang w:val="en-US" w:eastAsia="zh-CN"/>
                      <w14:textFill>
                        <w14:solidFill>
                          <w14:schemeClr w14:val="tx1"/>
                        </w14:solidFill>
                      </w14:textFill>
                    </w:rPr>
                  </w:pPr>
                </w:p>
              </w:tc>
              <w:tc>
                <w:tcPr>
                  <w:tcW w:w="553" w:type="pct"/>
                  <w:vMerge w:val="continue"/>
                  <w:noWrap w:val="0"/>
                  <w:vAlign w:val="center"/>
                </w:tcPr>
                <w:p w14:paraId="42E86547">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87" w:type="pct"/>
                  <w:vMerge w:val="continue"/>
                  <w:noWrap w:val="0"/>
                  <w:vAlign w:val="center"/>
                </w:tcPr>
                <w:p w14:paraId="1737AA96">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90" w:type="pct"/>
                  <w:noWrap w:val="0"/>
                  <w:vAlign w:val="center"/>
                </w:tcPr>
                <w:p w14:paraId="0838DC67">
                  <w:pPr>
                    <w:snapToGrid w:val="0"/>
                    <w:jc w:val="center"/>
                    <w:rPr>
                      <w:rFonts w:hint="default"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牛骨</w:t>
                  </w:r>
                </w:p>
              </w:tc>
              <w:tc>
                <w:tcPr>
                  <w:tcW w:w="1442" w:type="pct"/>
                  <w:vMerge w:val="continue"/>
                  <w:noWrap w:val="0"/>
                  <w:vAlign w:val="center"/>
                </w:tcPr>
                <w:p w14:paraId="4B82866E">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479" w:type="pct"/>
                  <w:vMerge w:val="continue"/>
                  <w:noWrap w:val="0"/>
                  <w:vAlign w:val="center"/>
                </w:tcPr>
                <w:p w14:paraId="470351DC">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c>
                <w:tcPr>
                  <w:tcW w:w="450" w:type="pct"/>
                  <w:noWrap w:val="0"/>
                  <w:vAlign w:val="center"/>
                </w:tcPr>
                <w:p w14:paraId="2A8FD1FB">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472.5t/a</w:t>
                  </w:r>
                </w:p>
              </w:tc>
              <w:tc>
                <w:tcPr>
                  <w:tcW w:w="419" w:type="pct"/>
                  <w:vMerge w:val="continue"/>
                  <w:noWrap w:val="0"/>
                  <w:vAlign w:val="center"/>
                </w:tcPr>
                <w:p w14:paraId="40A38835">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r>
            <w:tr w14:paraId="5C76A28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75" w:type="pct"/>
                  <w:vMerge w:val="continue"/>
                  <w:noWrap w:val="0"/>
                  <w:vAlign w:val="center"/>
                </w:tcPr>
                <w:p w14:paraId="482EDC46">
                  <w:pPr>
                    <w:snapToGrid w:val="0"/>
                    <w:jc w:val="center"/>
                    <w:rPr>
                      <w:rFonts w:hint="eastAsia"/>
                      <w:color w:val="000000" w:themeColor="text1"/>
                      <w:sz w:val="21"/>
                      <w:szCs w:val="21"/>
                      <w:highlight w:val="none"/>
                      <w:lang w:val="en-US" w:eastAsia="zh-CN"/>
                      <w14:textFill>
                        <w14:solidFill>
                          <w14:schemeClr w14:val="tx1"/>
                        </w14:solidFill>
                      </w14:textFill>
                    </w:rPr>
                  </w:pPr>
                </w:p>
              </w:tc>
              <w:tc>
                <w:tcPr>
                  <w:tcW w:w="553" w:type="pct"/>
                  <w:vMerge w:val="continue"/>
                  <w:noWrap w:val="0"/>
                  <w:vAlign w:val="center"/>
                </w:tcPr>
                <w:p w14:paraId="1C3354A9">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87" w:type="pct"/>
                  <w:vMerge w:val="continue"/>
                  <w:noWrap w:val="0"/>
                  <w:vAlign w:val="center"/>
                </w:tcPr>
                <w:p w14:paraId="142BBDA6">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90" w:type="pct"/>
                  <w:noWrap w:val="0"/>
                  <w:vAlign w:val="center"/>
                </w:tcPr>
                <w:p w14:paraId="5BD00ECA">
                  <w:pPr>
                    <w:snapToGrid w:val="0"/>
                    <w:jc w:val="center"/>
                    <w:rPr>
                      <w:rFonts w:hint="default"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牛头、牛尾、牛蹄</w:t>
                  </w:r>
                </w:p>
              </w:tc>
              <w:tc>
                <w:tcPr>
                  <w:tcW w:w="1442" w:type="pct"/>
                  <w:vMerge w:val="continue"/>
                  <w:noWrap w:val="0"/>
                  <w:vAlign w:val="center"/>
                </w:tcPr>
                <w:p w14:paraId="529F5FF3">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479" w:type="pct"/>
                  <w:vMerge w:val="continue"/>
                  <w:noWrap w:val="0"/>
                  <w:vAlign w:val="center"/>
                </w:tcPr>
                <w:p w14:paraId="4196AFA8">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c>
                <w:tcPr>
                  <w:tcW w:w="450" w:type="pct"/>
                  <w:noWrap w:val="0"/>
                  <w:vAlign w:val="center"/>
                </w:tcPr>
                <w:p w14:paraId="71A50FBF">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192.5t/a</w:t>
                  </w:r>
                </w:p>
              </w:tc>
              <w:tc>
                <w:tcPr>
                  <w:tcW w:w="419" w:type="pct"/>
                  <w:vMerge w:val="continue"/>
                  <w:noWrap w:val="0"/>
                  <w:vAlign w:val="center"/>
                </w:tcPr>
                <w:p w14:paraId="49D3ED89">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r>
            <w:tr w14:paraId="31F3D2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5" w:type="pct"/>
                  <w:vMerge w:val="continue"/>
                  <w:noWrap w:val="0"/>
                  <w:vAlign w:val="center"/>
                </w:tcPr>
                <w:p w14:paraId="06C1E6FC">
                  <w:pPr>
                    <w:snapToGrid w:val="0"/>
                    <w:jc w:val="center"/>
                    <w:rPr>
                      <w:rFonts w:hint="eastAsia"/>
                      <w:color w:val="000000" w:themeColor="text1"/>
                      <w:sz w:val="21"/>
                      <w:szCs w:val="21"/>
                      <w:highlight w:val="none"/>
                      <w:lang w:val="en-US" w:eastAsia="zh-CN"/>
                      <w14:textFill>
                        <w14:solidFill>
                          <w14:schemeClr w14:val="tx1"/>
                        </w14:solidFill>
                      </w14:textFill>
                    </w:rPr>
                  </w:pPr>
                </w:p>
              </w:tc>
              <w:tc>
                <w:tcPr>
                  <w:tcW w:w="553" w:type="pct"/>
                  <w:vMerge w:val="continue"/>
                  <w:noWrap w:val="0"/>
                  <w:vAlign w:val="center"/>
                </w:tcPr>
                <w:p w14:paraId="348AF460">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87" w:type="pct"/>
                  <w:vMerge w:val="continue"/>
                  <w:noWrap w:val="0"/>
                  <w:vAlign w:val="center"/>
                </w:tcPr>
                <w:p w14:paraId="4048FBFE">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690" w:type="pct"/>
                  <w:noWrap w:val="0"/>
                  <w:vAlign w:val="center"/>
                </w:tcPr>
                <w:p w14:paraId="41DDD10B">
                  <w:pPr>
                    <w:snapToGrid w:val="0"/>
                    <w:jc w:val="center"/>
                    <w:rPr>
                      <w:rFonts w:hint="default"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牛皮、牛血等</w:t>
                  </w:r>
                </w:p>
              </w:tc>
              <w:tc>
                <w:tcPr>
                  <w:tcW w:w="1442" w:type="pct"/>
                  <w:vMerge w:val="continue"/>
                  <w:noWrap w:val="0"/>
                  <w:vAlign w:val="center"/>
                </w:tcPr>
                <w:p w14:paraId="3950F4D0">
                  <w:pPr>
                    <w:snapToGrid w:val="0"/>
                    <w:jc w:val="center"/>
                    <w:rPr>
                      <w:rFonts w:hint="eastAsia" w:cs="宋体"/>
                      <w:smallCaps w:val="0"/>
                      <w:color w:val="000000" w:themeColor="text1"/>
                      <w:sz w:val="21"/>
                      <w:szCs w:val="21"/>
                      <w:highlight w:val="none"/>
                      <w:lang w:val="en-US" w:eastAsia="zh-CN"/>
                      <w14:textFill>
                        <w14:solidFill>
                          <w14:schemeClr w14:val="tx1"/>
                        </w14:solidFill>
                      </w14:textFill>
                    </w:rPr>
                  </w:pPr>
                </w:p>
              </w:tc>
              <w:tc>
                <w:tcPr>
                  <w:tcW w:w="479" w:type="pct"/>
                  <w:vMerge w:val="continue"/>
                  <w:noWrap w:val="0"/>
                  <w:vAlign w:val="center"/>
                </w:tcPr>
                <w:p w14:paraId="014811FF">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c>
                <w:tcPr>
                  <w:tcW w:w="450" w:type="pct"/>
                  <w:noWrap w:val="0"/>
                  <w:vAlign w:val="center"/>
                </w:tcPr>
                <w:p w14:paraId="0F8CF470">
                  <w:pPr>
                    <w:snapToGrid w:val="0"/>
                    <w:jc w:val="center"/>
                    <w:rPr>
                      <w:rFonts w:hint="default"/>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350t/a</w:t>
                  </w:r>
                </w:p>
              </w:tc>
              <w:tc>
                <w:tcPr>
                  <w:tcW w:w="419" w:type="pct"/>
                  <w:vMerge w:val="continue"/>
                  <w:noWrap w:val="0"/>
                  <w:vAlign w:val="center"/>
                </w:tcPr>
                <w:p w14:paraId="3BD607CD">
                  <w:pPr>
                    <w:snapToGrid w:val="0"/>
                    <w:jc w:val="center"/>
                    <w:rPr>
                      <w:rFonts w:hint="eastAsia"/>
                      <w:smallCaps w:val="0"/>
                      <w:color w:val="000000" w:themeColor="text1"/>
                      <w:sz w:val="21"/>
                      <w:szCs w:val="21"/>
                      <w:highlight w:val="none"/>
                      <w:lang w:val="en-US" w:eastAsia="zh-CN"/>
                      <w14:textFill>
                        <w14:solidFill>
                          <w14:schemeClr w14:val="tx1"/>
                        </w14:solidFill>
                      </w14:textFill>
                    </w:rPr>
                  </w:pPr>
                </w:p>
              </w:tc>
            </w:tr>
          </w:tbl>
          <w:p w14:paraId="3CFCC81F">
            <w:pPr>
              <w:numPr>
                <w:ilvl w:val="0"/>
                <w:numId w:val="2"/>
              </w:numPr>
              <w:spacing w:line="360" w:lineRule="auto"/>
              <w:ind w:firstLine="422" w:firstLineChars="200"/>
              <w:rPr>
                <w:rFonts w:hint="default" w:ascii="Times New Roman" w:hAnsi="Times New Roman" w:cs="宋体"/>
                <w:b/>
                <w:bCs/>
                <w:color w:val="000000" w:themeColor="text1"/>
                <w:sz w:val="21"/>
                <w:szCs w:val="21"/>
                <w:highlight w:val="none"/>
                <w:lang w:val="en-US" w:eastAsia="zh-CN"/>
                <w14:textFill>
                  <w14:solidFill>
                    <w14:schemeClr w14:val="tx1"/>
                  </w14:solidFill>
                </w14:textFill>
              </w:rPr>
            </w:pPr>
            <w:r>
              <w:rPr>
                <w:rFonts w:hint="eastAsia" w:ascii="Times New Roman" w:hAnsi="Times New Roman" w:cs="宋体"/>
                <w:b/>
                <w:bCs/>
                <w:color w:val="000000" w:themeColor="text1"/>
                <w:sz w:val="21"/>
                <w:szCs w:val="21"/>
                <w:highlight w:val="none"/>
                <w:lang w:val="en-US" w:eastAsia="zh-CN"/>
                <w14:textFill>
                  <w14:solidFill>
                    <w14:schemeClr w14:val="tx1"/>
                  </w14:solidFill>
                </w14:textFill>
              </w:rPr>
              <w:t>建设内容</w:t>
            </w:r>
          </w:p>
          <w:p w14:paraId="65B8CC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hAnsi="Times New Roman" w:cs="宋体"/>
                <w:b w:val="0"/>
                <w:bCs w:val="0"/>
                <w:color w:val="000000" w:themeColor="text1"/>
                <w:sz w:val="21"/>
                <w:szCs w:val="21"/>
                <w:highlight w:val="none"/>
                <w:lang w:val="en-US" w:eastAsia="zh-CN"/>
                <w14:textFill>
                  <w14:solidFill>
                    <w14:schemeClr w14:val="tx1"/>
                  </w14:solidFill>
                </w14:textFill>
              </w:rPr>
              <w:t>项目主要构建物以及建设内容详见表2-2以及表2-3</w:t>
            </w:r>
          </w:p>
          <w:p w14:paraId="72D5C209">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w:t>
            </w:r>
            <w:r>
              <w:rPr>
                <w:rFonts w:hint="eastAsia" w:cs="宋体"/>
                <w:b/>
                <w:bCs/>
                <w:color w:val="000000" w:themeColor="text1"/>
                <w:spacing w:val="-4"/>
                <w:sz w:val="21"/>
                <w:szCs w:val="21"/>
                <w:highlight w:val="none"/>
                <w:lang w:val="en-US" w:eastAsia="zh-CN"/>
                <w14:textFill>
                  <w14:solidFill>
                    <w14:schemeClr w14:val="tx1"/>
                  </w14:solidFill>
                </w14:textFill>
              </w:rPr>
              <w:t>2</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主体及辅助工程一览表</w:t>
            </w:r>
          </w:p>
          <w:tbl>
            <w:tblPr>
              <w:tblStyle w:val="24"/>
              <w:tblW w:w="4996"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689"/>
              <w:gridCol w:w="1790"/>
              <w:gridCol w:w="1222"/>
              <w:gridCol w:w="1240"/>
              <w:gridCol w:w="1893"/>
              <w:gridCol w:w="1373"/>
            </w:tblGrid>
            <w:tr w14:paraId="50CAA39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vAlign w:val="center"/>
                </w:tcPr>
                <w:p w14:paraId="12ED7AD9">
                  <w:pPr>
                    <w:pStyle w:val="62"/>
                    <w:autoSpaceDE w:val="0"/>
                    <w:autoSpaceDN w:val="0"/>
                    <w:snapToGrid w:val="0"/>
                    <w:jc w:val="center"/>
                    <w:rPr>
                      <w:rFonts w:ascii="Times New Roman" w:hAnsi="Times New Roman" w:eastAsia="宋体"/>
                      <w:b/>
                      <w:snapToGrid w:val="0"/>
                      <w:color w:val="000000" w:themeColor="text1"/>
                      <w:kern w:val="0"/>
                      <w:sz w:val="21"/>
                      <w:szCs w:val="21"/>
                      <w:highlight w:val="none"/>
                      <w14:textFill>
                        <w14:solidFill>
                          <w14:schemeClr w14:val="tx1"/>
                        </w14:solidFill>
                      </w14:textFill>
                    </w:rPr>
                  </w:pPr>
                  <w:r>
                    <w:rPr>
                      <w:rFonts w:ascii="Times New Roman" w:hAnsi="Times New Roman" w:eastAsia="宋体"/>
                      <w:b/>
                      <w:snapToGrid w:val="0"/>
                      <w:color w:val="000000" w:themeColor="text1"/>
                      <w:kern w:val="0"/>
                      <w:sz w:val="21"/>
                      <w:szCs w:val="21"/>
                      <w:highlight w:val="none"/>
                      <w14:textFill>
                        <w14:solidFill>
                          <w14:schemeClr w14:val="tx1"/>
                        </w14:solidFill>
                      </w14:textFill>
                    </w:rPr>
                    <w:t>序号</w:t>
                  </w:r>
                </w:p>
              </w:tc>
              <w:tc>
                <w:tcPr>
                  <w:tcW w:w="1090" w:type="pct"/>
                  <w:tcBorders>
                    <w:tl2br w:val="nil"/>
                    <w:tr2bl w:val="nil"/>
                  </w:tcBorders>
                  <w:vAlign w:val="center"/>
                </w:tcPr>
                <w:p w14:paraId="149ABFC1">
                  <w:pPr>
                    <w:pStyle w:val="62"/>
                    <w:autoSpaceDE w:val="0"/>
                    <w:autoSpaceDN w:val="0"/>
                    <w:snapToGrid w:val="0"/>
                    <w:jc w:val="center"/>
                    <w:rPr>
                      <w:rFonts w:ascii="Times New Roman" w:hAnsi="Times New Roman" w:eastAsia="宋体"/>
                      <w:b/>
                      <w:snapToGrid w:val="0"/>
                      <w:color w:val="000000" w:themeColor="text1"/>
                      <w:kern w:val="0"/>
                      <w:sz w:val="21"/>
                      <w:szCs w:val="21"/>
                      <w:highlight w:val="none"/>
                      <w14:textFill>
                        <w14:solidFill>
                          <w14:schemeClr w14:val="tx1"/>
                        </w14:solidFill>
                      </w14:textFill>
                    </w:rPr>
                  </w:pPr>
                  <w:r>
                    <w:rPr>
                      <w:rFonts w:ascii="Times New Roman" w:hAnsi="Times New Roman" w:eastAsia="宋体"/>
                      <w:b/>
                      <w:snapToGrid w:val="0"/>
                      <w:color w:val="000000" w:themeColor="text1"/>
                      <w:kern w:val="0"/>
                      <w:sz w:val="21"/>
                      <w:szCs w:val="21"/>
                      <w:highlight w:val="none"/>
                      <w14:textFill>
                        <w14:solidFill>
                          <w14:schemeClr w14:val="tx1"/>
                        </w14:solidFill>
                      </w14:textFill>
                    </w:rPr>
                    <w:t>主要建、构筑物名称</w:t>
                  </w:r>
                </w:p>
              </w:tc>
              <w:tc>
                <w:tcPr>
                  <w:tcW w:w="744" w:type="pct"/>
                  <w:tcBorders>
                    <w:tl2br w:val="nil"/>
                    <w:tr2bl w:val="nil"/>
                  </w:tcBorders>
                  <w:vAlign w:val="center"/>
                </w:tcPr>
                <w:p w14:paraId="412D4ECF">
                  <w:pPr>
                    <w:pStyle w:val="62"/>
                    <w:autoSpaceDE w:val="0"/>
                    <w:autoSpaceDN w:val="0"/>
                    <w:snapToGrid w:val="0"/>
                    <w:jc w:val="center"/>
                    <w:rPr>
                      <w:rFonts w:hint="default" w:ascii="Times New Roman" w:hAnsi="Times New Roman" w:eastAsia="宋体"/>
                      <w:b/>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b/>
                      <w:snapToGrid w:val="0"/>
                      <w:color w:val="000000" w:themeColor="text1"/>
                      <w:kern w:val="0"/>
                      <w:sz w:val="21"/>
                      <w:szCs w:val="21"/>
                      <w:highlight w:val="none"/>
                      <w:lang w:val="en-US" w:eastAsia="zh-CN"/>
                      <w14:textFill>
                        <w14:solidFill>
                          <w14:schemeClr w14:val="tx1"/>
                        </w14:solidFill>
                      </w14:textFill>
                    </w:rPr>
                    <w:t>扩建前</w:t>
                  </w:r>
                </w:p>
              </w:tc>
              <w:tc>
                <w:tcPr>
                  <w:tcW w:w="755" w:type="pct"/>
                  <w:tcBorders>
                    <w:tl2br w:val="nil"/>
                    <w:tr2bl w:val="nil"/>
                  </w:tcBorders>
                  <w:vAlign w:val="center"/>
                </w:tcPr>
                <w:p w14:paraId="41C9AFBA">
                  <w:pPr>
                    <w:pStyle w:val="62"/>
                    <w:autoSpaceDE w:val="0"/>
                    <w:autoSpaceDN w:val="0"/>
                    <w:snapToGrid w:val="0"/>
                    <w:jc w:val="center"/>
                    <w:rPr>
                      <w:rFonts w:hint="default" w:ascii="Times New Roman" w:hAnsi="Times New Roman" w:eastAsia="宋体"/>
                      <w:b/>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b/>
                      <w:snapToGrid w:val="0"/>
                      <w:color w:val="000000" w:themeColor="text1"/>
                      <w:kern w:val="0"/>
                      <w:sz w:val="21"/>
                      <w:szCs w:val="21"/>
                      <w:highlight w:val="none"/>
                      <w:lang w:val="en-US" w:eastAsia="zh-CN"/>
                      <w14:textFill>
                        <w14:solidFill>
                          <w14:schemeClr w14:val="tx1"/>
                        </w14:solidFill>
                      </w14:textFill>
                    </w:rPr>
                    <w:t>扩建后</w:t>
                  </w:r>
                </w:p>
              </w:tc>
              <w:tc>
                <w:tcPr>
                  <w:tcW w:w="1153" w:type="pct"/>
                  <w:tcBorders>
                    <w:tl2br w:val="nil"/>
                    <w:tr2bl w:val="nil"/>
                  </w:tcBorders>
                  <w:vAlign w:val="center"/>
                </w:tcPr>
                <w:p w14:paraId="0E72B6FE">
                  <w:pPr>
                    <w:pStyle w:val="62"/>
                    <w:autoSpaceDE w:val="0"/>
                    <w:autoSpaceDN w:val="0"/>
                    <w:snapToGrid w:val="0"/>
                    <w:jc w:val="center"/>
                    <w:rPr>
                      <w:rFonts w:ascii="Times New Roman" w:hAnsi="Times New Roman" w:eastAsia="宋体"/>
                      <w:b/>
                      <w:snapToGrid w:val="0"/>
                      <w:color w:val="000000" w:themeColor="text1"/>
                      <w:kern w:val="0"/>
                      <w:sz w:val="21"/>
                      <w:szCs w:val="21"/>
                      <w:highlight w:val="none"/>
                      <w14:textFill>
                        <w14:solidFill>
                          <w14:schemeClr w14:val="tx1"/>
                        </w14:solidFill>
                      </w14:textFill>
                    </w:rPr>
                  </w:pPr>
                  <w:r>
                    <w:rPr>
                      <w:rFonts w:ascii="Times New Roman" w:hAnsi="Times New Roman" w:eastAsia="宋体"/>
                      <w:b/>
                      <w:snapToGrid w:val="0"/>
                      <w:color w:val="000000" w:themeColor="text1"/>
                      <w:kern w:val="0"/>
                      <w:sz w:val="21"/>
                      <w:szCs w:val="21"/>
                      <w:highlight w:val="none"/>
                      <w14:textFill>
                        <w14:solidFill>
                          <w14:schemeClr w14:val="tx1"/>
                        </w14:solidFill>
                      </w14:textFill>
                    </w:rPr>
                    <w:t>备注</w:t>
                  </w:r>
                </w:p>
              </w:tc>
              <w:tc>
                <w:tcPr>
                  <w:tcW w:w="836" w:type="pct"/>
                  <w:tcBorders>
                    <w:tl2br w:val="nil"/>
                    <w:tr2bl w:val="nil"/>
                  </w:tcBorders>
                  <w:vAlign w:val="center"/>
                </w:tcPr>
                <w:p w14:paraId="74DD320A">
                  <w:pPr>
                    <w:pStyle w:val="62"/>
                    <w:autoSpaceDE w:val="0"/>
                    <w:autoSpaceDN w:val="0"/>
                    <w:snapToGrid w:val="0"/>
                    <w:jc w:val="center"/>
                    <w:rPr>
                      <w:rFonts w:ascii="Times New Roman" w:hAnsi="Times New Roman" w:eastAsia="宋体"/>
                      <w:b/>
                      <w:snapToGrid w:val="0"/>
                      <w:color w:val="000000" w:themeColor="text1"/>
                      <w:kern w:val="0"/>
                      <w:sz w:val="21"/>
                      <w:szCs w:val="21"/>
                      <w:highlight w:val="none"/>
                      <w14:textFill>
                        <w14:solidFill>
                          <w14:schemeClr w14:val="tx1"/>
                        </w14:solidFill>
                      </w14:textFill>
                    </w:rPr>
                  </w:pPr>
                  <w:r>
                    <w:rPr>
                      <w:rFonts w:hint="eastAsia" w:ascii="Times New Roman" w:hAnsi="Times New Roman" w:eastAsia="宋体"/>
                      <w:b/>
                      <w:snapToGrid w:val="0"/>
                      <w:color w:val="000000" w:themeColor="text1"/>
                      <w:kern w:val="0"/>
                      <w:sz w:val="21"/>
                      <w:szCs w:val="21"/>
                      <w:highlight w:val="none"/>
                      <w14:textFill>
                        <w14:solidFill>
                          <w14:schemeClr w14:val="tx1"/>
                        </w14:solidFill>
                      </w14:textFill>
                    </w:rPr>
                    <w:t>建设情况</w:t>
                  </w:r>
                </w:p>
              </w:tc>
            </w:tr>
            <w:tr w14:paraId="3BD11CC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vAlign w:val="center"/>
                </w:tcPr>
                <w:p w14:paraId="1CE042B5">
                  <w:pPr>
                    <w:pStyle w:val="62"/>
                    <w:autoSpaceDE w:val="0"/>
                    <w:autoSpaceDN w:val="0"/>
                    <w:snapToGrid w:val="0"/>
                    <w:jc w:val="center"/>
                    <w:rPr>
                      <w:rFonts w:ascii="Times New Roman" w:hAnsi="Times New Roman" w:eastAsia="宋体"/>
                      <w:snapToGrid w:val="0"/>
                      <w:color w:val="000000" w:themeColor="text1"/>
                      <w:kern w:val="0"/>
                      <w:sz w:val="21"/>
                      <w:szCs w:val="21"/>
                      <w:highlight w:val="none"/>
                      <w14:textFill>
                        <w14:solidFill>
                          <w14:schemeClr w14:val="tx1"/>
                        </w14:solidFill>
                      </w14:textFill>
                    </w:rPr>
                  </w:pPr>
                  <w:r>
                    <w:rPr>
                      <w:rFonts w:ascii="Times New Roman" w:hAnsi="Times New Roman" w:eastAsia="宋体"/>
                      <w:snapToGrid w:val="0"/>
                      <w:color w:val="000000" w:themeColor="text1"/>
                      <w:kern w:val="0"/>
                      <w:sz w:val="21"/>
                      <w:szCs w:val="21"/>
                      <w:highlight w:val="none"/>
                      <w14:textFill>
                        <w14:solidFill>
                          <w14:schemeClr w14:val="tx1"/>
                        </w14:solidFill>
                      </w14:textFill>
                    </w:rPr>
                    <w:t>1</w:t>
                  </w:r>
                </w:p>
              </w:tc>
              <w:tc>
                <w:tcPr>
                  <w:tcW w:w="1090" w:type="pct"/>
                  <w:tcBorders>
                    <w:tl2br w:val="nil"/>
                    <w:tr2bl w:val="nil"/>
                  </w:tcBorders>
                  <w:vAlign w:val="center"/>
                </w:tcPr>
                <w:p w14:paraId="2E9A85DF">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屠宰车间</w:t>
                  </w:r>
                </w:p>
              </w:tc>
              <w:tc>
                <w:tcPr>
                  <w:tcW w:w="744" w:type="pct"/>
                  <w:tcBorders>
                    <w:tl2br w:val="nil"/>
                    <w:tr2bl w:val="nil"/>
                  </w:tcBorders>
                  <w:vAlign w:val="center"/>
                </w:tcPr>
                <w:p w14:paraId="58FE4FDD">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vAlign w:val="center"/>
                </w:tcPr>
                <w:p w14:paraId="1CA98F63">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300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234077E6">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屠宰，本次扩建250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6" w:type="pct"/>
                  <w:tcBorders>
                    <w:tl2br w:val="nil"/>
                    <w:tr2bl w:val="nil"/>
                  </w:tcBorders>
                  <w:vAlign w:val="center"/>
                </w:tcPr>
                <w:p w14:paraId="4CCEFFB2">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r w14:paraId="707C88E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69F01949">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w:t>
                  </w:r>
                </w:p>
              </w:tc>
              <w:tc>
                <w:tcPr>
                  <w:tcW w:w="1090" w:type="pct"/>
                  <w:tcBorders>
                    <w:tl2br w:val="nil"/>
                    <w:tr2bl w:val="nil"/>
                  </w:tcBorders>
                  <w:shd w:val="clear" w:color="auto" w:fill="auto"/>
                  <w:vAlign w:val="center"/>
                </w:tcPr>
                <w:p w14:paraId="1AF6D004">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急宰间</w:t>
                  </w:r>
                </w:p>
              </w:tc>
              <w:tc>
                <w:tcPr>
                  <w:tcW w:w="744" w:type="pct"/>
                  <w:tcBorders>
                    <w:tl2br w:val="nil"/>
                    <w:tr2bl w:val="nil"/>
                  </w:tcBorders>
                  <w:shd w:val="clear" w:color="auto" w:fill="auto"/>
                  <w:vAlign w:val="center"/>
                </w:tcPr>
                <w:p w14:paraId="30BF2499">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365F81A2">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100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shd w:val="clear" w:color="auto" w:fill="auto"/>
                  <w:vAlign w:val="center"/>
                </w:tcPr>
                <w:p w14:paraId="00F01588">
                  <w:pPr>
                    <w:pStyle w:val="62"/>
                    <w:autoSpaceDE w:val="0"/>
                    <w:autoSpaceDN w:val="0"/>
                    <w:snapToGrid w:val="0"/>
                    <w:jc w:val="center"/>
                    <w:rPr>
                      <w:rFonts w:hint="eastAsia" w:ascii="Times New Roman" w:hAnsi="Times New Roman" w:eastAsia="宋体" w:cs="Times New Roman"/>
                      <w:smallCaps w:val="0"/>
                      <w:snapToGrid w:val="0"/>
                      <w:color w:val="000000" w:themeColor="text1"/>
                      <w:kern w:val="0"/>
                      <w:sz w:val="21"/>
                      <w:szCs w:val="21"/>
                      <w:lang w:val="en-US" w:eastAsia="zh-CN" w:bidi="ar-SA"/>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屠宰，本次扩建80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6" w:type="pct"/>
                  <w:tcBorders>
                    <w:tl2br w:val="nil"/>
                    <w:tr2bl w:val="nil"/>
                  </w:tcBorders>
                  <w:shd w:val="clear" w:color="auto" w:fill="auto"/>
                  <w:vAlign w:val="center"/>
                </w:tcPr>
                <w:p w14:paraId="3BC049B6">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r w14:paraId="51A1CA4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315D5234">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3</w:t>
                  </w:r>
                </w:p>
              </w:tc>
              <w:tc>
                <w:tcPr>
                  <w:tcW w:w="1090" w:type="pct"/>
                  <w:tcBorders>
                    <w:tl2br w:val="nil"/>
                    <w:tr2bl w:val="nil"/>
                  </w:tcBorders>
                  <w:vAlign w:val="center"/>
                </w:tcPr>
                <w:p w14:paraId="01C3235A">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 xml:space="preserve"> 副产品加工区</w:t>
                  </w:r>
                </w:p>
              </w:tc>
              <w:tc>
                <w:tcPr>
                  <w:tcW w:w="744" w:type="pct"/>
                  <w:tcBorders>
                    <w:tl2br w:val="nil"/>
                    <w:tr2bl w:val="nil"/>
                  </w:tcBorders>
                  <w:vAlign w:val="center"/>
                </w:tcPr>
                <w:p w14:paraId="383CDBA3">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vAlign w:val="center"/>
                </w:tcPr>
                <w:p w14:paraId="522A263D">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7616F605">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副产品加工，本次扩建200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6" w:type="pct"/>
                  <w:tcBorders>
                    <w:tl2br w:val="nil"/>
                    <w:tr2bl w:val="nil"/>
                  </w:tcBorders>
                  <w:vAlign w:val="center"/>
                </w:tcPr>
                <w:p w14:paraId="6C7CA90C">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r w14:paraId="3BB4886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30BF5E75">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4</w:t>
                  </w:r>
                </w:p>
              </w:tc>
              <w:tc>
                <w:tcPr>
                  <w:tcW w:w="1090" w:type="pct"/>
                  <w:tcBorders>
                    <w:tl2br w:val="nil"/>
                    <w:tr2bl w:val="nil"/>
                  </w:tcBorders>
                  <w:vAlign w:val="center"/>
                </w:tcPr>
                <w:p w14:paraId="2412546A">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圈养区域1</w:t>
                  </w:r>
                </w:p>
              </w:tc>
              <w:tc>
                <w:tcPr>
                  <w:tcW w:w="744" w:type="pct"/>
                  <w:tcBorders>
                    <w:tl2br w:val="nil"/>
                    <w:tr2bl w:val="nil"/>
                  </w:tcBorders>
                  <w:vAlign w:val="center"/>
                </w:tcPr>
                <w:p w14:paraId="1EAE741B">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2306FBC7">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293D880D">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临时存栏肉牛，待宰；本次扩建200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6" w:type="pct"/>
                  <w:tcBorders>
                    <w:tl2br w:val="nil"/>
                    <w:tr2bl w:val="nil"/>
                  </w:tcBorders>
                  <w:shd w:val="clear" w:color="auto" w:fill="auto"/>
                  <w:vAlign w:val="center"/>
                </w:tcPr>
                <w:p w14:paraId="4945E545">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val="en-US" w:eastAsia="zh-CN" w:bidi="ar-SA"/>
                      <w14:textFill>
                        <w14:solidFill>
                          <w14:schemeClr w14:val="tx1"/>
                        </w14:solidFill>
                      </w14:textFill>
                    </w:rPr>
                    <w:t>已建、依托现有</w:t>
                  </w:r>
                </w:p>
              </w:tc>
            </w:tr>
            <w:tr w14:paraId="3607779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349778F4">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w:t>
                  </w:r>
                </w:p>
              </w:tc>
              <w:tc>
                <w:tcPr>
                  <w:tcW w:w="1090" w:type="pct"/>
                  <w:tcBorders>
                    <w:tl2br w:val="nil"/>
                    <w:tr2bl w:val="nil"/>
                  </w:tcBorders>
                  <w:vAlign w:val="center"/>
                </w:tcPr>
                <w:p w14:paraId="59F9BBF8">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圈养区域2</w:t>
                  </w:r>
                </w:p>
              </w:tc>
              <w:tc>
                <w:tcPr>
                  <w:tcW w:w="744" w:type="pct"/>
                  <w:tcBorders>
                    <w:tl2br w:val="nil"/>
                    <w:tr2bl w:val="nil"/>
                  </w:tcBorders>
                  <w:vAlign w:val="center"/>
                </w:tcPr>
                <w:p w14:paraId="3A900DDE">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150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16D97FA0">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600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18F158B7">
                  <w:pPr>
                    <w:pStyle w:val="62"/>
                    <w:autoSpaceDE w:val="0"/>
                    <w:autoSpaceDN w:val="0"/>
                    <w:snapToGrid w:val="0"/>
                    <w:jc w:val="cente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临时存栏肉牛，待宰</w:t>
                  </w:r>
                </w:p>
              </w:tc>
              <w:tc>
                <w:tcPr>
                  <w:tcW w:w="836" w:type="pct"/>
                  <w:tcBorders>
                    <w:tl2br w:val="nil"/>
                    <w:tr2bl w:val="nil"/>
                  </w:tcBorders>
                  <w:shd w:val="clear" w:color="auto" w:fill="auto"/>
                  <w:vAlign w:val="center"/>
                </w:tcPr>
                <w:p w14:paraId="03E378BE">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r w14:paraId="3B7C817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70116BBB">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6</w:t>
                  </w:r>
                </w:p>
              </w:tc>
              <w:tc>
                <w:tcPr>
                  <w:tcW w:w="1090" w:type="pct"/>
                  <w:tcBorders>
                    <w:tl2br w:val="nil"/>
                    <w:tr2bl w:val="nil"/>
                  </w:tcBorders>
                  <w:vAlign w:val="center"/>
                </w:tcPr>
                <w:p w14:paraId="6694EBF6">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冷冻室</w:t>
                  </w:r>
                </w:p>
              </w:tc>
              <w:tc>
                <w:tcPr>
                  <w:tcW w:w="744" w:type="pct"/>
                  <w:tcBorders>
                    <w:tl2br w:val="nil"/>
                    <w:tr2bl w:val="nil"/>
                  </w:tcBorders>
                  <w:vAlign w:val="center"/>
                </w:tcPr>
                <w:p w14:paraId="51FBD12F">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10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60974E02">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100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282EE4C2">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本次扩建80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6" w:type="pct"/>
                  <w:tcBorders>
                    <w:tl2br w:val="nil"/>
                    <w:tr2bl w:val="nil"/>
                  </w:tcBorders>
                  <w:shd w:val="clear" w:color="auto" w:fill="auto"/>
                  <w:vAlign w:val="center"/>
                </w:tcPr>
                <w:p w14:paraId="7D63AC8D">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r w14:paraId="5EF8F8C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32A52352">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7</w:t>
                  </w:r>
                </w:p>
              </w:tc>
              <w:tc>
                <w:tcPr>
                  <w:tcW w:w="1090" w:type="pct"/>
                  <w:tcBorders>
                    <w:tl2br w:val="nil"/>
                    <w:tr2bl w:val="nil"/>
                  </w:tcBorders>
                  <w:vAlign w:val="center"/>
                </w:tcPr>
                <w:p w14:paraId="7DD4CE81">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化验室</w:t>
                  </w:r>
                </w:p>
              </w:tc>
              <w:tc>
                <w:tcPr>
                  <w:tcW w:w="744" w:type="pct"/>
                  <w:tcBorders>
                    <w:tl2br w:val="nil"/>
                    <w:tr2bl w:val="nil"/>
                  </w:tcBorders>
                  <w:vAlign w:val="center"/>
                </w:tcPr>
                <w:p w14:paraId="35014B8F">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47935748">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194B4E0C">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w:t>
                  </w:r>
                </w:p>
              </w:tc>
              <w:tc>
                <w:tcPr>
                  <w:tcW w:w="836" w:type="pct"/>
                  <w:tcBorders>
                    <w:tl2br w:val="nil"/>
                    <w:tr2bl w:val="nil"/>
                  </w:tcBorders>
                  <w:shd w:val="clear" w:color="auto" w:fill="auto"/>
                  <w:vAlign w:val="center"/>
                </w:tcPr>
                <w:p w14:paraId="7FB69BF0">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已建、依托现有</w:t>
                  </w:r>
                </w:p>
              </w:tc>
            </w:tr>
            <w:tr w14:paraId="31C028F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1B912104">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w:t>
                  </w:r>
                </w:p>
              </w:tc>
              <w:tc>
                <w:tcPr>
                  <w:tcW w:w="1090" w:type="pct"/>
                  <w:tcBorders>
                    <w:tl2br w:val="nil"/>
                    <w:tr2bl w:val="nil"/>
                  </w:tcBorders>
                  <w:vAlign w:val="center"/>
                </w:tcPr>
                <w:p w14:paraId="766EC1A6">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品鉴室</w:t>
                  </w:r>
                </w:p>
              </w:tc>
              <w:tc>
                <w:tcPr>
                  <w:tcW w:w="744" w:type="pct"/>
                  <w:tcBorders>
                    <w:tl2br w:val="nil"/>
                    <w:tr2bl w:val="nil"/>
                  </w:tcBorders>
                  <w:vAlign w:val="center"/>
                </w:tcPr>
                <w:p w14:paraId="7A0B5760">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70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74CBDEA6">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70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5008D9F5">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w:t>
                  </w:r>
                </w:p>
              </w:tc>
              <w:tc>
                <w:tcPr>
                  <w:tcW w:w="836" w:type="pct"/>
                  <w:tcBorders>
                    <w:tl2br w:val="nil"/>
                    <w:tr2bl w:val="nil"/>
                  </w:tcBorders>
                  <w:shd w:val="clear" w:color="auto" w:fill="auto"/>
                  <w:vAlign w:val="center"/>
                </w:tcPr>
                <w:p w14:paraId="76722468">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ascii="Times New Roman" w:hAnsi="Times New Roman" w:eastAsia="宋体"/>
                      <w:snapToGrid w:val="0"/>
                      <w:color w:val="000000" w:themeColor="text1"/>
                      <w:kern w:val="0"/>
                      <w:sz w:val="21"/>
                      <w:szCs w:val="21"/>
                      <w:highlight w:val="none"/>
                      <w14:textFill>
                        <w14:solidFill>
                          <w14:schemeClr w14:val="tx1"/>
                        </w14:solidFill>
                      </w14:textFill>
                    </w:rPr>
                    <w:t>已建</w:t>
                  </w:r>
                  <w:r>
                    <w:rPr>
                      <w:rFonts w:hint="eastAsia" w:ascii="Times New Roman" w:hAnsi="Times New Roman"/>
                      <w:snapToGrid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依托现有</w:t>
                  </w:r>
                </w:p>
              </w:tc>
            </w:tr>
            <w:tr w14:paraId="70ADBDA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shd w:val="clear" w:color="auto" w:fill="auto"/>
                  <w:vAlign w:val="center"/>
                </w:tcPr>
                <w:p w14:paraId="08B255B0">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9</w:t>
                  </w:r>
                </w:p>
              </w:tc>
              <w:tc>
                <w:tcPr>
                  <w:tcW w:w="1090" w:type="pct"/>
                  <w:tcBorders>
                    <w:tl2br w:val="nil"/>
                    <w:tr2bl w:val="nil"/>
                  </w:tcBorders>
                  <w:vAlign w:val="center"/>
                </w:tcPr>
                <w:p w14:paraId="0B28EC51">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检疫室</w:t>
                  </w:r>
                </w:p>
              </w:tc>
              <w:tc>
                <w:tcPr>
                  <w:tcW w:w="744" w:type="pct"/>
                  <w:tcBorders>
                    <w:tl2br w:val="nil"/>
                    <w:tr2bl w:val="nil"/>
                  </w:tcBorders>
                  <w:vAlign w:val="center"/>
                </w:tcPr>
                <w:p w14:paraId="04D15750">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70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7A2B68E9">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70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07B51F87">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w:t>
                  </w:r>
                </w:p>
              </w:tc>
              <w:tc>
                <w:tcPr>
                  <w:tcW w:w="836" w:type="pct"/>
                  <w:tcBorders>
                    <w:tl2br w:val="nil"/>
                    <w:tr2bl w:val="nil"/>
                  </w:tcBorders>
                  <w:shd w:val="clear" w:color="auto" w:fill="auto"/>
                  <w:vAlign w:val="center"/>
                </w:tcPr>
                <w:p w14:paraId="06A6A13B">
                  <w:pPr>
                    <w:pStyle w:val="62"/>
                    <w:autoSpaceDE w:val="0"/>
                    <w:autoSpaceDN w:val="0"/>
                    <w:snapToGrid w:val="0"/>
                    <w:jc w:val="center"/>
                    <w:rPr>
                      <w:rFonts w:hint="default"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已建、依托现有</w:t>
                  </w:r>
                </w:p>
              </w:tc>
            </w:tr>
            <w:tr w14:paraId="7A07B91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420" w:type="pct"/>
                  <w:tcBorders>
                    <w:tl2br w:val="nil"/>
                    <w:tr2bl w:val="nil"/>
                  </w:tcBorders>
                  <w:vAlign w:val="center"/>
                </w:tcPr>
                <w:p w14:paraId="16370E07">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10</w:t>
                  </w:r>
                </w:p>
              </w:tc>
              <w:tc>
                <w:tcPr>
                  <w:tcW w:w="1090" w:type="pct"/>
                  <w:tcBorders>
                    <w:tl2br w:val="nil"/>
                    <w:tr2bl w:val="nil"/>
                  </w:tcBorders>
                  <w:vAlign w:val="center"/>
                </w:tcPr>
                <w:p w14:paraId="42FA3782">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隔离间</w:t>
                  </w:r>
                </w:p>
              </w:tc>
              <w:tc>
                <w:tcPr>
                  <w:tcW w:w="744" w:type="pct"/>
                  <w:tcBorders>
                    <w:tl2br w:val="nil"/>
                    <w:tr2bl w:val="nil"/>
                  </w:tcBorders>
                  <w:vAlign w:val="center"/>
                </w:tcPr>
                <w:p w14:paraId="346047FC">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755" w:type="pct"/>
                  <w:tcBorders>
                    <w:tl2br w:val="nil"/>
                    <w:tr2bl w:val="nil"/>
                  </w:tcBorders>
                  <w:shd w:val="clear" w:color="auto" w:fill="auto"/>
                  <w:vAlign w:val="center"/>
                </w:tcPr>
                <w:p w14:paraId="282A153A">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200</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1153" w:type="pct"/>
                  <w:tcBorders>
                    <w:tl2br w:val="nil"/>
                    <w:tr2bl w:val="nil"/>
                  </w:tcBorders>
                  <w:vAlign w:val="center"/>
                </w:tcPr>
                <w:p w14:paraId="172C2BC2">
                  <w:pPr>
                    <w:pStyle w:val="62"/>
                    <w:autoSpaceDE w:val="0"/>
                    <w:autoSpaceDN w:val="0"/>
                    <w:snapToGrid w:val="0"/>
                    <w:jc w:val="center"/>
                    <w:rPr>
                      <w:rFonts w:hint="default" w:ascii="Times New Roman" w:hAnsi="Times New Roman" w:cs="Times New Roman"/>
                      <w:smallCaps w:val="0"/>
                      <w:snapToGrid w:val="0"/>
                      <w:color w:val="000000" w:themeColor="text1"/>
                      <w:kern w:val="0"/>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kern w:val="0"/>
                      <w:sz w:val="21"/>
                      <w:szCs w:val="21"/>
                      <w:lang w:val="en-US" w:eastAsia="zh-CN"/>
                      <w14:textFill>
                        <w14:solidFill>
                          <w14:schemeClr w14:val="tx1"/>
                        </w14:solidFill>
                      </w14:textFill>
                    </w:rPr>
                    <w:t>/</w:t>
                  </w:r>
                </w:p>
              </w:tc>
              <w:tc>
                <w:tcPr>
                  <w:tcW w:w="836" w:type="pct"/>
                  <w:tcBorders>
                    <w:tl2br w:val="nil"/>
                    <w:tr2bl w:val="nil"/>
                  </w:tcBorders>
                  <w:shd w:val="clear" w:color="auto" w:fill="auto"/>
                  <w:vAlign w:val="center"/>
                </w:tcPr>
                <w:p w14:paraId="3B52F07E">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扩建</w:t>
                  </w:r>
                </w:p>
              </w:tc>
            </w:tr>
          </w:tbl>
          <w:p w14:paraId="30E1601D">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w:t>
            </w:r>
            <w:r>
              <w:rPr>
                <w:rFonts w:hint="eastAsia" w:cs="宋体"/>
                <w:b/>
                <w:bCs/>
                <w:color w:val="000000" w:themeColor="text1"/>
                <w:spacing w:val="-4"/>
                <w:sz w:val="21"/>
                <w:szCs w:val="21"/>
                <w:highlight w:val="none"/>
                <w:lang w:val="en-US" w:eastAsia="zh-CN"/>
                <w14:textFill>
                  <w14:solidFill>
                    <w14:schemeClr w14:val="tx1"/>
                  </w14:solidFill>
                </w14:textFill>
              </w:rPr>
              <w:t>-3</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其他</w:t>
            </w:r>
            <w:r>
              <w:rPr>
                <w:rFonts w:ascii="Times New Roman" w:hAnsi="Times New Roman" w:eastAsia="宋体" w:cs="宋体"/>
                <w:b/>
                <w:bCs/>
                <w:color w:val="000000" w:themeColor="text1"/>
                <w:spacing w:val="-4"/>
                <w:sz w:val="21"/>
                <w:szCs w:val="21"/>
                <w:highlight w:val="none"/>
                <w14:textFill>
                  <w14:solidFill>
                    <w14:schemeClr w14:val="tx1"/>
                  </w14:solidFill>
                </w14:textFill>
              </w:rPr>
              <w:t>工程一览表</w:t>
            </w:r>
          </w:p>
          <w:tbl>
            <w:tblPr>
              <w:tblStyle w:val="24"/>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482"/>
              <w:gridCol w:w="1015"/>
              <w:gridCol w:w="804"/>
              <w:gridCol w:w="1739"/>
              <w:gridCol w:w="1920"/>
              <w:gridCol w:w="1364"/>
              <w:gridCol w:w="887"/>
            </w:tblGrid>
            <w:tr w14:paraId="4D483CF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restart"/>
                  <w:vAlign w:val="center"/>
                </w:tcPr>
                <w:p w14:paraId="38621315">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t>类别</w:t>
                  </w:r>
                </w:p>
              </w:tc>
              <w:tc>
                <w:tcPr>
                  <w:tcW w:w="1107" w:type="pct"/>
                  <w:gridSpan w:val="2"/>
                  <w:vMerge w:val="restart"/>
                  <w:vAlign w:val="center"/>
                </w:tcPr>
                <w:p w14:paraId="3F840106">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t>建设名称</w:t>
                  </w:r>
                </w:p>
              </w:tc>
              <w:tc>
                <w:tcPr>
                  <w:tcW w:w="3058" w:type="pct"/>
                  <w:gridSpan w:val="3"/>
                  <w:vAlign w:val="center"/>
                </w:tcPr>
                <w:p w14:paraId="7A35C462">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t>设计能力</w:t>
                  </w:r>
                </w:p>
              </w:tc>
              <w:tc>
                <w:tcPr>
                  <w:tcW w:w="540" w:type="pct"/>
                  <w:vMerge w:val="restart"/>
                  <w:vAlign w:val="center"/>
                </w:tcPr>
                <w:p w14:paraId="1858B0BE">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t>备注</w:t>
                  </w:r>
                </w:p>
              </w:tc>
            </w:tr>
            <w:tr w14:paraId="4E869F0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49AAE40F">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p>
              </w:tc>
              <w:tc>
                <w:tcPr>
                  <w:tcW w:w="1107" w:type="pct"/>
                  <w:gridSpan w:val="2"/>
                  <w:vMerge w:val="continue"/>
                  <w:vAlign w:val="center"/>
                </w:tcPr>
                <w:p w14:paraId="3A03320E">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p>
              </w:tc>
              <w:tc>
                <w:tcPr>
                  <w:tcW w:w="1058" w:type="pct"/>
                  <w:vAlign w:val="center"/>
                </w:tcPr>
                <w:p w14:paraId="55BF0BA9">
                  <w:pPr>
                    <w:pStyle w:val="62"/>
                    <w:autoSpaceDE w:val="0"/>
                    <w:autoSpaceDN w:val="0"/>
                    <w:snapToGrid w:val="0"/>
                    <w:jc w:val="center"/>
                    <w:rPr>
                      <w:rFonts w:hint="eastAsia" w:ascii="Times New Roman" w:hAnsi="Times New Roman" w:eastAsia="宋体" w:cs="Times New Roman"/>
                      <w:b/>
                      <w:bCs/>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b/>
                      <w:bCs/>
                      <w:smallCaps w:val="0"/>
                      <w:snapToGrid w:val="0"/>
                      <w:color w:val="000000" w:themeColor="text1"/>
                      <w:sz w:val="21"/>
                      <w:szCs w:val="21"/>
                      <w:highlight w:val="none"/>
                      <w:lang w:val="en-US" w:eastAsia="zh-CN"/>
                      <w14:textFill>
                        <w14:solidFill>
                          <w14:schemeClr w14:val="tx1"/>
                        </w14:solidFill>
                      </w14:textFill>
                    </w:rPr>
                    <w:t>扩建前</w:t>
                  </w:r>
                </w:p>
              </w:tc>
              <w:tc>
                <w:tcPr>
                  <w:tcW w:w="1169" w:type="pct"/>
                  <w:vAlign w:val="center"/>
                </w:tcPr>
                <w:p w14:paraId="2874B64E">
                  <w:pPr>
                    <w:pStyle w:val="62"/>
                    <w:autoSpaceDE w:val="0"/>
                    <w:autoSpaceDN w:val="0"/>
                    <w:snapToGrid w:val="0"/>
                    <w:jc w:val="center"/>
                    <w:rPr>
                      <w:rFonts w:hint="default" w:ascii="Times New Roman" w:hAnsi="Times New Roman" w:eastAsia="宋体" w:cs="Times New Roman"/>
                      <w:b/>
                      <w:bCs/>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b/>
                      <w:bCs/>
                      <w:smallCaps w:val="0"/>
                      <w:snapToGrid w:val="0"/>
                      <w:color w:val="000000" w:themeColor="text1"/>
                      <w:sz w:val="21"/>
                      <w:szCs w:val="21"/>
                      <w:highlight w:val="none"/>
                      <w:lang w:val="en-US" w:eastAsia="zh-CN"/>
                      <w14:textFill>
                        <w14:solidFill>
                          <w14:schemeClr w14:val="tx1"/>
                        </w14:solidFill>
                      </w14:textFill>
                    </w:rPr>
                    <w:t>扩建后</w:t>
                  </w:r>
                </w:p>
              </w:tc>
              <w:tc>
                <w:tcPr>
                  <w:tcW w:w="830" w:type="pct"/>
                  <w:vAlign w:val="center"/>
                </w:tcPr>
                <w:p w14:paraId="4FE791E5">
                  <w:pPr>
                    <w:pStyle w:val="62"/>
                    <w:autoSpaceDE w:val="0"/>
                    <w:autoSpaceDN w:val="0"/>
                    <w:snapToGrid w:val="0"/>
                    <w:jc w:val="center"/>
                    <w:rPr>
                      <w:rFonts w:hint="eastAsia" w:ascii="Times New Roman" w:hAnsi="Times New Roman" w:eastAsia="宋体" w:cs="Times New Roman"/>
                      <w:b/>
                      <w:bCs/>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b/>
                      <w:bCs/>
                      <w:smallCaps w:val="0"/>
                      <w:snapToGrid w:val="0"/>
                      <w:color w:val="000000" w:themeColor="text1"/>
                      <w:sz w:val="21"/>
                      <w:szCs w:val="21"/>
                      <w:highlight w:val="none"/>
                      <w:lang w:val="en-US" w:eastAsia="zh-CN"/>
                      <w14:textFill>
                        <w14:solidFill>
                          <w14:schemeClr w14:val="tx1"/>
                        </w14:solidFill>
                      </w14:textFill>
                    </w:rPr>
                    <w:t>变化量</w:t>
                  </w:r>
                </w:p>
              </w:tc>
              <w:tc>
                <w:tcPr>
                  <w:tcW w:w="540" w:type="pct"/>
                  <w:vMerge w:val="continue"/>
                  <w:vAlign w:val="center"/>
                </w:tcPr>
                <w:p w14:paraId="549114DE">
                  <w:pPr>
                    <w:pStyle w:val="62"/>
                    <w:autoSpaceDE w:val="0"/>
                    <w:autoSpaceDN w:val="0"/>
                    <w:snapToGrid w:val="0"/>
                    <w:jc w:val="center"/>
                    <w:rPr>
                      <w:rFonts w:ascii="Times New Roman" w:hAnsi="Times New Roman" w:eastAsia="宋体" w:cs="Times New Roman"/>
                      <w:b/>
                      <w:bCs/>
                      <w:smallCaps w:val="0"/>
                      <w:snapToGrid w:val="0"/>
                      <w:color w:val="000000" w:themeColor="text1"/>
                      <w:sz w:val="21"/>
                      <w:szCs w:val="21"/>
                      <w:highlight w:val="none"/>
                      <w14:textFill>
                        <w14:solidFill>
                          <w14:schemeClr w14:val="tx1"/>
                        </w14:solidFill>
                      </w14:textFill>
                    </w:rPr>
                  </w:pPr>
                </w:p>
              </w:tc>
            </w:tr>
            <w:tr w14:paraId="5818518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1" w:hRule="atLeast"/>
                <w:jc w:val="center"/>
              </w:trPr>
              <w:tc>
                <w:tcPr>
                  <w:tcW w:w="293" w:type="pct"/>
                  <w:vMerge w:val="restart"/>
                  <w:vAlign w:val="center"/>
                </w:tcPr>
                <w:p w14:paraId="720704FD">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公用工程</w:t>
                  </w:r>
                </w:p>
              </w:tc>
              <w:tc>
                <w:tcPr>
                  <w:tcW w:w="1107" w:type="pct"/>
                  <w:gridSpan w:val="2"/>
                  <w:vAlign w:val="center"/>
                </w:tcPr>
                <w:p w14:paraId="6A1C0D17">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给水</w:t>
                  </w:r>
                </w:p>
              </w:tc>
              <w:tc>
                <w:tcPr>
                  <w:tcW w:w="1058" w:type="pct"/>
                  <w:vAlign w:val="center"/>
                </w:tcPr>
                <w:p w14:paraId="2E3A15AA">
                  <w:pPr>
                    <w:pStyle w:val="62"/>
                    <w:autoSpaceDE w:val="0"/>
                    <w:autoSpaceDN w:val="0"/>
                    <w:snapToGrid w:val="0"/>
                    <w:jc w:val="center"/>
                    <w:rPr>
                      <w:rFonts w:hint="default" w:ascii="Times New Roman" w:hAnsi="Times New Roman" w:eastAsia="宋体" w:cs="Times New Roman"/>
                      <w:smallCaps w:val="0"/>
                      <w:snapToGrid w:val="0"/>
                      <w:color w:val="0000FF"/>
                      <w:sz w:val="21"/>
                      <w:szCs w:val="21"/>
                      <w:highlight w:val="none"/>
                      <w:lang w:val="en-US" w:eastAsia="zh-CN"/>
                    </w:rPr>
                  </w:pPr>
                  <w:r>
                    <w:rPr>
                      <w:rFonts w:hint="eastAsia" w:ascii="Times New Roman" w:hAnsi="Times New Roman" w:cs="Times New Roman"/>
                      <w:smallCaps w:val="0"/>
                      <w:snapToGrid w:val="0"/>
                      <w:color w:val="0000FF"/>
                      <w:sz w:val="21"/>
                      <w:szCs w:val="21"/>
                      <w:highlight w:val="none"/>
                      <w:lang w:val="en-US" w:eastAsia="zh-CN"/>
                    </w:rPr>
                    <w:t>280</w:t>
                  </w:r>
                  <w:r>
                    <w:rPr>
                      <w:rFonts w:hint="eastAsia" w:ascii="Times New Roman" w:hAnsi="Times New Roman" w:eastAsia="宋体" w:cs="Times New Roman"/>
                      <w:smallCaps w:val="0"/>
                      <w:snapToGrid w:val="0"/>
                      <w:color w:val="0000FF"/>
                      <w:sz w:val="21"/>
                      <w:szCs w:val="21"/>
                      <w:highlight w:val="none"/>
                    </w:rPr>
                    <w:t>t/a</w:t>
                  </w:r>
                </w:p>
              </w:tc>
              <w:tc>
                <w:tcPr>
                  <w:tcW w:w="1169" w:type="pct"/>
                  <w:shd w:val="clear" w:color="auto" w:fill="auto"/>
                  <w:vAlign w:val="center"/>
                </w:tcPr>
                <w:p w14:paraId="7931ED79">
                  <w:pPr>
                    <w:pStyle w:val="62"/>
                    <w:autoSpaceDE w:val="0"/>
                    <w:autoSpaceDN w:val="0"/>
                    <w:snapToGrid w:val="0"/>
                    <w:jc w:val="center"/>
                    <w:rPr>
                      <w:rFonts w:hint="eastAsia" w:ascii="Times New Roman" w:hAnsi="Times New Roman" w:eastAsia="宋体" w:cs="Times New Roman"/>
                      <w:smallCaps w:val="0"/>
                      <w:snapToGrid w:val="0"/>
                      <w:color w:val="0000FF"/>
                      <w:kern w:val="2"/>
                      <w:sz w:val="21"/>
                      <w:szCs w:val="21"/>
                      <w:highlight w:val="none"/>
                      <w:lang w:val="en-US" w:eastAsia="zh-CN" w:bidi="ar-SA"/>
                    </w:rPr>
                  </w:pPr>
                  <w:r>
                    <w:rPr>
                      <w:rFonts w:hint="eastAsia" w:ascii="Times New Roman" w:hAnsi="Times New Roman" w:cs="Times New Roman"/>
                      <w:smallCaps w:val="0"/>
                      <w:snapToGrid w:val="0"/>
                      <w:color w:val="0000FF"/>
                      <w:sz w:val="21"/>
                      <w:szCs w:val="21"/>
                      <w:highlight w:val="none"/>
                      <w:lang w:val="en-US" w:eastAsia="zh-CN"/>
                    </w:rPr>
                    <w:t>10404.8</w:t>
                  </w:r>
                  <w:r>
                    <w:rPr>
                      <w:rFonts w:hint="eastAsia" w:ascii="Times New Roman" w:hAnsi="Times New Roman" w:eastAsia="宋体" w:cs="Times New Roman"/>
                      <w:smallCaps w:val="0"/>
                      <w:snapToGrid w:val="0"/>
                      <w:color w:val="0000FF"/>
                      <w:sz w:val="21"/>
                      <w:szCs w:val="21"/>
                      <w:highlight w:val="none"/>
                    </w:rPr>
                    <w:t>t/a</w:t>
                  </w:r>
                </w:p>
              </w:tc>
              <w:tc>
                <w:tcPr>
                  <w:tcW w:w="830" w:type="pct"/>
                  <w:vAlign w:val="center"/>
                </w:tcPr>
                <w:p w14:paraId="2D1906C4">
                  <w:pPr>
                    <w:pStyle w:val="62"/>
                    <w:autoSpaceDE w:val="0"/>
                    <w:autoSpaceDN w:val="0"/>
                    <w:snapToGrid w:val="0"/>
                    <w:jc w:val="center"/>
                    <w:rPr>
                      <w:rFonts w:hint="default" w:ascii="Times New Roman" w:hAnsi="Times New Roman" w:cs="Times New Roman"/>
                      <w:smallCaps w:val="0"/>
                      <w:snapToGrid w:val="0"/>
                      <w:color w:val="0000FF"/>
                      <w:sz w:val="21"/>
                      <w:szCs w:val="21"/>
                      <w:highlight w:val="none"/>
                      <w:lang w:val="en-US" w:eastAsia="zh-CN"/>
                    </w:rPr>
                  </w:pPr>
                  <w:r>
                    <w:rPr>
                      <w:rFonts w:hint="eastAsia" w:ascii="Times New Roman" w:hAnsi="Times New Roman" w:cs="Times New Roman"/>
                      <w:smallCaps w:val="0"/>
                      <w:snapToGrid w:val="0"/>
                      <w:color w:val="0000FF"/>
                      <w:sz w:val="21"/>
                      <w:szCs w:val="21"/>
                      <w:highlight w:val="none"/>
                      <w:lang w:val="en-US" w:eastAsia="zh-CN"/>
                    </w:rPr>
                    <w:t>+10124.8t/a</w:t>
                  </w:r>
                </w:p>
              </w:tc>
              <w:tc>
                <w:tcPr>
                  <w:tcW w:w="540" w:type="pct"/>
                  <w:vAlign w:val="center"/>
                </w:tcPr>
                <w:p w14:paraId="3C6C3751">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kern w:val="0"/>
                      <w:sz w:val="21"/>
                      <w:szCs w:val="21"/>
                      <w:highlight w:val="none"/>
                      <w14:textFill>
                        <w14:solidFill>
                          <w14:schemeClr w14:val="tx1"/>
                        </w14:solidFill>
                      </w14:textFill>
                    </w:rPr>
                    <w:t>依托</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现有</w:t>
                  </w:r>
                  <w:r>
                    <w:rPr>
                      <w:rFonts w:ascii="Times New Roman" w:hAnsi="Times New Roman" w:eastAsia="宋体"/>
                      <w:smallCaps w:val="0"/>
                      <w:color w:val="000000" w:themeColor="text1"/>
                      <w:kern w:val="0"/>
                      <w:sz w:val="21"/>
                      <w:szCs w:val="21"/>
                      <w:highlight w:val="none"/>
                      <w14:textFill>
                        <w14:solidFill>
                          <w14:schemeClr w14:val="tx1"/>
                        </w14:solidFill>
                      </w14:textFill>
                    </w:rPr>
                    <w:t>给水管网</w:t>
                  </w:r>
                </w:p>
              </w:tc>
            </w:tr>
            <w:tr w14:paraId="255158D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293" w:type="pct"/>
                  <w:vMerge w:val="continue"/>
                  <w:vAlign w:val="center"/>
                </w:tcPr>
                <w:p w14:paraId="3CAB622F">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p>
              </w:tc>
              <w:tc>
                <w:tcPr>
                  <w:tcW w:w="618" w:type="pct"/>
                  <w:vMerge w:val="restart"/>
                  <w:vAlign w:val="center"/>
                </w:tcPr>
                <w:p w14:paraId="6EFF0072">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t>排水</w:t>
                  </w:r>
                </w:p>
              </w:tc>
              <w:tc>
                <w:tcPr>
                  <w:tcW w:w="489" w:type="pct"/>
                  <w:vAlign w:val="center"/>
                </w:tcPr>
                <w:p w14:paraId="5BD8E00D">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雨水</w:t>
                  </w:r>
                </w:p>
              </w:tc>
              <w:tc>
                <w:tcPr>
                  <w:tcW w:w="1058" w:type="pct"/>
                  <w:vAlign w:val="center"/>
                </w:tcPr>
                <w:p w14:paraId="548E1FC9">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雨水经厂区雨水管网收集后流入周边水体环境</w:t>
                  </w:r>
                </w:p>
              </w:tc>
              <w:tc>
                <w:tcPr>
                  <w:tcW w:w="1169" w:type="pct"/>
                  <w:shd w:val="clear" w:color="auto" w:fill="auto"/>
                  <w:vAlign w:val="center"/>
                </w:tcPr>
                <w:p w14:paraId="1CFC5BED">
                  <w:pPr>
                    <w:pStyle w:val="62"/>
                    <w:autoSpaceDE w:val="0"/>
                    <w:autoSpaceDN w:val="0"/>
                    <w:snapToGrid w:val="0"/>
                    <w:jc w:val="center"/>
                    <w:rPr>
                      <w:rFonts w:hint="eastAsia" w:ascii="Times New Roman" w:hAnsi="Times New Roman" w:eastAsia="宋体" w:cs="Times New Roman"/>
                      <w:smallCaps w:val="0"/>
                      <w:snapToGrid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雨水经厂区雨水管网收集后流入周边水体环境</w:t>
                  </w:r>
                </w:p>
              </w:tc>
              <w:tc>
                <w:tcPr>
                  <w:tcW w:w="830" w:type="pct"/>
                  <w:vAlign w:val="center"/>
                </w:tcPr>
                <w:p w14:paraId="6BADF23D">
                  <w:pPr>
                    <w:pStyle w:val="62"/>
                    <w:autoSpaceDE w:val="0"/>
                    <w:autoSpaceDN w:val="0"/>
                    <w:snapToGrid w:val="0"/>
                    <w:jc w:val="center"/>
                    <w:rPr>
                      <w:rFonts w:hint="default"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雨水经厂区雨水管网收集后流入周边水体环境</w:t>
                  </w:r>
                </w:p>
              </w:tc>
              <w:tc>
                <w:tcPr>
                  <w:tcW w:w="540" w:type="pct"/>
                  <w:vMerge w:val="restart"/>
                  <w:vAlign w:val="center"/>
                </w:tcPr>
                <w:p w14:paraId="0B9C3528">
                  <w:pPr>
                    <w:pStyle w:val="62"/>
                    <w:autoSpaceDE w:val="0"/>
                    <w:autoSpaceDN w:val="0"/>
                    <w:snapToGrid w:val="0"/>
                    <w:jc w:val="center"/>
                    <w:rPr>
                      <w:rFonts w:hint="default" w:ascii="Times New Roman" w:hAnsi="Times New Roman" w:eastAsia="宋体"/>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厂区已雨污分流，依托现有雨水排放系统，新建污水排放口</w:t>
                  </w:r>
                </w:p>
              </w:tc>
            </w:tr>
            <w:tr w14:paraId="3EB2F0F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293" w:type="pct"/>
                  <w:vMerge w:val="continue"/>
                  <w:vAlign w:val="center"/>
                </w:tcPr>
                <w:p w14:paraId="0F253C50">
                  <w:pPr>
                    <w:pStyle w:val="62"/>
                    <w:autoSpaceDE w:val="0"/>
                    <w:autoSpaceDN w:val="0"/>
                    <w:snapToGrid w:val="0"/>
                    <w:jc w:val="center"/>
                    <w:rPr>
                      <w:color w:val="000000" w:themeColor="text1"/>
                      <w14:textFill>
                        <w14:solidFill>
                          <w14:schemeClr w14:val="tx1"/>
                        </w14:solidFill>
                      </w14:textFill>
                    </w:rPr>
                  </w:pPr>
                </w:p>
              </w:tc>
              <w:tc>
                <w:tcPr>
                  <w:tcW w:w="618" w:type="pct"/>
                  <w:vMerge w:val="continue"/>
                  <w:vAlign w:val="center"/>
                </w:tcPr>
                <w:p w14:paraId="03768193">
                  <w:pPr>
                    <w:pStyle w:val="62"/>
                    <w:autoSpaceDE w:val="0"/>
                    <w:autoSpaceDN w:val="0"/>
                    <w:snapToGrid w:val="0"/>
                    <w:jc w:val="center"/>
                    <w:rPr>
                      <w:color w:val="000000" w:themeColor="text1"/>
                      <w14:textFill>
                        <w14:solidFill>
                          <w14:schemeClr w14:val="tx1"/>
                        </w14:solidFill>
                      </w14:textFill>
                    </w:rPr>
                  </w:pPr>
                </w:p>
              </w:tc>
              <w:tc>
                <w:tcPr>
                  <w:tcW w:w="489" w:type="pct"/>
                  <w:vAlign w:val="center"/>
                </w:tcPr>
                <w:p w14:paraId="01ECFC5D">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污水</w:t>
                  </w:r>
                </w:p>
              </w:tc>
              <w:tc>
                <w:tcPr>
                  <w:tcW w:w="1058" w:type="pct"/>
                  <w:vAlign w:val="center"/>
                </w:tcPr>
                <w:p w14:paraId="56574BA0">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废水零排放，200t/a工艺废水和68t/a生活污水经</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沼气池+絮凝沉淀</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w:t>
                  </w: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处理后综合利用</w:t>
                  </w:r>
                  <w:r>
                    <w:rPr>
                      <w:rFonts w:hint="eastAsia" w:cs="宋体"/>
                      <w:bCs/>
                      <w:color w:val="000000" w:themeColor="text1"/>
                      <w:sz w:val="21"/>
                      <w:szCs w:val="21"/>
                      <w:highlight w:val="none"/>
                      <w:lang w:val="en-US" w:eastAsia="zh-CN"/>
                      <w14:textFill>
                        <w14:solidFill>
                          <w14:schemeClr w14:val="tx1"/>
                        </w14:solidFill>
                      </w14:textFill>
                    </w:rPr>
                    <w:t>及绿化灌溉</w:t>
                  </w: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w:t>
                  </w:r>
                </w:p>
              </w:tc>
              <w:tc>
                <w:tcPr>
                  <w:tcW w:w="1169" w:type="pct"/>
                  <w:shd w:val="clear" w:color="auto" w:fill="auto"/>
                  <w:vAlign w:val="center"/>
                </w:tcPr>
                <w:p w14:paraId="2F005572">
                  <w:pPr>
                    <w:pStyle w:val="62"/>
                    <w:autoSpaceDE w:val="0"/>
                    <w:autoSpaceDN w:val="0"/>
                    <w:snapToGrid w:val="0"/>
                    <w:jc w:val="cente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生活污水和生产废水经厂区污水处理站处理后达标后接管指前污水处理厂深度处理，接管排放量为7924.8</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t/a</w:t>
                  </w:r>
                  <w:r>
                    <w:rPr>
                      <w:rFonts w:hint="eastAsia" w:ascii="Times New Roman" w:hAnsi="Times New Roman" w:cs="Times New Roman"/>
                      <w:smallCaps w:val="0"/>
                      <w:snapToGrid w:val="0"/>
                      <w:color w:val="000000" w:themeColor="text1"/>
                      <w:sz w:val="21"/>
                      <w:szCs w:val="21"/>
                      <w:highlight w:val="none"/>
                      <w:lang w:eastAsia="zh-CN"/>
                      <w14:textFill>
                        <w14:solidFill>
                          <w14:schemeClr w14:val="tx1"/>
                        </w14:solidFill>
                      </w14:textFill>
                    </w:rPr>
                    <w:t>。</w:t>
                  </w:r>
                </w:p>
              </w:tc>
              <w:tc>
                <w:tcPr>
                  <w:tcW w:w="830" w:type="pct"/>
                  <w:vAlign w:val="center"/>
                </w:tcPr>
                <w:p w14:paraId="7FA3C830">
                  <w:pPr>
                    <w:pStyle w:val="62"/>
                    <w:autoSpaceDE w:val="0"/>
                    <w:autoSpaceDN w:val="0"/>
                    <w:snapToGrid w:val="0"/>
                    <w:jc w:val="cente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新增污水排放量7924.8t/a</w:t>
                  </w:r>
                </w:p>
              </w:tc>
              <w:tc>
                <w:tcPr>
                  <w:tcW w:w="540" w:type="pct"/>
                  <w:vMerge w:val="continue"/>
                  <w:vAlign w:val="center"/>
                </w:tcPr>
                <w:p w14:paraId="0285545C">
                  <w:pPr>
                    <w:pStyle w:val="62"/>
                    <w:autoSpaceDE w:val="0"/>
                    <w:autoSpaceDN w:val="0"/>
                    <w:snapToGrid w:val="0"/>
                    <w:jc w:val="cente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p>
              </w:tc>
            </w:tr>
            <w:tr w14:paraId="54B86D1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6DABC4CC">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200B014A">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供电</w:t>
                  </w:r>
                </w:p>
              </w:tc>
              <w:tc>
                <w:tcPr>
                  <w:tcW w:w="1058" w:type="pct"/>
                  <w:vAlign w:val="center"/>
                </w:tcPr>
                <w:p w14:paraId="26562A20">
                  <w:pPr>
                    <w:pStyle w:val="62"/>
                    <w:autoSpaceDE w:val="0"/>
                    <w:autoSpaceDN w:val="0"/>
                    <w:snapToGrid w:val="0"/>
                    <w:jc w:val="cente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2</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万</w:t>
                  </w:r>
                  <w: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t>k</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W</w:t>
                  </w:r>
                  <w:r>
                    <w:rPr>
                      <w:rFonts w:hint="default" w:ascii="Times New Roman" w:hAnsi="Times New Roman" w:eastAsia="宋体" w:cs="Times New Roman"/>
                      <w:smallCaps w:val="0"/>
                      <w:snapToGrid w:val="0"/>
                      <w:color w:val="000000" w:themeColor="text1"/>
                      <w:sz w:val="21"/>
                      <w:szCs w:val="21"/>
                      <w:highlight w:val="none"/>
                      <w14:textFill>
                        <w14:solidFill>
                          <w14:schemeClr w14:val="tx1"/>
                        </w14:solidFill>
                      </w14:textFill>
                    </w:rPr>
                    <w:t>·</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h/a</w:t>
                  </w:r>
                </w:p>
              </w:tc>
              <w:tc>
                <w:tcPr>
                  <w:tcW w:w="1169" w:type="pct"/>
                  <w:shd w:val="clear" w:color="auto" w:fill="auto"/>
                  <w:vAlign w:val="center"/>
                </w:tcPr>
                <w:p w14:paraId="497FE628">
                  <w:pPr>
                    <w:pStyle w:val="62"/>
                    <w:autoSpaceDE w:val="0"/>
                    <w:autoSpaceDN w:val="0"/>
                    <w:snapToGrid w:val="0"/>
                    <w:jc w:val="center"/>
                    <w:rPr>
                      <w:rFonts w:hint="eastAsia" w:ascii="Times New Roman" w:hAnsi="Times New Roman" w:eastAsia="宋体" w:cs="Times New Roman"/>
                      <w:smallCaps w:val="0"/>
                      <w:snapToGrid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200</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万</w:t>
                  </w:r>
                  <w: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t>k</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W</w:t>
                  </w:r>
                  <w:r>
                    <w:rPr>
                      <w:rFonts w:hint="default" w:ascii="Times New Roman" w:hAnsi="Times New Roman" w:eastAsia="宋体" w:cs="Times New Roman"/>
                      <w:smallCaps w:val="0"/>
                      <w:snapToGrid w:val="0"/>
                      <w:color w:val="000000" w:themeColor="text1"/>
                      <w:sz w:val="21"/>
                      <w:szCs w:val="21"/>
                      <w:highlight w:val="none"/>
                      <w14:textFill>
                        <w14:solidFill>
                          <w14:schemeClr w14:val="tx1"/>
                        </w14:solidFill>
                      </w14:textFill>
                    </w:rPr>
                    <w:t>·</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h/a</w:t>
                  </w:r>
                </w:p>
              </w:tc>
              <w:tc>
                <w:tcPr>
                  <w:tcW w:w="830" w:type="pct"/>
                  <w:vAlign w:val="center"/>
                </w:tcPr>
                <w:p w14:paraId="577016F6">
                  <w:pPr>
                    <w:pStyle w:val="62"/>
                    <w:autoSpaceDE w:val="0"/>
                    <w:autoSpaceDN w:val="0"/>
                    <w:snapToGrid w:val="0"/>
                    <w:jc w:val="center"/>
                    <w:rPr>
                      <w:rFonts w:hint="default"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+198</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万</w:t>
                  </w:r>
                  <w: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t>k</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W</w:t>
                  </w:r>
                  <w:r>
                    <w:rPr>
                      <w:rFonts w:hint="default" w:ascii="Times New Roman" w:hAnsi="Times New Roman" w:eastAsia="宋体" w:cs="Times New Roman"/>
                      <w:smallCaps w:val="0"/>
                      <w:snapToGrid w:val="0"/>
                      <w:color w:val="000000" w:themeColor="text1"/>
                      <w:sz w:val="21"/>
                      <w:szCs w:val="21"/>
                      <w:highlight w:val="none"/>
                      <w14:textFill>
                        <w14:solidFill>
                          <w14:schemeClr w14:val="tx1"/>
                        </w14:solidFill>
                      </w14:textFill>
                    </w:rPr>
                    <w:t>·</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h/a</w:t>
                  </w:r>
                </w:p>
              </w:tc>
              <w:tc>
                <w:tcPr>
                  <w:tcW w:w="540" w:type="pct"/>
                  <w:vAlign w:val="center"/>
                </w:tcPr>
                <w:p w14:paraId="284EC17B">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依托</w:t>
                  </w:r>
                  <w:r>
                    <w:rPr>
                      <w:rFonts w:hint="eastAsia" w:ascii="Times New Roman" w:hAnsi="Times New Roman" w:eastAsia="宋体" w:cs="Times New Roman"/>
                      <w:smallCaps w:val="0"/>
                      <w:snapToGrid w:val="0"/>
                      <w:color w:val="000000" w:themeColor="text1"/>
                      <w:sz w:val="21"/>
                      <w:szCs w:val="21"/>
                      <w:highlight w:val="none"/>
                      <w14:textFill>
                        <w14:solidFill>
                          <w14:schemeClr w14:val="tx1"/>
                        </w14:solidFill>
                      </w14:textFill>
                    </w:rPr>
                    <w:t>现有</w:t>
                  </w: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供电系统</w:t>
                  </w:r>
                </w:p>
              </w:tc>
            </w:tr>
            <w:tr w14:paraId="16605DE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restart"/>
                  <w:vAlign w:val="center"/>
                </w:tcPr>
                <w:p w14:paraId="62CE2B33">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环保工程</w:t>
                  </w:r>
                </w:p>
              </w:tc>
              <w:tc>
                <w:tcPr>
                  <w:tcW w:w="1107" w:type="pct"/>
                  <w:gridSpan w:val="2"/>
                  <w:vAlign w:val="center"/>
                </w:tcPr>
                <w:p w14:paraId="110A2723">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t>废气</w:t>
                  </w:r>
                </w:p>
              </w:tc>
              <w:tc>
                <w:tcPr>
                  <w:tcW w:w="1058" w:type="pct"/>
                  <w:vAlign w:val="center"/>
                </w:tcPr>
                <w:p w14:paraId="6F11ADFC">
                  <w:pPr>
                    <w:pStyle w:val="62"/>
                    <w:autoSpaceDE w:val="0"/>
                    <w:autoSpaceDN w:val="0"/>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w:t>
                  </w:r>
                </w:p>
              </w:tc>
              <w:tc>
                <w:tcPr>
                  <w:tcW w:w="1169" w:type="pct"/>
                  <w:shd w:val="clear" w:color="auto" w:fill="auto"/>
                  <w:vAlign w:val="center"/>
                </w:tcPr>
                <w:p w14:paraId="06B8C49A">
                  <w:pPr>
                    <w:pStyle w:val="62"/>
                    <w:autoSpaceDE w:val="0"/>
                    <w:autoSpaceDN w:val="0"/>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新建一套</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生物除臭装置，</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2</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0000m</w:t>
                  </w:r>
                  <w:r>
                    <w:rPr>
                      <w:rFonts w:hint="eastAsia" w:ascii="Times New Roman" w:hAnsi="Times New Roman" w:eastAsia="宋体" w:cs="Times New Roman"/>
                      <w:smallCaps w:val="0"/>
                      <w:snapToGrid w:val="0"/>
                      <w:color w:val="000000" w:themeColor="text1"/>
                      <w:sz w:val="21"/>
                      <w:szCs w:val="21"/>
                      <w:vertAlign w:val="superscript"/>
                      <w:lang w:val="en-US" w:eastAsia="zh-CN"/>
                      <w14:textFill>
                        <w14:solidFill>
                          <w14:schemeClr w14:val="tx1"/>
                        </w14:solidFill>
                      </w14:textFill>
                    </w:rPr>
                    <w:t>3</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/h</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；待宰、屠宰、废水处理设施废气</w:t>
                  </w:r>
                  <w:r>
                    <w:rPr>
                      <w:rFonts w:hint="eastAsia" w:ascii="Times New Roman" w:hAnsi="Times New Roman" w:eastAsia="宋体"/>
                      <w:smallCaps w:val="0"/>
                      <w:color w:val="000000" w:themeColor="text1"/>
                      <w:sz w:val="21"/>
                      <w:szCs w:val="21"/>
                      <w:lang w:val="en-US" w:eastAsia="zh-CN"/>
                      <w14:textFill>
                        <w14:solidFill>
                          <w14:schemeClr w14:val="tx1"/>
                        </w14:solidFill>
                      </w14:textFill>
                    </w:rPr>
                    <w:t>经密闭收集</w:t>
                  </w:r>
                  <w:r>
                    <w:rPr>
                      <w:rFonts w:hint="eastAsia" w:ascii="Times New Roman" w:hAnsi="Times New Roman" w:eastAsia="宋体"/>
                      <w:smallCaps w:val="0"/>
                      <w:color w:val="000000" w:themeColor="text1"/>
                      <w:sz w:val="21"/>
                      <w:szCs w:val="21"/>
                      <w14:textFill>
                        <w14:solidFill>
                          <w14:schemeClr w14:val="tx1"/>
                        </w14:solidFill>
                      </w14:textFill>
                    </w:rPr>
                    <w:t>，</w:t>
                  </w:r>
                  <w:r>
                    <w:rPr>
                      <w:rFonts w:hint="eastAsia" w:ascii="Times New Roman" w:hAnsi="Times New Roman" w:eastAsia="宋体"/>
                      <w:smallCaps w:val="0"/>
                      <w:color w:val="000000" w:themeColor="text1"/>
                      <w:sz w:val="21"/>
                      <w:szCs w:val="21"/>
                      <w:lang w:val="en-US" w:eastAsia="zh-CN"/>
                      <w14:textFill>
                        <w14:solidFill>
                          <w14:schemeClr w14:val="tx1"/>
                        </w14:solidFill>
                      </w14:textFill>
                    </w:rPr>
                    <w:t>生物除臭</w:t>
                  </w:r>
                  <w:r>
                    <w:rPr>
                      <w:rFonts w:hint="eastAsia" w:ascii="Times New Roman" w:hAnsi="Times New Roman" w:eastAsia="宋体"/>
                      <w:smallCaps w:val="0"/>
                      <w:color w:val="000000" w:themeColor="text1"/>
                      <w:sz w:val="21"/>
                      <w:szCs w:val="21"/>
                      <w14:textFill>
                        <w14:solidFill>
                          <w14:schemeClr w14:val="tx1"/>
                        </w14:solidFill>
                      </w14:textFill>
                    </w:rPr>
                    <w:t>装置处理，15m高排气筒FQ-1排放</w:t>
                  </w:r>
                </w:p>
              </w:tc>
              <w:tc>
                <w:tcPr>
                  <w:tcW w:w="830" w:type="pct"/>
                  <w:vAlign w:val="center"/>
                </w:tcPr>
                <w:p w14:paraId="74A9E588">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新增一套</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生物除臭装置，</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2</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0000m</w:t>
                  </w:r>
                  <w:r>
                    <w:rPr>
                      <w:rFonts w:hint="eastAsia" w:ascii="Times New Roman" w:hAnsi="Times New Roman" w:eastAsia="宋体" w:cs="Times New Roman"/>
                      <w:smallCaps w:val="0"/>
                      <w:snapToGrid w:val="0"/>
                      <w:color w:val="000000" w:themeColor="text1"/>
                      <w:sz w:val="21"/>
                      <w:szCs w:val="21"/>
                      <w:vertAlign w:val="superscript"/>
                      <w:lang w:val="en-US" w:eastAsia="zh-CN"/>
                      <w14:textFill>
                        <w14:solidFill>
                          <w14:schemeClr w14:val="tx1"/>
                        </w14:solidFill>
                      </w14:textFill>
                    </w:rPr>
                    <w:t>3</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/h</w:t>
                  </w:r>
                </w:p>
              </w:tc>
              <w:tc>
                <w:tcPr>
                  <w:tcW w:w="540" w:type="pct"/>
                  <w:vAlign w:val="center"/>
                </w:tcPr>
                <w:p w14:paraId="21D53177">
                  <w:pPr>
                    <w:pStyle w:val="62"/>
                    <w:autoSpaceDE w:val="0"/>
                    <w:autoSpaceDN w:val="0"/>
                    <w:snapToGrid w:val="0"/>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新建</w:t>
                  </w:r>
                </w:p>
              </w:tc>
            </w:tr>
            <w:tr w14:paraId="01524D2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5AC30B4E">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34AF0DD5">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t>废水</w:t>
                  </w:r>
                </w:p>
              </w:tc>
              <w:tc>
                <w:tcPr>
                  <w:tcW w:w="1058" w:type="pct"/>
                  <w:vAlign w:val="center"/>
                </w:tcPr>
                <w:p w14:paraId="1F317CE1">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生活污水和工艺废水产生量为268t/a，废水经厂区“</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沼气池+絮凝沉淀</w:t>
                  </w: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”处理后回用于茶厂施肥级绿化灌溉，废水零排放</w:t>
                  </w:r>
                </w:p>
              </w:tc>
              <w:tc>
                <w:tcPr>
                  <w:tcW w:w="1169" w:type="pct"/>
                  <w:shd w:val="clear" w:color="auto" w:fill="auto"/>
                  <w:vAlign w:val="center"/>
                </w:tcPr>
                <w:p w14:paraId="28130263">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smallCaps w:val="0"/>
                      <w:snapToGrid w:val="0"/>
                      <w:color w:val="000000" w:themeColor="text1"/>
                      <w:sz w:val="21"/>
                      <w:szCs w:val="21"/>
                      <w:lang w:val="en-US" w:eastAsia="zh-CN"/>
                      <w14:textFill>
                        <w14:solidFill>
                          <w14:schemeClr w14:val="tx1"/>
                        </w14:solidFill>
                      </w14:textFill>
                    </w:rPr>
                    <w:t>新建污水处理站，污水处来站工艺为“格栅+</w:t>
                  </w:r>
                  <w:r>
                    <w:rPr>
                      <w:rFonts w:hint="eastAsia" w:ascii="宋体" w:hAnsi="宋体" w:eastAsia="宋体"/>
                      <w:b w:val="0"/>
                      <w:bCs w:val="0"/>
                      <w:color w:val="000000" w:themeColor="text1"/>
                      <w:sz w:val="21"/>
                      <w:szCs w:val="24"/>
                      <w14:textFill>
                        <w14:solidFill>
                          <w14:schemeClr w14:val="tx1"/>
                        </w14:solidFill>
                      </w14:textFill>
                    </w:rPr>
                    <w:t>絮凝分离器</w:t>
                  </w:r>
                  <w:r>
                    <w:rPr>
                      <w:rFonts w:hint="eastAsia" w:ascii="宋体" w:hAnsi="宋体" w:eastAsia="宋体"/>
                      <w:b w:val="0"/>
                      <w:bCs w:val="0"/>
                      <w:color w:val="000000" w:themeColor="text1"/>
                      <w:sz w:val="21"/>
                      <w:szCs w:val="24"/>
                      <w:lang w:val="en-US" w:eastAsia="zh-CN"/>
                      <w14:textFill>
                        <w14:solidFill>
                          <w14:schemeClr w14:val="tx1"/>
                        </w14:solidFill>
                      </w14:textFill>
                    </w:rPr>
                    <w:t>+</w:t>
                  </w:r>
                  <w:r>
                    <w:rPr>
                      <w:rFonts w:hint="eastAsia" w:ascii="宋体" w:hAnsi="宋体" w:eastAsia="宋体"/>
                      <w:b w:val="0"/>
                      <w:bCs w:val="0"/>
                      <w:color w:val="000000" w:themeColor="text1"/>
                      <w:sz w:val="21"/>
                      <w:szCs w:val="24"/>
                      <w14:textFill>
                        <w14:solidFill>
                          <w14:schemeClr w14:val="tx1"/>
                        </w14:solidFill>
                      </w14:textFill>
                    </w:rPr>
                    <w:t>静态沉淀</w:t>
                  </w:r>
                  <w:r>
                    <w:rPr>
                      <w:rFonts w:hint="eastAsia" w:ascii="宋体" w:hAnsi="宋体" w:eastAsia="宋体"/>
                      <w:b w:val="0"/>
                      <w:bCs w:val="0"/>
                      <w:color w:val="000000" w:themeColor="text1"/>
                      <w:sz w:val="21"/>
                      <w:szCs w:val="24"/>
                      <w:lang w:val="en-US" w:eastAsia="zh-CN"/>
                      <w14:textFill>
                        <w14:solidFill>
                          <w14:schemeClr w14:val="tx1"/>
                        </w14:solidFill>
                      </w14:textFill>
                    </w:rPr>
                    <w:t>+</w:t>
                  </w:r>
                  <w:r>
                    <w:rPr>
                      <w:rFonts w:hint="eastAsia" w:ascii="TimesNewRomanPSMT" w:hAnsi="TimesNewRomanPSMT" w:eastAsia="TimesNewRomanPSMT"/>
                      <w:b w:val="0"/>
                      <w:bCs w:val="0"/>
                      <w:color w:val="000000" w:themeColor="text1"/>
                      <w:sz w:val="21"/>
                      <w:szCs w:val="24"/>
                      <w14:textFill>
                        <w14:solidFill>
                          <w14:schemeClr w14:val="tx1"/>
                        </w14:solidFill>
                      </w14:textFill>
                    </w:rPr>
                    <w:t>A/O</w:t>
                  </w:r>
                  <w:r>
                    <w:rPr>
                      <w:rFonts w:hint="eastAsia" w:ascii="宋体" w:hAnsi="宋体" w:eastAsia="宋体"/>
                      <w:b w:val="0"/>
                      <w:bCs w:val="0"/>
                      <w:color w:val="000000" w:themeColor="text1"/>
                      <w:sz w:val="21"/>
                      <w:szCs w:val="24"/>
                      <w14:textFill>
                        <w14:solidFill>
                          <w14:schemeClr w14:val="tx1"/>
                        </w14:solidFill>
                      </w14:textFill>
                    </w:rPr>
                    <w:t>生物反应装置</w:t>
                  </w:r>
                  <w:r>
                    <w:rPr>
                      <w:rFonts w:hint="eastAsia" w:ascii="Times New Roman" w:hAnsi="Times New Roman" w:cs="Times New Roman"/>
                      <w:b w:val="0"/>
                      <w:bCs w:val="0"/>
                      <w:smallCaps w:val="0"/>
                      <w:snapToGrid w:val="0"/>
                      <w:color w:val="000000" w:themeColor="text1"/>
                      <w:sz w:val="21"/>
                      <w:szCs w:val="21"/>
                      <w:lang w:val="en-US" w:eastAsia="zh-CN"/>
                      <w14:textFill>
                        <w14:solidFill>
                          <w14:schemeClr w14:val="tx1"/>
                        </w14:solidFill>
                      </w14:textFill>
                    </w:rPr>
                    <w:t>”。</w:t>
                  </w:r>
                  <w:r>
                    <w:rPr>
                      <w:rFonts w:hint="eastAsia" w:cs="宋体"/>
                      <w:b w:val="0"/>
                      <w:bCs w:val="0"/>
                      <w:color w:val="000000" w:themeColor="text1"/>
                      <w:sz w:val="21"/>
                      <w:szCs w:val="21"/>
                      <w:highlight w:val="none"/>
                      <w:lang w:val="en-US" w:eastAsia="zh-CN"/>
                      <w14:textFill>
                        <w14:solidFill>
                          <w14:schemeClr w14:val="tx1"/>
                        </w14:solidFill>
                      </w14:textFill>
                    </w:rPr>
                    <w:t>本项目生活污水和生产废水混合后进入污水处理站处理后</w:t>
                  </w:r>
                  <w:r>
                    <w:rPr>
                      <w:rFonts w:hint="eastAsia"/>
                      <w:b w:val="0"/>
                      <w:bCs w:val="0"/>
                      <w:color w:val="000000" w:themeColor="text1"/>
                      <w:spacing w:val="-4"/>
                      <w:lang w:val="en-US" w:eastAsia="zh-CN"/>
                      <w14:textFill>
                        <w14:solidFill>
                          <w14:schemeClr w14:val="tx1"/>
                        </w14:solidFill>
                      </w14:textFill>
                    </w:rPr>
                    <w:t>接管</w:t>
                  </w:r>
                  <w:r>
                    <w:rPr>
                      <w:rFonts w:hint="eastAsia" w:ascii="Times New Roman" w:hAnsi="Times New Roman"/>
                      <w:b w:val="0"/>
                      <w:bCs w:val="0"/>
                      <w:smallCaps w:val="0"/>
                      <w:color w:val="000000" w:themeColor="text1"/>
                      <w:kern w:val="0"/>
                      <w:sz w:val="21"/>
                      <w:szCs w:val="21"/>
                      <w:highlight w:val="none"/>
                      <w:lang w:val="en-US" w:eastAsia="zh-CN"/>
                      <w14:textFill>
                        <w14:solidFill>
                          <w14:schemeClr w14:val="tx1"/>
                        </w14:solidFill>
                      </w14:textFill>
                    </w:rPr>
                    <w:t>指前污水处理厂处理</w:t>
                  </w:r>
                  <w:r>
                    <w:rPr>
                      <w:rFonts w:hint="eastAsia" w:ascii="Times New Roman" w:hAnsi="Times New Roman" w:cs="Times New Roman"/>
                      <w:b w:val="0"/>
                      <w:bCs w:val="0"/>
                      <w:smallCaps w:val="0"/>
                      <w:snapToGrid w:val="0"/>
                      <w:color w:val="000000" w:themeColor="text1"/>
                      <w:sz w:val="21"/>
                      <w:szCs w:val="21"/>
                      <w:lang w:val="en-US" w:eastAsia="zh-CN"/>
                      <w14:textFill>
                        <w14:solidFill>
                          <w14:schemeClr w14:val="tx1"/>
                        </w14:solidFill>
                      </w14:textFill>
                    </w:rPr>
                    <w:t>；废水排放量为7924.8t/a。</w:t>
                  </w:r>
                </w:p>
              </w:tc>
              <w:tc>
                <w:tcPr>
                  <w:tcW w:w="830" w:type="pct"/>
                  <w:vAlign w:val="center"/>
                </w:tcPr>
                <w:p w14:paraId="21F6194E">
                  <w:pPr>
                    <w:pStyle w:val="62"/>
                    <w:autoSpaceDE w:val="0"/>
                    <w:autoSpaceDN w:val="0"/>
                    <w:snapToGrid w:val="0"/>
                    <w:jc w:val="center"/>
                    <w:rPr>
                      <w:rFonts w:hint="default" w:ascii="Times New Roman" w:hAnsi="Times New Roman"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对现有废水处理设施进行提升改造；污水处理站规模为30t/d，全厂新增排水7924.8t/a</w:t>
                  </w:r>
                </w:p>
              </w:tc>
              <w:tc>
                <w:tcPr>
                  <w:tcW w:w="540" w:type="pct"/>
                  <w:vAlign w:val="center"/>
                </w:tcPr>
                <w:p w14:paraId="22F0EA24">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新建</w:t>
                  </w:r>
                </w:p>
              </w:tc>
            </w:tr>
            <w:tr w14:paraId="0A2FAC9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65CA280B">
                  <w:pPr>
                    <w:pStyle w:val="62"/>
                    <w:autoSpaceDE w:val="0"/>
                    <w:autoSpaceDN w:val="0"/>
                    <w:snapToGrid w:val="0"/>
                    <w:jc w:val="center"/>
                    <w:rPr>
                      <w:rFonts w:ascii="Times New Roman" w:hAnsi="Times New Roman" w:eastAsia="宋体" w:cs="Times New Roman"/>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6A26187E">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噪声污染防治措施</w:t>
                  </w:r>
                </w:p>
              </w:tc>
              <w:tc>
                <w:tcPr>
                  <w:tcW w:w="3598" w:type="pct"/>
                  <w:gridSpan w:val="4"/>
                  <w:vAlign w:val="center"/>
                </w:tcPr>
                <w:p w14:paraId="5E9D1C8D">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合理布局</w:t>
                  </w:r>
                  <w:r>
                    <w:rPr>
                      <w:rFonts w:hint="eastAsia" w:ascii="Times New Roman" w:hAnsi="Times New Roman" w:eastAsia="宋体"/>
                      <w:smallCaps w:val="0"/>
                      <w:color w:val="000000" w:themeColor="text1"/>
                      <w:sz w:val="21"/>
                      <w:szCs w:val="21"/>
                      <w:highlight w:val="none"/>
                      <w14:textFill>
                        <w14:solidFill>
                          <w14:schemeClr w14:val="tx1"/>
                        </w14:solidFill>
                      </w14:textFill>
                    </w:rPr>
                    <w:t>、</w:t>
                  </w:r>
                  <w:r>
                    <w:rPr>
                      <w:rFonts w:ascii="Times New Roman" w:hAnsi="Times New Roman" w:eastAsia="宋体"/>
                      <w:smallCaps w:val="0"/>
                      <w:color w:val="000000" w:themeColor="text1"/>
                      <w:sz w:val="21"/>
                      <w:szCs w:val="21"/>
                      <w:highlight w:val="none"/>
                      <w14:textFill>
                        <w14:solidFill>
                          <w14:schemeClr w14:val="tx1"/>
                        </w14:solidFill>
                      </w14:textFill>
                    </w:rPr>
                    <w:t>高噪声设备基础减振、加强隔声等</w:t>
                  </w:r>
                </w:p>
              </w:tc>
            </w:tr>
            <w:tr w14:paraId="00D29D3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20638485">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Merge w:val="restart"/>
                  <w:vAlign w:val="center"/>
                </w:tcPr>
                <w:p w14:paraId="5B4372F8">
                  <w:pPr>
                    <w:pStyle w:val="62"/>
                    <w:autoSpaceDE w:val="0"/>
                    <w:autoSpaceDN w:val="0"/>
                    <w:snapToGrid w:val="0"/>
                    <w:jc w:val="center"/>
                    <w:rPr>
                      <w:rFonts w:hint="eastAsia" w:ascii="Times New Roman" w:hAnsi="Times New Roman" w:eastAsia="宋体" w:cs="Times New Roman"/>
                      <w:smallCaps w:val="0"/>
                      <w:color w:val="000000" w:themeColor="text1"/>
                      <w:sz w:val="21"/>
                      <w:szCs w:val="21"/>
                      <w:highlight w:val="none"/>
                      <w:lang w:val="en-US" w:eastAsia="zh-CN" w:bidi="zh-CN"/>
                      <w14:textFill>
                        <w14:solidFill>
                          <w14:schemeClr w14:val="tx1"/>
                        </w14:solidFill>
                      </w14:textFill>
                    </w:rPr>
                  </w:pPr>
                  <w:r>
                    <w:rPr>
                      <w:rFonts w:hint="eastAsia" w:ascii="Times New Roman" w:hAnsi="Times New Roman" w:eastAsia="宋体" w:cs="Times New Roman"/>
                      <w:smallCaps w:val="0"/>
                      <w:color w:val="000000" w:themeColor="text1"/>
                      <w:sz w:val="21"/>
                      <w:szCs w:val="21"/>
                      <w:highlight w:val="none"/>
                      <w14:textFill>
                        <w14:solidFill>
                          <w14:schemeClr w14:val="tx1"/>
                        </w14:solidFill>
                      </w14:textFill>
                    </w:rPr>
                    <w:t>固废</w:t>
                  </w:r>
                </w:p>
              </w:tc>
              <w:tc>
                <w:tcPr>
                  <w:tcW w:w="1058" w:type="pct"/>
                  <w:vAlign w:val="center"/>
                </w:tcPr>
                <w:p w14:paraId="5C062814">
                  <w:pPr>
                    <w:pStyle w:val="74"/>
                    <w:spacing w:before="50" w:line="234" w:lineRule="auto"/>
                    <w:ind w:left="33"/>
                    <w:rPr>
                      <w:rFonts w:hint="default"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color w:val="000000" w:themeColor="text1"/>
                      <w:spacing w:val="-6"/>
                      <w14:textFill>
                        <w14:solidFill>
                          <w14:schemeClr w14:val="tx1"/>
                        </w14:solidFill>
                      </w14:textFill>
                    </w:rPr>
                    <w:t>设置</w:t>
                  </w:r>
                  <w:r>
                    <w:rPr>
                      <w:color w:val="000000" w:themeColor="text1"/>
                      <w:spacing w:val="-31"/>
                      <w14:textFill>
                        <w14:solidFill>
                          <w14:schemeClr w14:val="tx1"/>
                        </w14:solidFill>
                      </w14:textFill>
                    </w:rPr>
                    <w:t xml:space="preserve"> </w:t>
                  </w:r>
                  <w:r>
                    <w:rPr>
                      <w:rFonts w:ascii="Times New Roman" w:hAnsi="Times New Roman" w:eastAsia="Times New Roman" w:cs="Times New Roman"/>
                      <w:color w:val="000000" w:themeColor="text1"/>
                      <w:spacing w:val="-6"/>
                      <w14:textFill>
                        <w14:solidFill>
                          <w14:schemeClr w14:val="tx1"/>
                        </w14:solidFill>
                      </w14:textFill>
                    </w:rPr>
                    <w:t>1</w:t>
                  </w:r>
                  <w:r>
                    <w:rPr>
                      <w:color w:val="000000" w:themeColor="text1"/>
                      <w:spacing w:val="-6"/>
                      <w14:textFill>
                        <w14:solidFill>
                          <w14:schemeClr w14:val="tx1"/>
                        </w14:solidFill>
                      </w14:textFill>
                    </w:rPr>
                    <w:t>间无害化暂存冷库，面积</w:t>
                  </w:r>
                  <w:r>
                    <w:rPr>
                      <w:color w:val="000000" w:themeColor="text1"/>
                      <w:spacing w:val="-55"/>
                      <w14:textFill>
                        <w14:solidFill>
                          <w14:schemeClr w14:val="tx1"/>
                        </w14:solidFill>
                      </w14:textFill>
                    </w:rPr>
                    <w:t xml:space="preserve"> </w:t>
                  </w:r>
                  <w:r>
                    <w:rPr>
                      <w:rFonts w:hint="eastAsia" w:ascii="Times New Roman" w:hAnsi="Times New Roman" w:cs="Times New Roman"/>
                      <w:color w:val="000000" w:themeColor="text1"/>
                      <w:spacing w:val="-6"/>
                      <w:lang w:val="en-US" w:eastAsia="zh-CN"/>
                      <w14:textFill>
                        <w14:solidFill>
                          <w14:schemeClr w14:val="tx1"/>
                        </w14:solidFill>
                      </w14:textFill>
                    </w:rPr>
                    <w:t>5</w:t>
                  </w:r>
                  <w:r>
                    <w:rPr>
                      <w:rFonts w:ascii="Times New Roman" w:hAnsi="Times New Roman" w:eastAsia="Times New Roman" w:cs="Times New Roman"/>
                      <w:color w:val="000000" w:themeColor="text1"/>
                      <w:spacing w:val="-6"/>
                      <w14:textFill>
                        <w14:solidFill>
                          <w14:schemeClr w14:val="tx1"/>
                        </w14:solidFill>
                      </w14:textFill>
                    </w:rPr>
                    <w:t>m</w:t>
                  </w:r>
                  <w:r>
                    <w:rPr>
                      <w:rFonts w:ascii="Times New Roman" w:hAnsi="Times New Roman" w:eastAsia="Times New Roman" w:cs="Times New Roman"/>
                      <w:color w:val="000000" w:themeColor="text1"/>
                      <w:spacing w:val="-6"/>
                      <w:position w:val="6"/>
                      <w:sz w:val="13"/>
                      <w:szCs w:val="13"/>
                      <w14:textFill>
                        <w14:solidFill>
                          <w14:schemeClr w14:val="tx1"/>
                        </w14:solidFill>
                      </w14:textFill>
                    </w:rPr>
                    <w:t>2</w:t>
                  </w:r>
                  <w:r>
                    <w:rPr>
                      <w:rFonts w:ascii="Times New Roman" w:hAnsi="Times New Roman" w:eastAsia="Times New Roman" w:cs="Times New Roman"/>
                      <w:color w:val="000000" w:themeColor="text1"/>
                      <w:spacing w:val="-10"/>
                      <w:position w:val="6"/>
                      <w:sz w:val="13"/>
                      <w:szCs w:val="13"/>
                      <w14:textFill>
                        <w14:solidFill>
                          <w14:schemeClr w14:val="tx1"/>
                        </w14:solidFill>
                      </w14:textFill>
                    </w:rPr>
                    <w:t xml:space="preserve"> </w:t>
                  </w:r>
                  <w:r>
                    <w:rPr>
                      <w:color w:val="000000" w:themeColor="text1"/>
                      <w:spacing w:val="-6"/>
                      <w14:textFill>
                        <w14:solidFill>
                          <w14:schemeClr w14:val="tx1"/>
                        </w14:solidFill>
                      </w14:textFill>
                    </w:rPr>
                    <w:t>，</w:t>
                  </w:r>
                  <w:r>
                    <w:rPr>
                      <w:color w:val="000000" w:themeColor="text1"/>
                      <w:spacing w:val="-4"/>
                      <w14:textFill>
                        <w14:solidFill>
                          <w14:schemeClr w14:val="tx1"/>
                        </w14:solidFill>
                      </w14:textFill>
                    </w:rPr>
                    <w:t>用于暂存病死</w:t>
                  </w:r>
                  <w:r>
                    <w:rPr>
                      <w:rFonts w:hint="eastAsia"/>
                      <w:color w:val="000000" w:themeColor="text1"/>
                      <w:spacing w:val="-4"/>
                      <w:lang w:val="en-US" w:eastAsia="zh-CN"/>
                      <w14:textFill>
                        <w14:solidFill>
                          <w14:schemeClr w14:val="tx1"/>
                        </w14:solidFill>
                      </w14:textFill>
                    </w:rPr>
                    <w:t>牛</w:t>
                  </w:r>
                  <w:r>
                    <w:rPr>
                      <w:color w:val="000000" w:themeColor="text1"/>
                      <w:spacing w:val="-4"/>
                      <w14:textFill>
                        <w14:solidFill>
                          <w14:schemeClr w14:val="tx1"/>
                        </w14:solidFill>
                      </w14:textFill>
                    </w:rPr>
                    <w:t>和不合格产品等，委托无害化处理</w:t>
                  </w:r>
                  <w:r>
                    <w:rPr>
                      <w:rFonts w:hint="eastAsia"/>
                      <w:color w:val="000000" w:themeColor="text1"/>
                      <w:spacing w:val="-4"/>
                      <w:lang w:eastAsia="zh-CN"/>
                      <w14:textFill>
                        <w14:solidFill>
                          <w14:schemeClr w14:val="tx1"/>
                        </w14:solidFill>
                      </w14:textFill>
                    </w:rPr>
                    <w:t>；</w:t>
                  </w:r>
                  <w:r>
                    <w:rPr>
                      <w:rFonts w:hint="eastAsia"/>
                      <w:color w:val="000000" w:themeColor="text1"/>
                      <w:spacing w:val="-4"/>
                      <w:lang w:val="en-US" w:eastAsia="zh-CN"/>
                      <w14:textFill>
                        <w14:solidFill>
                          <w14:schemeClr w14:val="tx1"/>
                        </w14:solidFill>
                      </w14:textFill>
                    </w:rPr>
                    <w:t>暂存后委托常州市宏宝生物科技有限公司无害化处置；</w:t>
                  </w:r>
                </w:p>
              </w:tc>
              <w:tc>
                <w:tcPr>
                  <w:tcW w:w="1169" w:type="pct"/>
                  <w:shd w:val="clear" w:color="auto" w:fill="auto"/>
                  <w:vAlign w:val="center"/>
                </w:tcPr>
                <w:p w14:paraId="3A039E47">
                  <w:pPr>
                    <w:pStyle w:val="62"/>
                    <w:autoSpaceDE w:val="0"/>
                    <w:autoSpaceDN w:val="0"/>
                    <w:snapToGrid w:val="0"/>
                    <w:jc w:val="center"/>
                    <w:rPr>
                      <w:rFonts w:hint="eastAsia" w:ascii="Times New Roman" w:hAnsi="Times New Roman" w:eastAsia="宋体" w:cs="Times New Roman"/>
                      <w:smallCaps w:val="0"/>
                      <w:color w:val="000000" w:themeColor="text1"/>
                      <w:kern w:val="2"/>
                      <w:sz w:val="21"/>
                      <w:szCs w:val="21"/>
                      <w:highlight w:val="none"/>
                      <w:vertAlign w:val="baseline"/>
                      <w:lang w:val="en-US" w:eastAsia="zh-CN" w:bidi="ar-SA"/>
                      <w14:textFill>
                        <w14:solidFill>
                          <w14:schemeClr w14:val="tx1"/>
                        </w14:solidFill>
                      </w14:textFill>
                    </w:rPr>
                  </w:pPr>
                  <w:r>
                    <w:rPr>
                      <w:color w:val="000000" w:themeColor="text1"/>
                      <w:spacing w:val="-4"/>
                      <w14:textFill>
                        <w14:solidFill>
                          <w14:schemeClr w14:val="tx1"/>
                        </w14:solidFill>
                      </w14:textFill>
                    </w:rPr>
                    <w:t>病死牲畜和不合格产品等</w:t>
                  </w:r>
                  <w:r>
                    <w:rPr>
                      <w:rFonts w:hint="eastAsia"/>
                      <w:color w:val="000000" w:themeColor="text1"/>
                      <w:spacing w:val="-4"/>
                      <w:lang w:val="en-US" w:eastAsia="zh-CN"/>
                      <w14:textFill>
                        <w14:solidFill>
                          <w14:schemeClr w14:val="tx1"/>
                        </w14:solidFill>
                      </w14:textFill>
                    </w:rPr>
                    <w:t>依托现有的冷库，冷库</w:t>
                  </w:r>
                  <w:r>
                    <w:rPr>
                      <w:rFonts w:ascii="Times New Roman" w:hAnsi="Times New Roman" w:eastAsia="宋体" w:cs="Times New Roman"/>
                      <w:smallCaps w:val="0"/>
                      <w:color w:val="000000" w:themeColor="text1"/>
                      <w:sz w:val="21"/>
                      <w:szCs w:val="21"/>
                      <w:highlight w:val="none"/>
                      <w14:textFill>
                        <w14:solidFill>
                          <w14:schemeClr w14:val="tx1"/>
                        </w14:solidFill>
                      </w14:textFill>
                    </w:rPr>
                    <w:t>面积</w:t>
                  </w: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5</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r>
                    <w:rPr>
                      <w:rFonts w:hint="eastAsia" w:ascii="Times New Roman" w:hAnsi="Times New Roman" w:cs="Times New Roman"/>
                      <w:smallCaps w:val="0"/>
                      <w:color w:val="000000" w:themeColor="text1"/>
                      <w:sz w:val="21"/>
                      <w:szCs w:val="21"/>
                      <w:highlight w:val="none"/>
                      <w:vertAlign w:val="baseline"/>
                      <w:lang w:eastAsia="zh-CN"/>
                      <w14:textFill>
                        <w14:solidFill>
                          <w14:schemeClr w14:val="tx1"/>
                        </w14:solidFill>
                      </w14:textFill>
                    </w:rPr>
                    <w:t>，</w:t>
                  </w:r>
                  <w:r>
                    <w:rPr>
                      <w:color w:val="000000" w:themeColor="text1"/>
                      <w:spacing w:val="-4"/>
                      <w14:textFill>
                        <w14:solidFill>
                          <w14:schemeClr w14:val="tx1"/>
                        </w14:solidFill>
                      </w14:textFill>
                    </w:rPr>
                    <w:t>委托无害化处理</w:t>
                  </w:r>
                  <w:r>
                    <w:rPr>
                      <w:rFonts w:hint="eastAsia"/>
                      <w:color w:val="000000" w:themeColor="text1"/>
                      <w:spacing w:val="-4"/>
                      <w:lang w:eastAsia="zh-CN"/>
                      <w14:textFill>
                        <w14:solidFill>
                          <w14:schemeClr w14:val="tx1"/>
                        </w14:solidFill>
                      </w14:textFill>
                    </w:rPr>
                    <w:t>；</w:t>
                  </w:r>
                  <w:r>
                    <w:rPr>
                      <w:rFonts w:hint="eastAsia"/>
                      <w:color w:val="000000" w:themeColor="text1"/>
                      <w:spacing w:val="-4"/>
                      <w:lang w:val="en-US" w:eastAsia="zh-CN"/>
                      <w14:textFill>
                        <w14:solidFill>
                          <w14:schemeClr w14:val="tx1"/>
                        </w14:solidFill>
                      </w14:textFill>
                    </w:rPr>
                    <w:t>暂存后委托常州市宏宝生物科技有限公司无害化处置。</w:t>
                  </w:r>
                </w:p>
              </w:tc>
              <w:tc>
                <w:tcPr>
                  <w:tcW w:w="830" w:type="pct"/>
                  <w:vAlign w:val="center"/>
                </w:tcPr>
                <w:p w14:paraId="5C7E3E38">
                  <w:pPr>
                    <w:pStyle w:val="62"/>
                    <w:autoSpaceDE w:val="0"/>
                    <w:autoSpaceDN w:val="0"/>
                    <w:snapToGrid w:val="0"/>
                    <w:jc w:val="center"/>
                    <w:rPr>
                      <w:rFonts w:hint="eastAsia"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w:t>
                  </w:r>
                </w:p>
              </w:tc>
              <w:tc>
                <w:tcPr>
                  <w:tcW w:w="540" w:type="pct"/>
                  <w:vAlign w:val="center"/>
                </w:tcPr>
                <w:p w14:paraId="6391DCE0">
                  <w:pPr>
                    <w:pStyle w:val="62"/>
                    <w:autoSpaceDE w:val="0"/>
                    <w:autoSpaceDN w:val="0"/>
                    <w:snapToGrid w:val="0"/>
                    <w:jc w:val="center"/>
                    <w:rPr>
                      <w:rFonts w:hint="default" w:ascii="Times New Roman" w:hAnsi="Times New Roman" w:eastAsia="宋体"/>
                      <w:smallCaps w:val="0"/>
                      <w:color w:val="000000" w:themeColor="text1"/>
                      <w:sz w:val="21"/>
                      <w:szCs w:val="21"/>
                      <w:highlight w:val="none"/>
                      <w:lang w:val="en-US"/>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依托现有</w:t>
                  </w:r>
                </w:p>
              </w:tc>
            </w:tr>
            <w:tr w14:paraId="202CC30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032E0039">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Merge w:val="continue"/>
                  <w:vAlign w:val="center"/>
                </w:tcPr>
                <w:p w14:paraId="326BA2B3">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p>
              </w:tc>
              <w:tc>
                <w:tcPr>
                  <w:tcW w:w="1058" w:type="pct"/>
                  <w:vAlign w:val="center"/>
                </w:tcPr>
                <w:p w14:paraId="53C2A592">
                  <w:pPr>
                    <w:pStyle w:val="62"/>
                    <w:autoSpaceDE w:val="0"/>
                    <w:autoSpaceDN w:val="0"/>
                    <w:snapToGrid w:val="0"/>
                    <w:jc w:val="center"/>
                    <w:rPr>
                      <w:rFonts w:hint="eastAsia"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w:t>
                  </w:r>
                </w:p>
              </w:tc>
              <w:tc>
                <w:tcPr>
                  <w:tcW w:w="1169" w:type="pct"/>
                  <w:shd w:val="clear" w:color="auto" w:fill="auto"/>
                  <w:vAlign w:val="center"/>
                </w:tcPr>
                <w:p w14:paraId="672E6144">
                  <w:pPr>
                    <w:pStyle w:val="62"/>
                    <w:autoSpaceDE w:val="0"/>
                    <w:autoSpaceDN w:val="0"/>
                    <w:snapToGrid w:val="0"/>
                    <w:jc w:val="center"/>
                    <w:rPr>
                      <w:rFonts w:hint="default"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新建一间一般固废仓库，用于污泥暂存间</w:t>
                  </w:r>
                </w:p>
              </w:tc>
              <w:tc>
                <w:tcPr>
                  <w:tcW w:w="830" w:type="pct"/>
                  <w:vAlign w:val="center"/>
                </w:tcPr>
                <w:p w14:paraId="1F37DA82">
                  <w:pPr>
                    <w:pStyle w:val="62"/>
                    <w:autoSpaceDE w:val="0"/>
                    <w:autoSpaceDN w:val="0"/>
                    <w:snapToGrid w:val="0"/>
                    <w:jc w:val="center"/>
                    <w:rPr>
                      <w:rFonts w:hint="default" w:ascii="Times New Roman" w:hAnsi="Times New Roman"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新增一间一般固废仓库</w:t>
                  </w:r>
                </w:p>
              </w:tc>
              <w:tc>
                <w:tcPr>
                  <w:tcW w:w="540" w:type="pct"/>
                  <w:vAlign w:val="center"/>
                </w:tcPr>
                <w:p w14:paraId="3058DAD5">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新建</w:t>
                  </w:r>
                </w:p>
              </w:tc>
            </w:tr>
            <w:tr w14:paraId="3EDEED8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33178241">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Merge w:val="continue"/>
                  <w:vAlign w:val="center"/>
                </w:tcPr>
                <w:p w14:paraId="3D3D8E59">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p>
              </w:tc>
              <w:tc>
                <w:tcPr>
                  <w:tcW w:w="1058" w:type="pct"/>
                  <w:vAlign w:val="center"/>
                </w:tcPr>
                <w:p w14:paraId="1CBD67CE">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w:t>
                  </w:r>
                </w:p>
              </w:tc>
              <w:tc>
                <w:tcPr>
                  <w:tcW w:w="1169" w:type="pct"/>
                  <w:shd w:val="clear" w:color="auto" w:fill="auto"/>
                  <w:vAlign w:val="center"/>
                </w:tcPr>
                <w:p w14:paraId="1BA4FE04">
                  <w:pPr>
                    <w:pStyle w:val="62"/>
                    <w:autoSpaceDE w:val="0"/>
                    <w:autoSpaceDN w:val="0"/>
                    <w:snapToGrid w:val="0"/>
                    <w:jc w:val="center"/>
                    <w:rPr>
                      <w:rFonts w:hint="default"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新建一座</w:t>
                  </w:r>
                  <w:r>
                    <w:rPr>
                      <w:color w:val="000000" w:themeColor="text1"/>
                      <w:spacing w:val="-6"/>
                      <w14:textFill>
                        <w14:solidFill>
                          <w14:schemeClr w14:val="tx1"/>
                        </w14:solidFill>
                      </w14:textFill>
                    </w:rPr>
                    <w:t>粪便等暂存</w:t>
                  </w:r>
                  <w:r>
                    <w:rPr>
                      <w:rFonts w:hint="eastAsia"/>
                      <w:color w:val="000000" w:themeColor="text1"/>
                      <w:spacing w:val="-6"/>
                      <w:lang w:val="en-US" w:eastAsia="zh-CN"/>
                      <w14:textFill>
                        <w14:solidFill>
                          <w14:schemeClr w14:val="tx1"/>
                        </w14:solidFill>
                      </w14:textFill>
                    </w:rPr>
                    <w:t>库</w:t>
                  </w:r>
                  <w:r>
                    <w:rPr>
                      <w:rFonts w:hint="eastAsia"/>
                      <w:color w:val="000000" w:themeColor="text1"/>
                      <w:spacing w:val="-6"/>
                      <w:lang w:eastAsia="zh-CN"/>
                      <w14:textFill>
                        <w14:solidFill>
                          <w14:schemeClr w14:val="tx1"/>
                        </w14:solidFill>
                      </w14:textFill>
                    </w:rPr>
                    <w:t>，</w:t>
                  </w:r>
                  <w:r>
                    <w:rPr>
                      <w:rFonts w:hint="eastAsia"/>
                      <w:color w:val="000000" w:themeColor="text1"/>
                      <w:spacing w:val="-6"/>
                      <w:lang w:val="en-US" w:eastAsia="zh-CN"/>
                      <w14:textFill>
                        <w14:solidFill>
                          <w14:schemeClr w14:val="tx1"/>
                        </w14:solidFill>
                      </w14:textFill>
                    </w:rPr>
                    <w:t>用于</w:t>
                  </w:r>
                  <w:r>
                    <w:rPr>
                      <w:color w:val="000000" w:themeColor="text1"/>
                      <w:spacing w:val="-5"/>
                      <w14:textFill>
                        <w14:solidFill>
                          <w14:schemeClr w14:val="tx1"/>
                        </w14:solidFill>
                      </w14:textFill>
                    </w:rPr>
                    <w:t>暂存粪便、肠胃内容物、屠宰残渣</w:t>
                  </w:r>
                </w:p>
              </w:tc>
              <w:tc>
                <w:tcPr>
                  <w:tcW w:w="830" w:type="pct"/>
                  <w:vAlign w:val="center"/>
                </w:tcPr>
                <w:p w14:paraId="5FBD07CF">
                  <w:pPr>
                    <w:pStyle w:val="62"/>
                    <w:autoSpaceDE w:val="0"/>
                    <w:autoSpaceDN w:val="0"/>
                    <w:snapToGrid w:val="0"/>
                    <w:jc w:val="center"/>
                    <w:rPr>
                      <w:rFonts w:hint="default" w:ascii="Times New Roman" w:hAnsi="Times New Roman"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新增一间粪便暂存库</w:t>
                  </w:r>
                </w:p>
              </w:tc>
              <w:tc>
                <w:tcPr>
                  <w:tcW w:w="540" w:type="pct"/>
                  <w:vAlign w:val="center"/>
                </w:tcPr>
                <w:p w14:paraId="54829459">
                  <w:pPr>
                    <w:pStyle w:val="62"/>
                    <w:autoSpaceDE w:val="0"/>
                    <w:autoSpaceDN w:val="0"/>
                    <w:snapToGrid w:val="0"/>
                    <w:jc w:val="center"/>
                    <w:rPr>
                      <w:rFonts w:hint="default" w:ascii="Times New Roman" w:hAnsi="Times New Roman" w:eastAsia="宋体"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新建</w:t>
                  </w:r>
                </w:p>
              </w:tc>
            </w:tr>
            <w:tr w14:paraId="39AC321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3F3B3E2B">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735B24D9">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p>
              </w:tc>
              <w:tc>
                <w:tcPr>
                  <w:tcW w:w="1058" w:type="pct"/>
                  <w:vAlign w:val="center"/>
                </w:tcPr>
                <w:p w14:paraId="551B3259">
                  <w:pPr>
                    <w:pStyle w:val="62"/>
                    <w:autoSpaceDE w:val="0"/>
                    <w:autoSpaceDN w:val="0"/>
                    <w:snapToGrid w:val="0"/>
                    <w:jc w:val="center"/>
                    <w:rPr>
                      <w:rFonts w:hint="default" w:ascii="Times New Roman" w:hAnsi="Times New Roman"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w:t>
                  </w:r>
                </w:p>
              </w:tc>
              <w:tc>
                <w:tcPr>
                  <w:tcW w:w="1169" w:type="pct"/>
                  <w:shd w:val="clear" w:color="auto" w:fill="auto"/>
                  <w:vAlign w:val="center"/>
                </w:tcPr>
                <w:p w14:paraId="59681C2B">
                  <w:pPr>
                    <w:pStyle w:val="62"/>
                    <w:autoSpaceDE w:val="0"/>
                    <w:autoSpaceDN w:val="0"/>
                    <w:snapToGrid w:val="0"/>
                    <w:jc w:val="center"/>
                    <w:rPr>
                      <w:rFonts w:hint="eastAsia" w:ascii="Times New Roman" w:hAnsi="Times New Roman" w:eastAsia="宋体"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新建一座危废仓库用于检疫废物的暂存，危废仓库建筑面积约为1</w:t>
                  </w:r>
                  <w:r>
                    <w:rPr>
                      <w:rFonts w:ascii="Times New Roman" w:hAnsi="Times New Roman" w:eastAsia="宋体" w:cs="Times New Roman"/>
                      <w:smallCaps w:val="0"/>
                      <w:color w:val="000000" w:themeColor="text1"/>
                      <w:sz w:val="21"/>
                      <w:szCs w:val="21"/>
                      <w:highlight w:val="none"/>
                      <w14:textFill>
                        <w14:solidFill>
                          <w14:schemeClr w14:val="tx1"/>
                        </w14:solidFill>
                      </w14:textFill>
                    </w:rPr>
                    <w:t>m</w:t>
                  </w:r>
                  <w:r>
                    <w:rPr>
                      <w:rFonts w:ascii="Times New Roman" w:hAnsi="Times New Roman" w:eastAsia="宋体" w:cs="Times New Roman"/>
                      <w:smallCaps w:val="0"/>
                      <w:color w:val="000000" w:themeColor="text1"/>
                      <w:sz w:val="21"/>
                      <w:szCs w:val="21"/>
                      <w:highlight w:val="none"/>
                      <w:vertAlign w:val="superscript"/>
                      <w14:textFill>
                        <w14:solidFill>
                          <w14:schemeClr w14:val="tx1"/>
                        </w14:solidFill>
                      </w14:textFill>
                    </w:rPr>
                    <w:t>2</w:t>
                  </w:r>
                </w:p>
              </w:tc>
              <w:tc>
                <w:tcPr>
                  <w:tcW w:w="830" w:type="pct"/>
                  <w:vAlign w:val="center"/>
                </w:tcPr>
                <w:p w14:paraId="4964653D">
                  <w:pPr>
                    <w:pStyle w:val="62"/>
                    <w:autoSpaceDE w:val="0"/>
                    <w:autoSpaceDN w:val="0"/>
                    <w:snapToGrid w:val="0"/>
                    <w:jc w:val="center"/>
                    <w:rPr>
                      <w:rFonts w:hint="default" w:ascii="Times New Roman" w:hAnsi="Times New Roman" w:cs="Times New Roman"/>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color w:val="000000" w:themeColor="text1"/>
                      <w:sz w:val="21"/>
                      <w:szCs w:val="21"/>
                      <w:highlight w:val="none"/>
                      <w:lang w:val="en-US" w:eastAsia="zh-CN"/>
                      <w14:textFill>
                        <w14:solidFill>
                          <w14:schemeClr w14:val="tx1"/>
                        </w14:solidFill>
                      </w14:textFill>
                    </w:rPr>
                    <w:t>新增一间危废仓库</w:t>
                  </w:r>
                </w:p>
              </w:tc>
              <w:tc>
                <w:tcPr>
                  <w:tcW w:w="540" w:type="pct"/>
                  <w:vAlign w:val="center"/>
                </w:tcPr>
                <w:p w14:paraId="2E782A0B">
                  <w:pPr>
                    <w:pStyle w:val="62"/>
                    <w:autoSpaceDE w:val="0"/>
                    <w:autoSpaceDN w:val="0"/>
                    <w:snapToGrid w:val="0"/>
                    <w:jc w:val="cente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pPr>
                  <w:r>
                    <w:rPr>
                      <w:rFonts w:hint="eastAsia" w:ascii="Times New Roman" w:hAnsi="Times New Roman" w:cs="Times New Roman"/>
                      <w:smallCaps w:val="0"/>
                      <w:snapToGrid w:val="0"/>
                      <w:color w:val="000000" w:themeColor="text1"/>
                      <w:sz w:val="21"/>
                      <w:szCs w:val="21"/>
                      <w:highlight w:val="none"/>
                      <w:lang w:val="en-US" w:eastAsia="zh-CN"/>
                      <w14:textFill>
                        <w14:solidFill>
                          <w14:schemeClr w14:val="tx1"/>
                        </w14:solidFill>
                      </w14:textFill>
                    </w:rPr>
                    <w:t>新建</w:t>
                  </w:r>
                </w:p>
              </w:tc>
            </w:tr>
            <w:tr w14:paraId="0C5E7DA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06979E15">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06C30EC9">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地下水</w:t>
                  </w:r>
                  <w:r>
                    <w:rPr>
                      <w:rFonts w:hint="eastAsia" w:ascii="Times New Roman" w:hAnsi="Times New Roman" w:eastAsia="宋体"/>
                      <w:smallCaps w:val="0"/>
                      <w:color w:val="000000" w:themeColor="text1"/>
                      <w:sz w:val="21"/>
                      <w:szCs w:val="21"/>
                      <w:highlight w:val="none"/>
                      <w14:textFill>
                        <w14:solidFill>
                          <w14:schemeClr w14:val="tx1"/>
                        </w14:solidFill>
                      </w14:textFill>
                    </w:rPr>
                    <w:t>、</w:t>
                  </w:r>
                  <w:r>
                    <w:rPr>
                      <w:rFonts w:ascii="Times New Roman" w:hAnsi="Times New Roman" w:eastAsia="宋体"/>
                      <w:smallCaps w:val="0"/>
                      <w:color w:val="000000" w:themeColor="text1"/>
                      <w:sz w:val="21"/>
                      <w:szCs w:val="21"/>
                      <w:highlight w:val="none"/>
                      <w14:textFill>
                        <w14:solidFill>
                          <w14:schemeClr w14:val="tx1"/>
                        </w14:solidFill>
                      </w14:textFill>
                    </w:rPr>
                    <w:t>土壤</w:t>
                  </w:r>
                </w:p>
                <w:p w14:paraId="2A3E8EA4">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污染防治措施</w:t>
                  </w:r>
                </w:p>
              </w:tc>
              <w:tc>
                <w:tcPr>
                  <w:tcW w:w="3598" w:type="pct"/>
                  <w:gridSpan w:val="4"/>
                  <w:vAlign w:val="center"/>
                </w:tcPr>
                <w:p w14:paraId="274C398E">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分区防渗，污水处理站等重点防渗；屠宰间、</w:t>
                  </w: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圈养区域等生产车间</w:t>
                  </w:r>
                  <w:r>
                    <w:rPr>
                      <w:rFonts w:hint="eastAsia" w:ascii="Times New Roman" w:hAnsi="Times New Roman" w:eastAsia="宋体"/>
                      <w:smallCaps w:val="0"/>
                      <w:color w:val="000000" w:themeColor="text1"/>
                      <w:sz w:val="21"/>
                      <w:szCs w:val="21"/>
                      <w:highlight w:val="none"/>
                      <w14:textFill>
                        <w14:solidFill>
                          <w14:schemeClr w14:val="tx1"/>
                        </w14:solidFill>
                      </w14:textFill>
                    </w:rPr>
                    <w:t>一般防渗区</w:t>
                  </w:r>
                  <w:r>
                    <w:rPr>
                      <w:rFonts w:hint="eastAsia" w:ascii="Times New Roman" w:hAnsi="Times New Roman" w:eastAsia="宋体"/>
                      <w:smallCap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t>生产车间、办公用房</w:t>
                  </w:r>
                  <w:r>
                    <w:rPr>
                      <w:rFonts w:hint="eastAsia" w:ascii="Times New Roman" w:hAnsi="Times New Roman" w:eastAsia="宋体"/>
                      <w:smallCap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smallCaps w:val="0"/>
                      <w:color w:val="000000" w:themeColor="text1"/>
                      <w:sz w:val="21"/>
                      <w:szCs w:val="21"/>
                      <w:highlight w:val="none"/>
                      <w14:textFill>
                        <w14:solidFill>
                          <w14:schemeClr w14:val="tx1"/>
                        </w14:solidFill>
                      </w14:textFill>
                    </w:rPr>
                    <w:t>，按规范要求防腐防渗</w:t>
                  </w:r>
                </w:p>
              </w:tc>
            </w:tr>
            <w:tr w14:paraId="1C57DF1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Merge w:val="continue"/>
                  <w:vAlign w:val="center"/>
                </w:tcPr>
                <w:p w14:paraId="698BD5F7">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p>
              </w:tc>
              <w:tc>
                <w:tcPr>
                  <w:tcW w:w="1107" w:type="pct"/>
                  <w:gridSpan w:val="2"/>
                  <w:vAlign w:val="center"/>
                </w:tcPr>
                <w:p w14:paraId="5EDF5BEC">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风险防范应急设施</w:t>
                  </w:r>
                </w:p>
              </w:tc>
              <w:tc>
                <w:tcPr>
                  <w:tcW w:w="3598" w:type="pct"/>
                  <w:gridSpan w:val="4"/>
                  <w:vAlign w:val="center"/>
                </w:tcPr>
                <w:p w14:paraId="316A4A34">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r>
                    <w:rPr>
                      <w:rFonts w:hint="eastAsia" w:ascii="Times New Roman" w:hAnsi="Times New Roman" w:eastAsia="宋体"/>
                      <w:smallCaps w:val="0"/>
                      <w:color w:val="000000" w:themeColor="text1"/>
                      <w:sz w:val="21"/>
                      <w:szCs w:val="21"/>
                      <w:highlight w:val="none"/>
                      <w14:textFill>
                        <w14:solidFill>
                          <w14:schemeClr w14:val="tx1"/>
                        </w14:solidFill>
                      </w14:textFill>
                    </w:rPr>
                    <w:t>雨水排口设控制阀门，车间内外配套消防设施</w:t>
                  </w:r>
                </w:p>
              </w:tc>
            </w:tr>
            <w:tr w14:paraId="3282D53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Align w:val="center"/>
                </w:tcPr>
                <w:p w14:paraId="6E3E9740">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r>
                    <w:rPr>
                      <w:rFonts w:hint="eastAsia" w:ascii="Times New Roman" w:hAnsi="Times New Roman" w:eastAsia="宋体"/>
                      <w:smallCaps w:val="0"/>
                      <w:snapToGrid w:val="0"/>
                      <w:color w:val="000000" w:themeColor="text1"/>
                      <w:sz w:val="21"/>
                      <w:szCs w:val="21"/>
                      <w:highlight w:val="none"/>
                      <w14:textFill>
                        <w14:solidFill>
                          <w14:schemeClr w14:val="tx1"/>
                        </w14:solidFill>
                      </w14:textFill>
                    </w:rPr>
                    <w:t>储运</w:t>
                  </w:r>
                  <w:r>
                    <w:rPr>
                      <w:rFonts w:ascii="Times New Roman" w:hAnsi="Times New Roman" w:eastAsia="宋体"/>
                      <w:smallCaps w:val="0"/>
                      <w:snapToGrid w:val="0"/>
                      <w:color w:val="000000" w:themeColor="text1"/>
                      <w:sz w:val="21"/>
                      <w:szCs w:val="21"/>
                      <w:highlight w:val="none"/>
                      <w14:textFill>
                        <w14:solidFill>
                          <w14:schemeClr w14:val="tx1"/>
                        </w14:solidFill>
                      </w14:textFill>
                    </w:rPr>
                    <w:t>工程</w:t>
                  </w:r>
                </w:p>
              </w:tc>
              <w:tc>
                <w:tcPr>
                  <w:tcW w:w="1107" w:type="pct"/>
                  <w:gridSpan w:val="2"/>
                  <w:vAlign w:val="center"/>
                </w:tcPr>
                <w:p w14:paraId="7402F1CC">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厂外运输</w:t>
                  </w:r>
                </w:p>
              </w:tc>
              <w:tc>
                <w:tcPr>
                  <w:tcW w:w="3598" w:type="pct"/>
                  <w:gridSpan w:val="4"/>
                  <w:vAlign w:val="center"/>
                </w:tcPr>
                <w:p w14:paraId="25CFAC83">
                  <w:pPr>
                    <w:pStyle w:val="62"/>
                    <w:autoSpaceDE w:val="0"/>
                    <w:autoSpaceDN w:val="0"/>
                    <w:snapToGrid w:val="0"/>
                    <w:jc w:val="center"/>
                    <w:rPr>
                      <w:rFonts w:ascii="Times New Roman" w:hAnsi="Times New Roman" w:eastAsia="宋体" w:cs="Times New Roman"/>
                      <w:smallCaps w:val="0"/>
                      <w:color w:val="000000" w:themeColor="text1"/>
                      <w:sz w:val="21"/>
                      <w:szCs w:val="21"/>
                      <w:highlight w:val="none"/>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原料和成品由社会车辆承担运输</w:t>
                  </w:r>
                </w:p>
              </w:tc>
            </w:tr>
            <w:tr w14:paraId="6327C28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3" w:type="pct"/>
                  <w:vAlign w:val="center"/>
                </w:tcPr>
                <w:p w14:paraId="7691624A">
                  <w:pPr>
                    <w:autoSpaceDE w:val="0"/>
                    <w:autoSpaceDN w:val="0"/>
                    <w:snapToGrid w:val="0"/>
                    <w:jc w:val="center"/>
                    <w:rPr>
                      <w:rFonts w:ascii="Times New Roman" w:hAnsi="Times New Roman" w:eastAsia="宋体"/>
                      <w:smallCaps w:val="0"/>
                      <w:snapToGrid w:val="0"/>
                      <w:color w:val="000000" w:themeColor="text1"/>
                      <w:sz w:val="21"/>
                      <w:szCs w:val="21"/>
                      <w:highlight w:val="none"/>
                      <w14:textFill>
                        <w14:solidFill>
                          <w14:schemeClr w14:val="tx1"/>
                        </w14:solidFill>
                      </w14:textFill>
                    </w:rPr>
                  </w:pPr>
                  <w:r>
                    <w:rPr>
                      <w:rFonts w:ascii="Times New Roman" w:hAnsi="Times New Roman" w:eastAsia="宋体"/>
                      <w:smallCaps w:val="0"/>
                      <w:snapToGrid w:val="0"/>
                      <w:color w:val="000000" w:themeColor="text1"/>
                      <w:sz w:val="21"/>
                      <w:szCs w:val="21"/>
                      <w:highlight w:val="none"/>
                      <w14:textFill>
                        <w14:solidFill>
                          <w14:schemeClr w14:val="tx1"/>
                        </w14:solidFill>
                      </w14:textFill>
                    </w:rPr>
                    <w:t>依托工程</w:t>
                  </w:r>
                </w:p>
              </w:tc>
              <w:tc>
                <w:tcPr>
                  <w:tcW w:w="4706" w:type="pct"/>
                  <w:gridSpan w:val="6"/>
                  <w:vAlign w:val="center"/>
                </w:tcPr>
                <w:p w14:paraId="79725CBF">
                  <w:pPr>
                    <w:pStyle w:val="62"/>
                    <w:autoSpaceDE w:val="0"/>
                    <w:autoSpaceDN w:val="0"/>
                    <w:snapToGrid w:val="0"/>
                    <w:jc w:val="center"/>
                    <w:rPr>
                      <w:rFonts w:hint="default" w:ascii="Times New Roman" w:hAnsi="Times New Roman" w:eastAsia="宋体" w:cs="Times New Roman"/>
                      <w:smallCaps w:val="0"/>
                      <w:color w:val="000000" w:themeColor="text1"/>
                      <w:sz w:val="21"/>
                      <w:szCs w:val="21"/>
                      <w:highlight w:val="none"/>
                      <w:lang w:val="en-US"/>
                      <w14:textFill>
                        <w14:solidFill>
                          <w14:schemeClr w14:val="tx1"/>
                        </w14:solidFill>
                      </w14:textFill>
                    </w:rPr>
                  </w:pPr>
                  <w:r>
                    <w:rPr>
                      <w:rFonts w:ascii="Times New Roman" w:hAnsi="Times New Roman" w:eastAsia="宋体"/>
                      <w:smallCaps w:val="0"/>
                      <w:color w:val="000000" w:themeColor="text1"/>
                      <w:sz w:val="21"/>
                      <w:szCs w:val="21"/>
                      <w:highlight w:val="none"/>
                      <w14:textFill>
                        <w14:solidFill>
                          <w14:schemeClr w14:val="tx1"/>
                        </w14:solidFill>
                      </w14:textFill>
                    </w:rPr>
                    <w:t>厂区内已实施雨污分流体制，依托</w:t>
                  </w:r>
                  <w:r>
                    <w:rPr>
                      <w:rFonts w:hint="eastAsia" w:ascii="Times New Roman" w:hAnsi="Times New Roman"/>
                      <w:smallCaps w:val="0"/>
                      <w:color w:val="000000" w:themeColor="text1"/>
                      <w:kern w:val="0"/>
                      <w:sz w:val="21"/>
                      <w:szCs w:val="21"/>
                      <w:highlight w:val="none"/>
                      <w:lang w:val="en-US" w:eastAsia="zh-CN"/>
                      <w14:textFill>
                        <w14:solidFill>
                          <w14:schemeClr w14:val="tx1"/>
                        </w14:solidFill>
                      </w14:textFill>
                    </w:rPr>
                    <w:t>出租方</w:t>
                  </w:r>
                  <w:r>
                    <w:rPr>
                      <w:rFonts w:ascii="Times New Roman" w:hAnsi="Times New Roman" w:eastAsia="宋体"/>
                      <w:smallCaps w:val="0"/>
                      <w:color w:val="000000" w:themeColor="text1"/>
                      <w:sz w:val="21"/>
                      <w:szCs w:val="21"/>
                      <w:highlight w:val="none"/>
                      <w14:textFill>
                        <w14:solidFill>
                          <w14:schemeClr w14:val="tx1"/>
                        </w14:solidFill>
                      </w14:textFill>
                    </w:rPr>
                    <w:t>现有管网、雨污水排放口，</w:t>
                  </w:r>
                  <w:r>
                    <w:rPr>
                      <w:rFonts w:hint="eastAsia" w:ascii="Times New Roman" w:hAnsi="Times New Roman"/>
                      <w:smallCaps w:val="0"/>
                      <w:color w:val="000000" w:themeColor="text1"/>
                      <w:sz w:val="21"/>
                      <w:szCs w:val="21"/>
                      <w:highlight w:val="none"/>
                      <w:lang w:val="en-US" w:eastAsia="zh-CN"/>
                      <w14:textFill>
                        <w14:solidFill>
                          <w14:schemeClr w14:val="tx1"/>
                        </w14:solidFill>
                      </w14:textFill>
                    </w:rPr>
                    <w:t>新建污水排放口</w:t>
                  </w:r>
                </w:p>
              </w:tc>
            </w:tr>
          </w:tbl>
          <w:p w14:paraId="72A06EEC">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5</w:t>
            </w:r>
            <w:r>
              <w:rPr>
                <w:rFonts w:ascii="Times New Roman" w:hAnsi="Times New Roman" w:eastAsia="宋体" w:cs="宋体"/>
                <w:b/>
                <w:bCs/>
                <w:color w:val="000000" w:themeColor="text1"/>
                <w:sz w:val="21"/>
                <w:szCs w:val="21"/>
                <w:highlight w:val="none"/>
                <w14:textFill>
                  <w14:solidFill>
                    <w14:schemeClr w14:val="tx1"/>
                  </w14:solidFill>
                </w14:textFill>
              </w:rPr>
              <w:t>、</w:t>
            </w:r>
            <w:r>
              <w:rPr>
                <w:rFonts w:hint="eastAsia" w:ascii="Times New Roman" w:hAnsi="Times New Roman" w:eastAsia="宋体" w:cs="宋体"/>
                <w:b/>
                <w:bCs/>
                <w:color w:val="000000" w:themeColor="text1"/>
                <w:sz w:val="21"/>
                <w:szCs w:val="21"/>
                <w:highlight w:val="none"/>
                <w14:textFill>
                  <w14:solidFill>
                    <w14:schemeClr w14:val="tx1"/>
                  </w14:solidFill>
                </w14:textFill>
              </w:rPr>
              <w:t>原辅材料</w:t>
            </w:r>
          </w:p>
          <w:p w14:paraId="3455CB4F">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2-4  </w:t>
            </w:r>
            <w:r>
              <w:rPr>
                <w:rFonts w:ascii="Times New Roman" w:hAnsi="Times New Roman" w:eastAsia="宋体" w:cs="宋体"/>
                <w:b/>
                <w:bCs/>
                <w:color w:val="000000" w:themeColor="text1"/>
                <w:spacing w:val="-4"/>
                <w:sz w:val="21"/>
                <w:szCs w:val="21"/>
                <w:highlight w:val="none"/>
                <w14:textFill>
                  <w14:solidFill>
                    <w14:schemeClr w14:val="tx1"/>
                  </w14:solidFill>
                </w14:textFill>
              </w:rPr>
              <w:t>主要原辅材料一览表</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87"/>
              <w:gridCol w:w="1459"/>
              <w:gridCol w:w="2628"/>
              <w:gridCol w:w="1176"/>
              <w:gridCol w:w="593"/>
              <w:gridCol w:w="884"/>
              <w:gridCol w:w="884"/>
            </w:tblGrid>
            <w:tr w14:paraId="133BF7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58" w:type="pct"/>
                  <w:noWrap w:val="0"/>
                  <w:vAlign w:val="center"/>
                </w:tcPr>
                <w:p w14:paraId="26D9C28A">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ascii="Times New Roman" w:hAnsi="Times New Roman" w:eastAsia="宋体"/>
                      <w:b/>
                      <w:bCs/>
                      <w:color w:val="000000" w:themeColor="text1"/>
                      <w:spacing w:val="-4"/>
                      <w:sz w:val="21"/>
                      <w:szCs w:val="21"/>
                      <w:highlight w:val="none"/>
                      <w14:textFill>
                        <w14:solidFill>
                          <w14:schemeClr w14:val="tx1"/>
                        </w14:solidFill>
                      </w14:textFill>
                    </w:rPr>
                    <w:t>序号</w:t>
                  </w:r>
                </w:p>
              </w:tc>
              <w:tc>
                <w:tcPr>
                  <w:tcW w:w="889" w:type="pct"/>
                  <w:noWrap w:val="0"/>
                  <w:vAlign w:val="center"/>
                </w:tcPr>
                <w:p w14:paraId="1C849093">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ascii="Times New Roman" w:hAnsi="Times New Roman" w:eastAsia="宋体"/>
                      <w:b/>
                      <w:bCs/>
                      <w:color w:val="000000" w:themeColor="text1"/>
                      <w:spacing w:val="-4"/>
                      <w:sz w:val="21"/>
                      <w:szCs w:val="21"/>
                      <w:highlight w:val="none"/>
                      <w14:textFill>
                        <w14:solidFill>
                          <w14:schemeClr w14:val="tx1"/>
                        </w14:solidFill>
                      </w14:textFill>
                    </w:rPr>
                    <w:t>物料名称</w:t>
                  </w:r>
                </w:p>
              </w:tc>
              <w:tc>
                <w:tcPr>
                  <w:tcW w:w="1600" w:type="pct"/>
                  <w:noWrap w:val="0"/>
                  <w:vAlign w:val="center"/>
                </w:tcPr>
                <w:p w14:paraId="1D1F6F77">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b/>
                      <w:bCs/>
                      <w:color w:val="000000" w:themeColor="text1"/>
                      <w:spacing w:val="-4"/>
                      <w:sz w:val="21"/>
                      <w:szCs w:val="21"/>
                      <w:highlight w:val="none"/>
                      <w14:textFill>
                        <w14:solidFill>
                          <w14:schemeClr w14:val="tx1"/>
                        </w14:solidFill>
                      </w14:textFill>
                    </w:rPr>
                    <w:t>规格型号，主要组分</w:t>
                  </w:r>
                </w:p>
              </w:tc>
              <w:tc>
                <w:tcPr>
                  <w:tcW w:w="716" w:type="pct"/>
                  <w:noWrap w:val="0"/>
                  <w:vAlign w:val="center"/>
                </w:tcPr>
                <w:p w14:paraId="2768A0C1">
                  <w:pPr>
                    <w:tabs>
                      <w:tab w:val="left" w:pos="960"/>
                    </w:tabs>
                    <w:snapToGrid w:val="0"/>
                    <w:jc w:val="center"/>
                    <w:rPr>
                      <w:rFonts w:hint="eastAsia" w:ascii="Times New Roman" w:hAnsi="Times New Roman" w:eastAsia="宋体"/>
                      <w:b/>
                      <w:bCs/>
                      <w:color w:val="000000" w:themeColor="text1"/>
                      <w:spacing w:val="-4"/>
                      <w:sz w:val="21"/>
                      <w:szCs w:val="21"/>
                      <w:highlight w:val="none"/>
                      <w:lang w:val="en-US" w:eastAsia="zh-CN"/>
                      <w14:textFill>
                        <w14:solidFill>
                          <w14:schemeClr w14:val="tx1"/>
                        </w14:solidFill>
                      </w14:textFill>
                    </w:rPr>
                  </w:pPr>
                  <w:r>
                    <w:rPr>
                      <w:rFonts w:hint="eastAsia"/>
                      <w:b/>
                      <w:bCs/>
                      <w:color w:val="000000" w:themeColor="text1"/>
                      <w:spacing w:val="-4"/>
                      <w:sz w:val="21"/>
                      <w:szCs w:val="21"/>
                      <w:highlight w:val="none"/>
                      <w:lang w:val="en-US" w:eastAsia="zh-CN"/>
                      <w14:textFill>
                        <w14:solidFill>
                          <w14:schemeClr w14:val="tx1"/>
                        </w14:solidFill>
                      </w14:textFill>
                    </w:rPr>
                    <w:t>包装规格</w:t>
                  </w:r>
                </w:p>
              </w:tc>
              <w:tc>
                <w:tcPr>
                  <w:tcW w:w="361" w:type="pct"/>
                  <w:noWrap w:val="0"/>
                  <w:vAlign w:val="center"/>
                </w:tcPr>
                <w:p w14:paraId="12C41508">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b/>
                      <w:bCs/>
                      <w:color w:val="000000" w:themeColor="text1"/>
                      <w:spacing w:val="-4"/>
                      <w:sz w:val="21"/>
                      <w:szCs w:val="21"/>
                      <w:highlight w:val="none"/>
                      <w14:textFill>
                        <w14:solidFill>
                          <w14:schemeClr w14:val="tx1"/>
                        </w14:solidFill>
                      </w14:textFill>
                    </w:rPr>
                    <w:t>单位</w:t>
                  </w:r>
                </w:p>
              </w:tc>
              <w:tc>
                <w:tcPr>
                  <w:tcW w:w="538" w:type="pct"/>
                  <w:noWrap w:val="0"/>
                  <w:vAlign w:val="center"/>
                </w:tcPr>
                <w:p w14:paraId="2E8A4AF0">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b/>
                      <w:bCs/>
                      <w:color w:val="000000" w:themeColor="text1"/>
                      <w:spacing w:val="-4"/>
                      <w:sz w:val="21"/>
                      <w:szCs w:val="21"/>
                      <w:highlight w:val="none"/>
                      <w14:textFill>
                        <w14:solidFill>
                          <w14:schemeClr w14:val="tx1"/>
                        </w14:solidFill>
                      </w14:textFill>
                    </w:rPr>
                    <w:t>年耗量</w:t>
                  </w:r>
                </w:p>
              </w:tc>
              <w:tc>
                <w:tcPr>
                  <w:tcW w:w="535" w:type="pct"/>
                  <w:noWrap w:val="0"/>
                  <w:vAlign w:val="center"/>
                </w:tcPr>
                <w:p w14:paraId="36505404">
                  <w:pPr>
                    <w:tabs>
                      <w:tab w:val="left" w:pos="960"/>
                    </w:tabs>
                    <w:snapToGrid w:val="0"/>
                    <w:jc w:val="center"/>
                    <w:rPr>
                      <w:rFonts w:hint="eastAsia" w:ascii="Times New Roman" w:hAnsi="Times New Roman" w:eastAsia="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b/>
                      <w:bCs/>
                      <w:color w:val="000000" w:themeColor="text1"/>
                      <w:spacing w:val="-4"/>
                      <w:sz w:val="21"/>
                      <w:szCs w:val="21"/>
                      <w:highlight w:val="none"/>
                      <w14:textFill>
                        <w14:solidFill>
                          <w14:schemeClr w14:val="tx1"/>
                        </w14:solidFill>
                      </w14:textFill>
                    </w:rPr>
                    <w:t>最大</w:t>
                  </w:r>
                </w:p>
                <w:p w14:paraId="39760359">
                  <w:pPr>
                    <w:tabs>
                      <w:tab w:val="left" w:pos="960"/>
                    </w:tabs>
                    <w:snapToGrid w:val="0"/>
                    <w:jc w:val="center"/>
                    <w:rPr>
                      <w:rFonts w:ascii="Times New Roman" w:hAnsi="Times New Roman" w:eastAsia="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b/>
                      <w:bCs/>
                      <w:color w:val="000000" w:themeColor="text1"/>
                      <w:spacing w:val="-4"/>
                      <w:sz w:val="21"/>
                      <w:szCs w:val="21"/>
                      <w:highlight w:val="none"/>
                      <w14:textFill>
                        <w14:solidFill>
                          <w14:schemeClr w14:val="tx1"/>
                        </w14:solidFill>
                      </w14:textFill>
                    </w:rPr>
                    <w:t>存储量</w:t>
                  </w:r>
                </w:p>
              </w:tc>
            </w:tr>
            <w:tr w14:paraId="71F17D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7"/>
                  <w:noWrap w:val="0"/>
                  <w:vAlign w:val="center"/>
                </w:tcPr>
                <w:p w14:paraId="2BC5B2E0">
                  <w:pPr>
                    <w:tabs>
                      <w:tab w:val="left" w:pos="960"/>
                    </w:tabs>
                    <w:snapToGrid w:val="0"/>
                    <w:jc w:val="center"/>
                    <w:rPr>
                      <w:rFonts w:hint="eastAsia" w:ascii="Times New Roman" w:hAnsi="Times New Roman" w:eastAsia="宋体"/>
                      <w:b/>
                      <w:bCs/>
                      <w:color w:val="000000" w:themeColor="text1"/>
                      <w:spacing w:val="-4"/>
                      <w:sz w:val="21"/>
                      <w:szCs w:val="21"/>
                      <w:highlight w:val="none"/>
                      <w:lang w:val="en-US" w:eastAsia="zh-CN"/>
                      <w14:textFill>
                        <w14:solidFill>
                          <w14:schemeClr w14:val="tx1"/>
                        </w14:solidFill>
                      </w14:textFill>
                    </w:rPr>
                  </w:pPr>
                  <w:r>
                    <w:rPr>
                      <w:rFonts w:hint="eastAsia"/>
                      <w:b/>
                      <w:bCs/>
                      <w:color w:val="000000" w:themeColor="text1"/>
                      <w:spacing w:val="-4"/>
                      <w:sz w:val="21"/>
                      <w:szCs w:val="21"/>
                      <w:highlight w:val="none"/>
                      <w:lang w:val="en-US" w:eastAsia="zh-CN"/>
                      <w14:textFill>
                        <w14:solidFill>
                          <w14:schemeClr w14:val="tx1"/>
                        </w14:solidFill>
                      </w14:textFill>
                    </w:rPr>
                    <w:t>一期项目</w:t>
                  </w:r>
                </w:p>
              </w:tc>
            </w:tr>
            <w:tr w14:paraId="10696D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58" w:type="pct"/>
                  <w:shd w:val="clear" w:color="auto" w:fill="auto"/>
                  <w:noWrap w:val="0"/>
                  <w:vAlign w:val="center"/>
                </w:tcPr>
                <w:p w14:paraId="338038A0">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ascii="Times New Roman" w:hAnsi="Times New Roman" w:eastAsia="宋体"/>
                      <w:b w:val="0"/>
                      <w:bCs w:val="0"/>
                      <w:smallCaps w:val="0"/>
                      <w:color w:val="000000" w:themeColor="text1"/>
                      <w:spacing w:val="-4"/>
                      <w:sz w:val="21"/>
                      <w:szCs w:val="21"/>
                      <w14:textFill>
                        <w14:solidFill>
                          <w14:schemeClr w14:val="tx1"/>
                        </w14:solidFill>
                      </w14:textFill>
                    </w:rPr>
                    <w:t>1</w:t>
                  </w:r>
                </w:p>
              </w:tc>
              <w:tc>
                <w:tcPr>
                  <w:tcW w:w="889" w:type="pct"/>
                  <w:shd w:val="clear" w:color="auto" w:fill="auto"/>
                  <w:noWrap w:val="0"/>
                  <w:vAlign w:val="center"/>
                </w:tcPr>
                <w:p w14:paraId="7FC91DDD">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活肉牛</w:t>
                  </w:r>
                </w:p>
              </w:tc>
              <w:tc>
                <w:tcPr>
                  <w:tcW w:w="1600" w:type="pct"/>
                  <w:shd w:val="clear" w:color="auto" w:fill="auto"/>
                  <w:noWrap w:val="0"/>
                  <w:vAlign w:val="center"/>
                </w:tcPr>
                <w:p w14:paraId="19EC7BFC">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w:t>
                  </w:r>
                </w:p>
              </w:tc>
              <w:tc>
                <w:tcPr>
                  <w:tcW w:w="716" w:type="pct"/>
                  <w:shd w:val="clear" w:color="auto" w:fill="auto"/>
                  <w:noWrap w:val="0"/>
                  <w:vAlign w:val="center"/>
                </w:tcPr>
                <w:p w14:paraId="04B2119D">
                  <w:pPr>
                    <w:tabs>
                      <w:tab w:val="left" w:pos="960"/>
                    </w:tabs>
                    <w:snapToGrid w:val="0"/>
                    <w:jc w:val="center"/>
                    <w:rPr>
                      <w:rFonts w:hint="default" w:ascii="Times New Roman" w:hAnsi="Times New Roman" w:eastAsia="宋体" w:cs="Times New Roman"/>
                      <w:b w:val="0"/>
                      <w:bCs w:val="0"/>
                      <w:color w:val="000000" w:themeColor="text1"/>
                      <w:spacing w:val="-4"/>
                      <w:kern w:val="2"/>
                      <w:sz w:val="21"/>
                      <w:szCs w:val="21"/>
                      <w:highlight w:val="none"/>
                      <w:lang w:val="en-US" w:eastAsia="zh-CN" w:bidi="ar-SA"/>
                      <w14:textFill>
                        <w14:solidFill>
                          <w14:schemeClr w14:val="tx1"/>
                        </w14:solidFill>
                      </w14:textFill>
                    </w:rPr>
                  </w:pPr>
                  <w:r>
                    <w:rPr>
                      <w:rFonts w:hint="eastAsia" w:cs="Times New Roman"/>
                      <w:b w:val="0"/>
                      <w:bCs w:val="0"/>
                      <w:color w:val="000000" w:themeColor="text1"/>
                      <w:spacing w:val="-4"/>
                      <w:kern w:val="2"/>
                      <w:sz w:val="21"/>
                      <w:szCs w:val="21"/>
                      <w:highlight w:val="none"/>
                      <w:lang w:val="en-US" w:eastAsia="zh-CN" w:bidi="ar-SA"/>
                      <w14:textFill>
                        <w14:solidFill>
                          <w14:schemeClr w14:val="tx1"/>
                        </w14:solidFill>
                      </w14:textFill>
                    </w:rPr>
                    <w:t>/</w:t>
                  </w:r>
                </w:p>
              </w:tc>
              <w:tc>
                <w:tcPr>
                  <w:tcW w:w="361" w:type="pct"/>
                  <w:shd w:val="clear" w:color="auto" w:fill="auto"/>
                  <w:noWrap w:val="0"/>
                  <w:vAlign w:val="center"/>
                </w:tcPr>
                <w:p w14:paraId="21AF3970">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头</w:t>
                  </w:r>
                </w:p>
              </w:tc>
              <w:tc>
                <w:tcPr>
                  <w:tcW w:w="538" w:type="pct"/>
                  <w:shd w:val="clear" w:color="auto" w:fill="auto"/>
                  <w:noWrap w:val="0"/>
                  <w:vAlign w:val="center"/>
                </w:tcPr>
                <w:p w14:paraId="7A4D0E6E">
                  <w:pPr>
                    <w:tabs>
                      <w:tab w:val="left" w:pos="960"/>
                    </w:tabs>
                    <w:snapToGrid w:val="0"/>
                    <w:jc w:val="center"/>
                    <w:rPr>
                      <w:rFonts w:hint="default" w:ascii="Times New Roman" w:hAnsi="Times New Roman" w:eastAsia="宋体"/>
                      <w:b w:val="0"/>
                      <w:bCs w:val="0"/>
                      <w:color w:val="000000" w:themeColor="text1"/>
                      <w:spacing w:val="-4"/>
                      <w:sz w:val="21"/>
                      <w:szCs w:val="21"/>
                      <w:highlight w:val="none"/>
                      <w:lang w:val="en-US" w:eastAsia="zh-CN"/>
                      <w14:textFill>
                        <w14:solidFill>
                          <w14:schemeClr w14:val="tx1"/>
                        </w14:solidFill>
                      </w14:textFill>
                    </w:rPr>
                  </w:pPr>
                  <w:r>
                    <w:rPr>
                      <w:rFonts w:hint="eastAsia"/>
                      <w:b w:val="0"/>
                      <w:bCs w:val="0"/>
                      <w:color w:val="000000" w:themeColor="text1"/>
                      <w:spacing w:val="-4"/>
                      <w:sz w:val="21"/>
                      <w:szCs w:val="21"/>
                      <w:highlight w:val="none"/>
                      <w:lang w:val="en-US" w:eastAsia="zh-CN"/>
                      <w14:textFill>
                        <w14:solidFill>
                          <w14:schemeClr w14:val="tx1"/>
                        </w14:solidFill>
                      </w14:textFill>
                    </w:rPr>
                    <w:t>7000</w:t>
                  </w:r>
                </w:p>
              </w:tc>
              <w:tc>
                <w:tcPr>
                  <w:tcW w:w="535" w:type="pct"/>
                  <w:shd w:val="clear" w:color="auto" w:fill="auto"/>
                  <w:noWrap w:val="0"/>
                  <w:vAlign w:val="center"/>
                </w:tcPr>
                <w:p w14:paraId="779FA314">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35</w:t>
                  </w:r>
                </w:p>
              </w:tc>
            </w:tr>
            <w:tr w14:paraId="62C40F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58" w:type="pct"/>
                  <w:shd w:val="clear" w:color="auto" w:fill="auto"/>
                  <w:noWrap w:val="0"/>
                  <w:vAlign w:val="center"/>
                </w:tcPr>
                <w:p w14:paraId="5CD88E0A">
                  <w:pPr>
                    <w:snapToGrid w:val="0"/>
                    <w:jc w:val="center"/>
                    <w:rPr>
                      <w:rFonts w:hint="eastAsia"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ascii="Times New Roman" w:hAnsi="Times New Roman" w:eastAsia="宋体"/>
                      <w:b w:val="0"/>
                      <w:bCs w:val="0"/>
                      <w:smallCaps w:val="0"/>
                      <w:color w:val="000000" w:themeColor="text1"/>
                      <w:spacing w:val="-4"/>
                      <w:sz w:val="21"/>
                      <w:szCs w:val="21"/>
                      <w14:textFill>
                        <w14:solidFill>
                          <w14:schemeClr w14:val="tx1"/>
                        </w14:solidFill>
                      </w14:textFill>
                    </w:rPr>
                    <w:t>2</w:t>
                  </w:r>
                </w:p>
              </w:tc>
              <w:tc>
                <w:tcPr>
                  <w:tcW w:w="889" w:type="pct"/>
                  <w:shd w:val="clear" w:color="auto" w:fill="auto"/>
                  <w:noWrap w:val="0"/>
                  <w:vAlign w:val="center"/>
                </w:tcPr>
                <w:p w14:paraId="4EEFBBA6">
                  <w:pPr>
                    <w:snapToGrid w:val="0"/>
                    <w:jc w:val="center"/>
                    <w:rPr>
                      <w:rFonts w:hint="default"/>
                      <w:b w:val="0"/>
                      <w:bCs w:val="0"/>
                      <w:smallCaps w:val="0"/>
                      <w:color w:val="000000" w:themeColor="text1"/>
                      <w:spacing w:val="-4"/>
                      <w:sz w:val="21"/>
                      <w:szCs w:val="21"/>
                      <w:lang w:val="en-US" w:eastAsia="zh-CN"/>
                      <w14:textFill>
                        <w14:solidFill>
                          <w14:schemeClr w14:val="tx1"/>
                        </w14:solidFill>
                      </w14:textFill>
                    </w:rPr>
                  </w:pPr>
                  <w:r>
                    <w:rPr>
                      <w:rFonts w:hint="eastAsia"/>
                      <w:b w:val="0"/>
                      <w:bCs w:val="0"/>
                      <w:smallCaps w:val="0"/>
                      <w:color w:val="000000" w:themeColor="text1"/>
                      <w:spacing w:val="-4"/>
                      <w:sz w:val="21"/>
                      <w:szCs w:val="21"/>
                      <w:lang w:val="en-US" w:eastAsia="zh-CN"/>
                      <w14:textFill>
                        <w14:solidFill>
                          <w14:schemeClr w14:val="tx1"/>
                        </w14:solidFill>
                      </w14:textFill>
                    </w:rPr>
                    <w:t>卤料</w:t>
                  </w:r>
                </w:p>
              </w:tc>
              <w:tc>
                <w:tcPr>
                  <w:tcW w:w="1600" w:type="pct"/>
                  <w:shd w:val="clear" w:color="auto" w:fill="auto"/>
                  <w:noWrap w:val="0"/>
                  <w:vAlign w:val="center"/>
                </w:tcPr>
                <w:p w14:paraId="215F1D21">
                  <w:pPr>
                    <w:snapToGrid w:val="0"/>
                    <w:jc w:val="center"/>
                    <w:rPr>
                      <w:rFonts w:hint="default" w:ascii="Times New Roman" w:hAnsi="Times New Roman" w:eastAsia="宋体"/>
                      <w:b w:val="0"/>
                      <w:bCs w:val="0"/>
                      <w:smallCaps w:val="0"/>
                      <w:color w:val="000000" w:themeColor="text1"/>
                      <w:spacing w:val="-4"/>
                      <w:kern w:val="2"/>
                      <w:sz w:val="21"/>
                      <w:szCs w:val="21"/>
                      <w:lang w:val="en-US" w:eastAsia="zh-CN"/>
                      <w14:textFill>
                        <w14:solidFill>
                          <w14:schemeClr w14:val="tx1"/>
                        </w14:solidFill>
                      </w14:textFill>
                    </w:rPr>
                  </w:pPr>
                  <w:r>
                    <w:rPr>
                      <w:rFonts w:hint="eastAsia"/>
                      <w:b w:val="0"/>
                      <w:bCs w:val="0"/>
                      <w:smallCaps w:val="0"/>
                      <w:color w:val="000000" w:themeColor="text1"/>
                      <w:spacing w:val="-4"/>
                      <w:kern w:val="2"/>
                      <w:sz w:val="21"/>
                      <w:szCs w:val="21"/>
                      <w:lang w:val="en-US" w:eastAsia="zh-CN"/>
                      <w14:textFill>
                        <w14:solidFill>
                          <w14:schemeClr w14:val="tx1"/>
                        </w14:solidFill>
                      </w14:textFill>
                    </w:rPr>
                    <w:t>酱油、料酒等</w:t>
                  </w:r>
                </w:p>
              </w:tc>
              <w:tc>
                <w:tcPr>
                  <w:tcW w:w="716" w:type="pct"/>
                  <w:shd w:val="clear" w:color="auto" w:fill="auto"/>
                  <w:noWrap w:val="0"/>
                  <w:vAlign w:val="center"/>
                </w:tcPr>
                <w:p w14:paraId="7C9BB0B1">
                  <w:pPr>
                    <w:tabs>
                      <w:tab w:val="left" w:pos="960"/>
                    </w:tabs>
                    <w:snapToGrid w:val="0"/>
                    <w:jc w:val="center"/>
                    <w:rPr>
                      <w:rFonts w:hint="default" w:ascii="Times New Roman" w:hAnsi="Times New Roman" w:eastAsia="宋体" w:cs="Times New Roman"/>
                      <w:b w:val="0"/>
                      <w:bCs w:val="0"/>
                      <w:color w:val="000000" w:themeColor="text1"/>
                      <w:spacing w:val="-4"/>
                      <w:kern w:val="2"/>
                      <w:sz w:val="21"/>
                      <w:szCs w:val="21"/>
                      <w:highlight w:val="none"/>
                      <w:lang w:val="en-US" w:eastAsia="zh-CN" w:bidi="ar-SA"/>
                      <w14:textFill>
                        <w14:solidFill>
                          <w14:schemeClr w14:val="tx1"/>
                        </w14:solidFill>
                      </w14:textFill>
                    </w:rPr>
                  </w:pPr>
                  <w:r>
                    <w:rPr>
                      <w:rFonts w:hint="eastAsia" w:cs="Times New Roman"/>
                      <w:b w:val="0"/>
                      <w:bCs w:val="0"/>
                      <w:color w:val="000000" w:themeColor="text1"/>
                      <w:spacing w:val="-4"/>
                      <w:kern w:val="2"/>
                      <w:sz w:val="21"/>
                      <w:szCs w:val="21"/>
                      <w:highlight w:val="none"/>
                      <w:lang w:val="en-US" w:eastAsia="zh-CN" w:bidi="ar-SA"/>
                      <w14:textFill>
                        <w14:solidFill>
                          <w14:schemeClr w14:val="tx1"/>
                        </w14:solidFill>
                      </w14:textFill>
                    </w:rPr>
                    <w:t>桶装/袋装</w:t>
                  </w:r>
                </w:p>
              </w:tc>
              <w:tc>
                <w:tcPr>
                  <w:tcW w:w="361" w:type="pct"/>
                  <w:shd w:val="clear" w:color="auto" w:fill="auto"/>
                  <w:noWrap w:val="0"/>
                  <w:vAlign w:val="center"/>
                </w:tcPr>
                <w:p w14:paraId="6C9A06B6">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t</w:t>
                  </w:r>
                </w:p>
              </w:tc>
              <w:tc>
                <w:tcPr>
                  <w:tcW w:w="538" w:type="pct"/>
                  <w:shd w:val="clear" w:color="auto" w:fill="auto"/>
                  <w:noWrap w:val="0"/>
                  <w:vAlign w:val="center"/>
                </w:tcPr>
                <w:p w14:paraId="3305A32D">
                  <w:pPr>
                    <w:tabs>
                      <w:tab w:val="left" w:pos="960"/>
                    </w:tabs>
                    <w:snapToGrid w:val="0"/>
                    <w:jc w:val="center"/>
                    <w:rPr>
                      <w:rFonts w:hint="default"/>
                      <w:b w:val="0"/>
                      <w:bCs w:val="0"/>
                      <w:color w:val="000000" w:themeColor="text1"/>
                      <w:spacing w:val="-4"/>
                      <w:sz w:val="21"/>
                      <w:szCs w:val="21"/>
                      <w:highlight w:val="none"/>
                      <w:lang w:val="en-US" w:eastAsia="zh-CN"/>
                      <w14:textFill>
                        <w14:solidFill>
                          <w14:schemeClr w14:val="tx1"/>
                        </w14:solidFill>
                      </w14:textFill>
                    </w:rPr>
                  </w:pPr>
                  <w:r>
                    <w:rPr>
                      <w:rFonts w:hint="eastAsia"/>
                      <w:b w:val="0"/>
                      <w:bCs w:val="0"/>
                      <w:color w:val="000000" w:themeColor="text1"/>
                      <w:spacing w:val="-4"/>
                      <w:sz w:val="21"/>
                      <w:szCs w:val="21"/>
                      <w:highlight w:val="none"/>
                      <w:lang w:val="en-US" w:eastAsia="zh-CN"/>
                      <w14:textFill>
                        <w14:solidFill>
                          <w14:schemeClr w14:val="tx1"/>
                        </w14:solidFill>
                      </w14:textFill>
                    </w:rPr>
                    <w:t>35</w:t>
                  </w:r>
                </w:p>
              </w:tc>
              <w:tc>
                <w:tcPr>
                  <w:tcW w:w="535" w:type="pct"/>
                  <w:shd w:val="clear" w:color="auto" w:fill="auto"/>
                  <w:noWrap w:val="0"/>
                  <w:vAlign w:val="center"/>
                </w:tcPr>
                <w:p w14:paraId="7CF2E4DD">
                  <w:pPr>
                    <w:snapToGrid w:val="0"/>
                    <w:jc w:val="center"/>
                    <w:rPr>
                      <w:rFonts w:hint="default" w:ascii="Times New Roman" w:hAnsi="Times New Roman" w:eastAsia="宋体"/>
                      <w:b w:val="0"/>
                      <w:bCs w:val="0"/>
                      <w:smallCaps w:val="0"/>
                      <w:color w:val="000000" w:themeColor="text1"/>
                      <w:spacing w:val="-4"/>
                      <w:sz w:val="21"/>
                      <w:szCs w:val="21"/>
                      <w:lang w:val="en-US" w:eastAsia="zh-CN"/>
                      <w14:textFill>
                        <w14:solidFill>
                          <w14:schemeClr w14:val="tx1"/>
                        </w14:solidFill>
                      </w14:textFill>
                    </w:rPr>
                  </w:pPr>
                  <w:r>
                    <w:rPr>
                      <w:rFonts w:hint="eastAsia"/>
                      <w:b w:val="0"/>
                      <w:bCs w:val="0"/>
                      <w:smallCaps w:val="0"/>
                      <w:color w:val="000000" w:themeColor="text1"/>
                      <w:spacing w:val="-4"/>
                      <w:sz w:val="21"/>
                      <w:szCs w:val="21"/>
                      <w:lang w:val="en-US" w:eastAsia="zh-CN"/>
                      <w14:textFill>
                        <w14:solidFill>
                          <w14:schemeClr w14:val="tx1"/>
                        </w14:solidFill>
                      </w14:textFill>
                    </w:rPr>
                    <w:t>3</w:t>
                  </w:r>
                </w:p>
              </w:tc>
            </w:tr>
            <w:tr w14:paraId="1703DD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58" w:type="pct"/>
                  <w:shd w:val="clear" w:color="auto" w:fill="auto"/>
                  <w:noWrap w:val="0"/>
                  <w:vAlign w:val="center"/>
                </w:tcPr>
                <w:p w14:paraId="3DD54A38">
                  <w:pPr>
                    <w:snapToGrid w:val="0"/>
                    <w:jc w:val="center"/>
                    <w:rPr>
                      <w:rFonts w:hint="eastAsia"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ascii="Times New Roman" w:hAnsi="Times New Roman" w:eastAsia="宋体"/>
                      <w:b w:val="0"/>
                      <w:bCs w:val="0"/>
                      <w:smallCaps w:val="0"/>
                      <w:color w:val="000000" w:themeColor="text1"/>
                      <w:spacing w:val="-4"/>
                      <w:sz w:val="21"/>
                      <w:szCs w:val="21"/>
                      <w:lang w:val="en-US" w:eastAsia="zh-CN"/>
                      <w14:textFill>
                        <w14:solidFill>
                          <w14:schemeClr w14:val="tx1"/>
                        </w14:solidFill>
                      </w14:textFill>
                    </w:rPr>
                    <w:t>3</w:t>
                  </w:r>
                </w:p>
              </w:tc>
              <w:tc>
                <w:tcPr>
                  <w:tcW w:w="889" w:type="pct"/>
                  <w:shd w:val="clear" w:color="auto" w:fill="auto"/>
                  <w:noWrap w:val="0"/>
                  <w:vAlign w:val="center"/>
                </w:tcPr>
                <w:p w14:paraId="291D8DCE">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包装材料</w:t>
                  </w:r>
                </w:p>
              </w:tc>
              <w:tc>
                <w:tcPr>
                  <w:tcW w:w="1600" w:type="pct"/>
                  <w:shd w:val="clear" w:color="auto" w:fill="auto"/>
                  <w:noWrap w:val="0"/>
                  <w:vAlign w:val="center"/>
                </w:tcPr>
                <w:p w14:paraId="1594CDF4">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w:t>
                  </w:r>
                </w:p>
              </w:tc>
              <w:tc>
                <w:tcPr>
                  <w:tcW w:w="716" w:type="pct"/>
                  <w:shd w:val="clear" w:color="auto" w:fill="auto"/>
                  <w:noWrap w:val="0"/>
                  <w:vAlign w:val="center"/>
                </w:tcPr>
                <w:p w14:paraId="65611C14">
                  <w:pPr>
                    <w:tabs>
                      <w:tab w:val="left" w:pos="960"/>
                    </w:tabs>
                    <w:snapToGrid w:val="0"/>
                    <w:jc w:val="center"/>
                    <w:rPr>
                      <w:rFonts w:hint="default" w:ascii="Times New Roman" w:hAnsi="Times New Roman" w:eastAsia="宋体" w:cs="Times New Roman"/>
                      <w:b w:val="0"/>
                      <w:bCs w:val="0"/>
                      <w:color w:val="000000" w:themeColor="text1"/>
                      <w:spacing w:val="-4"/>
                      <w:kern w:val="2"/>
                      <w:sz w:val="21"/>
                      <w:szCs w:val="21"/>
                      <w:highlight w:val="none"/>
                      <w:lang w:val="en-US" w:eastAsia="zh-CN" w:bidi="ar-SA"/>
                      <w14:textFill>
                        <w14:solidFill>
                          <w14:schemeClr w14:val="tx1"/>
                        </w14:solidFill>
                      </w14:textFill>
                    </w:rPr>
                  </w:pPr>
                  <w:r>
                    <w:rPr>
                      <w:rFonts w:hint="eastAsia" w:cs="Times New Roman"/>
                      <w:b w:val="0"/>
                      <w:bCs w:val="0"/>
                      <w:color w:val="000000" w:themeColor="text1"/>
                      <w:spacing w:val="-4"/>
                      <w:kern w:val="2"/>
                      <w:sz w:val="21"/>
                      <w:szCs w:val="21"/>
                      <w:highlight w:val="none"/>
                      <w:lang w:val="en-US" w:eastAsia="zh-CN" w:bidi="ar-SA"/>
                      <w14:textFill>
                        <w14:solidFill>
                          <w14:schemeClr w14:val="tx1"/>
                        </w14:solidFill>
                      </w14:textFill>
                    </w:rPr>
                    <w:t>堆存</w:t>
                  </w:r>
                </w:p>
              </w:tc>
              <w:tc>
                <w:tcPr>
                  <w:tcW w:w="361" w:type="pct"/>
                  <w:shd w:val="clear" w:color="auto" w:fill="auto"/>
                  <w:noWrap w:val="0"/>
                  <w:vAlign w:val="center"/>
                </w:tcPr>
                <w:p w14:paraId="21B1483E">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t</w:t>
                  </w:r>
                </w:p>
              </w:tc>
              <w:tc>
                <w:tcPr>
                  <w:tcW w:w="538" w:type="pct"/>
                  <w:shd w:val="clear" w:color="auto" w:fill="auto"/>
                  <w:noWrap w:val="0"/>
                  <w:vAlign w:val="center"/>
                </w:tcPr>
                <w:p w14:paraId="1160701A">
                  <w:pPr>
                    <w:tabs>
                      <w:tab w:val="left" w:pos="960"/>
                    </w:tabs>
                    <w:snapToGrid w:val="0"/>
                    <w:jc w:val="center"/>
                    <w:rPr>
                      <w:rFonts w:hint="default" w:ascii="Times New Roman" w:hAnsi="Times New Roman" w:eastAsia="宋体"/>
                      <w:b w:val="0"/>
                      <w:bCs w:val="0"/>
                      <w:color w:val="000000" w:themeColor="text1"/>
                      <w:spacing w:val="-4"/>
                      <w:sz w:val="21"/>
                      <w:szCs w:val="21"/>
                      <w:highlight w:val="none"/>
                      <w:lang w:val="en-US" w:eastAsia="zh-CN"/>
                      <w14:textFill>
                        <w14:solidFill>
                          <w14:schemeClr w14:val="tx1"/>
                        </w14:solidFill>
                      </w14:textFill>
                    </w:rPr>
                  </w:pPr>
                  <w:r>
                    <w:rPr>
                      <w:rFonts w:hint="eastAsia"/>
                      <w:b w:val="0"/>
                      <w:bCs w:val="0"/>
                      <w:color w:val="000000" w:themeColor="text1"/>
                      <w:spacing w:val="-4"/>
                      <w:sz w:val="21"/>
                      <w:szCs w:val="21"/>
                      <w:highlight w:val="none"/>
                      <w:lang w:val="en-US" w:eastAsia="zh-CN"/>
                      <w14:textFill>
                        <w14:solidFill>
                          <w14:schemeClr w14:val="tx1"/>
                        </w14:solidFill>
                      </w14:textFill>
                    </w:rPr>
                    <w:t>7</w:t>
                  </w:r>
                </w:p>
              </w:tc>
              <w:tc>
                <w:tcPr>
                  <w:tcW w:w="535" w:type="pct"/>
                  <w:shd w:val="clear" w:color="auto" w:fill="auto"/>
                  <w:noWrap w:val="0"/>
                  <w:vAlign w:val="center"/>
                </w:tcPr>
                <w:p w14:paraId="09C9442F">
                  <w:pPr>
                    <w:snapToGrid w:val="0"/>
                    <w:jc w:val="center"/>
                    <w:rPr>
                      <w:rFonts w:hint="default" w:ascii="Times New Roman" w:hAnsi="Times New Roman" w:eastAsia="宋体" w:cs="Times New Roman"/>
                      <w:b w:val="0"/>
                      <w:bCs w:val="0"/>
                      <w:smallCaps w:val="0"/>
                      <w:color w:val="000000" w:themeColor="text1"/>
                      <w:spacing w:val="-4"/>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spacing w:val="-4"/>
                      <w:kern w:val="2"/>
                      <w:sz w:val="21"/>
                      <w:szCs w:val="21"/>
                      <w:lang w:val="en-US" w:eastAsia="zh-CN" w:bidi="ar-SA"/>
                      <w14:textFill>
                        <w14:solidFill>
                          <w14:schemeClr w14:val="tx1"/>
                        </w14:solidFill>
                      </w14:textFill>
                    </w:rPr>
                    <w:t>0.7</w:t>
                  </w:r>
                </w:p>
              </w:tc>
            </w:tr>
          </w:tbl>
          <w:p w14:paraId="0A78E803">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6、</w:t>
            </w:r>
            <w:r>
              <w:rPr>
                <w:rFonts w:hint="eastAsia" w:cs="宋体"/>
                <w:b/>
                <w:bCs/>
                <w:color w:val="000000" w:themeColor="text1"/>
                <w:sz w:val="21"/>
                <w:szCs w:val="21"/>
                <w:highlight w:val="none"/>
                <w:lang w:val="en-US" w:eastAsia="zh-CN"/>
                <w14:textFill>
                  <w14:solidFill>
                    <w14:schemeClr w14:val="tx1"/>
                  </w14:solidFill>
                </w14:textFill>
              </w:rPr>
              <w:t>生产</w:t>
            </w:r>
            <w:r>
              <w:rPr>
                <w:rFonts w:hint="eastAsia" w:ascii="Times New Roman" w:hAnsi="Times New Roman" w:eastAsia="宋体" w:cs="宋体"/>
                <w:b/>
                <w:bCs/>
                <w:color w:val="000000" w:themeColor="text1"/>
                <w:sz w:val="21"/>
                <w:szCs w:val="21"/>
                <w:highlight w:val="none"/>
                <w14:textFill>
                  <w14:solidFill>
                    <w14:schemeClr w14:val="tx1"/>
                  </w14:solidFill>
                </w14:textFill>
              </w:rPr>
              <w:t>设备</w:t>
            </w:r>
            <w:r>
              <w:rPr>
                <w:rFonts w:hint="eastAsia" w:cs="宋体"/>
                <w:b/>
                <w:bCs/>
                <w:color w:val="000000" w:themeColor="text1"/>
                <w:sz w:val="21"/>
                <w:szCs w:val="21"/>
                <w:highlight w:val="none"/>
                <w:lang w:val="en-US" w:eastAsia="zh-CN"/>
                <w14:textFill>
                  <w14:solidFill>
                    <w14:schemeClr w14:val="tx1"/>
                  </w14:solidFill>
                </w14:textFill>
              </w:rPr>
              <w:t xml:space="preserve">   </w:t>
            </w:r>
          </w:p>
          <w:p w14:paraId="1FFBC4A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w:t>
            </w:r>
            <w:r>
              <w:rPr>
                <w:rFonts w:hint="eastAsia" w:cs="宋体"/>
                <w:b/>
                <w:bCs/>
                <w:color w:val="000000" w:themeColor="text1"/>
                <w:spacing w:val="-4"/>
                <w:sz w:val="21"/>
                <w:szCs w:val="21"/>
                <w:highlight w:val="none"/>
                <w:lang w:val="en-US" w:eastAsia="zh-CN"/>
                <w14:textFill>
                  <w14:solidFill>
                    <w14:schemeClr w14:val="tx1"/>
                  </w14:solidFill>
                </w14:textFill>
              </w:rPr>
              <w:t>5</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主要设备一览表</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64"/>
              <w:gridCol w:w="2396"/>
              <w:gridCol w:w="2091"/>
              <w:gridCol w:w="1079"/>
              <w:gridCol w:w="875"/>
              <w:gridCol w:w="1206"/>
            </w:tblGrid>
            <w:tr w14:paraId="60B908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vAlign w:val="center"/>
                </w:tcPr>
                <w:p w14:paraId="5A40BE88">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序号</w:t>
                  </w:r>
                </w:p>
              </w:tc>
              <w:tc>
                <w:tcPr>
                  <w:tcW w:w="1459" w:type="pct"/>
                  <w:vAlign w:val="center"/>
                </w:tcPr>
                <w:p w14:paraId="56C01E5D">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设备</w:t>
                  </w:r>
                  <w:r>
                    <w:rPr>
                      <w:rFonts w:cs="宋体"/>
                      <w:b/>
                      <w:color w:val="000000" w:themeColor="text1"/>
                      <w:sz w:val="21"/>
                      <w:szCs w:val="21"/>
                      <w:highlight w:val="none"/>
                      <w14:textFill>
                        <w14:solidFill>
                          <w14:schemeClr w14:val="tx1"/>
                        </w14:solidFill>
                      </w14:textFill>
                    </w:rPr>
                    <w:t>名称</w:t>
                  </w:r>
                </w:p>
              </w:tc>
              <w:tc>
                <w:tcPr>
                  <w:tcW w:w="1273" w:type="pct"/>
                  <w:vAlign w:val="center"/>
                </w:tcPr>
                <w:p w14:paraId="0A9F6BB9">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规格型号</w:t>
                  </w:r>
                </w:p>
              </w:tc>
              <w:tc>
                <w:tcPr>
                  <w:tcW w:w="657" w:type="pct"/>
                  <w:vAlign w:val="center"/>
                </w:tcPr>
                <w:p w14:paraId="7E4EEF9A">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单位</w:t>
                  </w:r>
                </w:p>
              </w:tc>
              <w:tc>
                <w:tcPr>
                  <w:tcW w:w="532" w:type="pct"/>
                  <w:vAlign w:val="center"/>
                </w:tcPr>
                <w:p w14:paraId="2B905997">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cs="宋体"/>
                      <w:b/>
                      <w:color w:val="000000" w:themeColor="text1"/>
                      <w:sz w:val="21"/>
                      <w:szCs w:val="21"/>
                      <w:highlight w:val="none"/>
                      <w14:textFill>
                        <w14:solidFill>
                          <w14:schemeClr w14:val="tx1"/>
                        </w14:solidFill>
                      </w14:textFill>
                    </w:rPr>
                    <w:t>数量</w:t>
                  </w:r>
                </w:p>
              </w:tc>
              <w:tc>
                <w:tcPr>
                  <w:tcW w:w="734" w:type="pct"/>
                  <w:vAlign w:val="center"/>
                </w:tcPr>
                <w:p w14:paraId="7923D21B">
                  <w:pPr>
                    <w:keepNext w:val="0"/>
                    <w:keepLines w:val="0"/>
                    <w:pageBreakBefore w:val="0"/>
                    <w:widowControl w:val="0"/>
                    <w:kinsoku/>
                    <w:wordWrap/>
                    <w:overflowPunct/>
                    <w:topLinePunct w:val="0"/>
                    <w:autoSpaceDE/>
                    <w:autoSpaceDN/>
                    <w:bidi w:val="0"/>
                    <w:adjustRightInd/>
                    <w:snapToGrid w:val="0"/>
                    <w:jc w:val="center"/>
                    <w:textAlignment w:val="auto"/>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来源</w:t>
                  </w:r>
                </w:p>
              </w:tc>
            </w:tr>
            <w:tr w14:paraId="10CB2C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6"/>
                  <w:vAlign w:val="center"/>
                </w:tcPr>
                <w:p w14:paraId="3BCD88ED">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color w:val="000000" w:themeColor="text1"/>
                      <w:sz w:val="21"/>
                      <w:szCs w:val="21"/>
                      <w:highlight w:val="none"/>
                      <w:lang w:val="en-US" w:eastAsia="zh-CN"/>
                      <w14:textFill>
                        <w14:solidFill>
                          <w14:schemeClr w14:val="tx1"/>
                        </w14:solidFill>
                      </w14:textFill>
                    </w:rPr>
                  </w:pPr>
                  <w:r>
                    <w:rPr>
                      <w:rFonts w:hint="eastAsia" w:cs="宋体"/>
                      <w:b/>
                      <w:color w:val="000000" w:themeColor="text1"/>
                      <w:sz w:val="21"/>
                      <w:szCs w:val="21"/>
                      <w:highlight w:val="none"/>
                      <w:lang w:val="en-US" w:eastAsia="zh-CN"/>
                      <w14:textFill>
                        <w14:solidFill>
                          <w14:schemeClr w14:val="tx1"/>
                        </w14:solidFill>
                      </w14:textFill>
                    </w:rPr>
                    <w:t>现有项目</w:t>
                  </w:r>
                </w:p>
              </w:tc>
            </w:tr>
            <w:tr w14:paraId="459655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vAlign w:val="center"/>
                </w:tcPr>
                <w:p w14:paraId="2680AEA3">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1</w:t>
                  </w:r>
                </w:p>
              </w:tc>
              <w:tc>
                <w:tcPr>
                  <w:tcW w:w="1459" w:type="pct"/>
                  <w:vAlign w:val="center"/>
                </w:tcPr>
                <w:p w14:paraId="1EFF37D4">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真空包装机</w:t>
                  </w:r>
                </w:p>
              </w:tc>
              <w:tc>
                <w:tcPr>
                  <w:tcW w:w="1273" w:type="pct"/>
                  <w:vAlign w:val="center"/>
                </w:tcPr>
                <w:p w14:paraId="07A8B0CB">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w:t>
                  </w:r>
                </w:p>
              </w:tc>
              <w:tc>
                <w:tcPr>
                  <w:tcW w:w="657" w:type="pct"/>
                  <w:vAlign w:val="center"/>
                </w:tcPr>
                <w:p w14:paraId="72D261E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vAlign w:val="center"/>
                </w:tcPr>
                <w:p w14:paraId="05FC59BA">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1</w:t>
                  </w:r>
                </w:p>
              </w:tc>
              <w:tc>
                <w:tcPr>
                  <w:tcW w:w="734" w:type="pct"/>
                  <w:vAlign w:val="center"/>
                </w:tcPr>
                <w:p w14:paraId="074C2140">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依托现有</w:t>
                  </w:r>
                </w:p>
              </w:tc>
            </w:tr>
            <w:tr w14:paraId="1BFA99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vAlign w:val="center"/>
                </w:tcPr>
                <w:p w14:paraId="684B98A7">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2</w:t>
                  </w:r>
                </w:p>
              </w:tc>
              <w:tc>
                <w:tcPr>
                  <w:tcW w:w="1459" w:type="pct"/>
                  <w:vAlign w:val="center"/>
                </w:tcPr>
                <w:p w14:paraId="3E54D2F3">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消毒机</w:t>
                  </w:r>
                </w:p>
              </w:tc>
              <w:tc>
                <w:tcPr>
                  <w:tcW w:w="1273" w:type="pct"/>
                  <w:vAlign w:val="center"/>
                </w:tcPr>
                <w:p w14:paraId="0F048582">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w:t>
                  </w:r>
                </w:p>
              </w:tc>
              <w:tc>
                <w:tcPr>
                  <w:tcW w:w="657" w:type="pct"/>
                  <w:vAlign w:val="center"/>
                </w:tcPr>
                <w:p w14:paraId="702C86F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b w:val="0"/>
                      <w:bCs/>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vAlign w:val="center"/>
                </w:tcPr>
                <w:p w14:paraId="4B0A9F78">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1</w:t>
                  </w:r>
                </w:p>
              </w:tc>
              <w:tc>
                <w:tcPr>
                  <w:tcW w:w="734" w:type="pct"/>
                  <w:vAlign w:val="center"/>
                </w:tcPr>
                <w:p w14:paraId="2D9D0566">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依托现有</w:t>
                  </w:r>
                </w:p>
              </w:tc>
            </w:tr>
            <w:tr w14:paraId="7E31E1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vAlign w:val="center"/>
                </w:tcPr>
                <w:p w14:paraId="5D32E4BE">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3</w:t>
                  </w:r>
                </w:p>
              </w:tc>
              <w:tc>
                <w:tcPr>
                  <w:tcW w:w="1459" w:type="pct"/>
                  <w:vAlign w:val="center"/>
                </w:tcPr>
                <w:p w14:paraId="06FE259B">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冷库</w:t>
                  </w:r>
                </w:p>
              </w:tc>
              <w:tc>
                <w:tcPr>
                  <w:tcW w:w="1273" w:type="pct"/>
                  <w:vAlign w:val="center"/>
                </w:tcPr>
                <w:p w14:paraId="539A852A">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w:t>
                  </w:r>
                </w:p>
              </w:tc>
              <w:tc>
                <w:tcPr>
                  <w:tcW w:w="657" w:type="pct"/>
                  <w:vAlign w:val="center"/>
                </w:tcPr>
                <w:p w14:paraId="5C0465EF">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b w:val="0"/>
                      <w:bCs/>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vAlign w:val="center"/>
                </w:tcPr>
                <w:p w14:paraId="0EE2D501">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1</w:t>
                  </w:r>
                </w:p>
              </w:tc>
              <w:tc>
                <w:tcPr>
                  <w:tcW w:w="734" w:type="pct"/>
                  <w:vAlign w:val="center"/>
                </w:tcPr>
                <w:p w14:paraId="376CC8E3">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依托现有</w:t>
                  </w:r>
                </w:p>
              </w:tc>
            </w:tr>
            <w:tr w14:paraId="448ABB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vAlign w:val="center"/>
                </w:tcPr>
                <w:p w14:paraId="78F67F12">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4</w:t>
                  </w:r>
                </w:p>
              </w:tc>
              <w:tc>
                <w:tcPr>
                  <w:tcW w:w="1459" w:type="pct"/>
                  <w:vAlign w:val="center"/>
                </w:tcPr>
                <w:p w14:paraId="1F7101F7">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炉灶</w:t>
                  </w:r>
                </w:p>
              </w:tc>
              <w:tc>
                <w:tcPr>
                  <w:tcW w:w="1273" w:type="pct"/>
                  <w:vAlign w:val="center"/>
                </w:tcPr>
                <w:p w14:paraId="0346C272">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w:t>
                  </w:r>
                </w:p>
              </w:tc>
              <w:tc>
                <w:tcPr>
                  <w:tcW w:w="657" w:type="pct"/>
                  <w:vAlign w:val="center"/>
                </w:tcPr>
                <w:p w14:paraId="64C63DC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b w:val="0"/>
                      <w:bCs/>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vAlign w:val="center"/>
                </w:tcPr>
                <w:p w14:paraId="59925E9F">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2</w:t>
                  </w:r>
                </w:p>
              </w:tc>
              <w:tc>
                <w:tcPr>
                  <w:tcW w:w="734" w:type="pct"/>
                  <w:vAlign w:val="center"/>
                </w:tcPr>
                <w:p w14:paraId="7689AE5D">
                  <w:pPr>
                    <w:keepNext w:val="0"/>
                    <w:keepLines w:val="0"/>
                    <w:pageBreakBefore w:val="0"/>
                    <w:widowControl w:val="0"/>
                    <w:kinsoku/>
                    <w:wordWrap/>
                    <w:overflowPunct/>
                    <w:topLinePunct w:val="0"/>
                    <w:autoSpaceDE/>
                    <w:autoSpaceDN/>
                    <w:bidi w:val="0"/>
                    <w:adjustRightInd/>
                    <w:snapToGrid w:val="0"/>
                    <w:jc w:val="center"/>
                    <w:textAlignment w:val="auto"/>
                    <w:rPr>
                      <w:rFonts w:hint="default"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淘汰</w:t>
                  </w:r>
                </w:p>
              </w:tc>
            </w:tr>
            <w:tr w14:paraId="57A58D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6"/>
                  <w:vAlign w:val="center"/>
                </w:tcPr>
                <w:p w14:paraId="5EFBC372">
                  <w:pPr>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cs="宋体"/>
                      <w:b/>
                      <w:color w:val="000000" w:themeColor="text1"/>
                      <w:sz w:val="21"/>
                      <w:szCs w:val="21"/>
                      <w:highlight w:val="none"/>
                      <w:lang w:val="en-US" w:eastAsia="zh-CN"/>
                      <w14:textFill>
                        <w14:solidFill>
                          <w14:schemeClr w14:val="tx1"/>
                        </w14:solidFill>
                      </w14:textFill>
                    </w:rPr>
                  </w:pPr>
                  <w:r>
                    <w:rPr>
                      <w:rFonts w:hint="eastAsia" w:cs="宋体"/>
                      <w:b/>
                      <w:color w:val="000000" w:themeColor="text1"/>
                      <w:sz w:val="21"/>
                      <w:szCs w:val="21"/>
                      <w:highlight w:val="none"/>
                      <w:lang w:val="en-US" w:eastAsia="zh-CN"/>
                      <w14:textFill>
                        <w14:solidFill>
                          <w14:schemeClr w14:val="tx1"/>
                        </w14:solidFill>
                      </w14:textFill>
                    </w:rPr>
                    <w:t>一期项目</w:t>
                  </w:r>
                </w:p>
              </w:tc>
            </w:tr>
            <w:tr w14:paraId="1C82CB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3D866009">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1459" w:type="pct"/>
                  <w:shd w:val="clear" w:color="auto" w:fill="auto"/>
                  <w:vAlign w:val="center"/>
                </w:tcPr>
                <w:p w14:paraId="533DD1E1">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机械化屠宰线</w:t>
                  </w:r>
                </w:p>
              </w:tc>
              <w:tc>
                <w:tcPr>
                  <w:tcW w:w="1273" w:type="pct"/>
                  <w:shd w:val="clear" w:color="auto" w:fill="auto"/>
                  <w:vAlign w:val="center"/>
                </w:tcPr>
                <w:p w14:paraId="28C1C7E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利用并改造现有产线</w:t>
                  </w:r>
                </w:p>
              </w:tc>
              <w:tc>
                <w:tcPr>
                  <w:tcW w:w="657" w:type="pct"/>
                  <w:vAlign w:val="center"/>
                </w:tcPr>
                <w:p w14:paraId="2D5C2475">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条</w:t>
                  </w:r>
                </w:p>
              </w:tc>
              <w:tc>
                <w:tcPr>
                  <w:tcW w:w="532" w:type="pct"/>
                  <w:shd w:val="clear" w:color="auto" w:fill="auto"/>
                  <w:vAlign w:val="center"/>
                </w:tcPr>
                <w:p w14:paraId="10BBFC5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63A57D6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eastAsia="宋体" w:cs="宋体"/>
                      <w:bCs/>
                      <w:color w:val="000000" w:themeColor="text1"/>
                      <w:spacing w:val="-4"/>
                      <w:sz w:val="21"/>
                      <w:szCs w:val="21"/>
                      <w:highlight w:val="none"/>
                      <w:lang w:val="en-US" w:eastAsia="zh-CN"/>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2505EB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095C6DEB">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2</w:t>
                  </w:r>
                </w:p>
              </w:tc>
              <w:tc>
                <w:tcPr>
                  <w:tcW w:w="1459" w:type="pct"/>
                  <w:shd w:val="clear" w:color="auto" w:fill="auto"/>
                  <w:vAlign w:val="center"/>
                </w:tcPr>
                <w:p w14:paraId="44D0E57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切条机</w:t>
                  </w:r>
                </w:p>
              </w:tc>
              <w:tc>
                <w:tcPr>
                  <w:tcW w:w="1273" w:type="pct"/>
                  <w:shd w:val="clear" w:color="auto" w:fill="auto"/>
                  <w:vAlign w:val="center"/>
                </w:tcPr>
                <w:p w14:paraId="2FDB3950">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400~600kg/h</w:t>
                  </w:r>
                </w:p>
              </w:tc>
              <w:tc>
                <w:tcPr>
                  <w:tcW w:w="657" w:type="pct"/>
                  <w:vAlign w:val="center"/>
                </w:tcPr>
                <w:p w14:paraId="3F72147E">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41BDBBBD">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3E2C8936">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0D81EB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7ABB62C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w:t>
                  </w:r>
                </w:p>
              </w:tc>
              <w:tc>
                <w:tcPr>
                  <w:tcW w:w="1459" w:type="pct"/>
                  <w:shd w:val="clear" w:color="auto" w:fill="auto"/>
                  <w:vAlign w:val="center"/>
                </w:tcPr>
                <w:p w14:paraId="54ED694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提升机</w:t>
                  </w:r>
                </w:p>
              </w:tc>
              <w:tc>
                <w:tcPr>
                  <w:tcW w:w="1273" w:type="pct"/>
                  <w:shd w:val="clear" w:color="auto" w:fill="auto"/>
                  <w:vAlign w:val="center"/>
                </w:tcPr>
                <w:p w14:paraId="30E3F066">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11kW</w:t>
                  </w:r>
                </w:p>
              </w:tc>
              <w:tc>
                <w:tcPr>
                  <w:tcW w:w="657" w:type="pct"/>
                  <w:vAlign w:val="center"/>
                </w:tcPr>
                <w:p w14:paraId="1408FFE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4BC7715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70F510FF">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5F88E5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26AD3CA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w:t>
                  </w:r>
                </w:p>
              </w:tc>
              <w:tc>
                <w:tcPr>
                  <w:tcW w:w="1459" w:type="pct"/>
                  <w:shd w:val="clear" w:color="auto" w:fill="auto"/>
                  <w:vAlign w:val="center"/>
                </w:tcPr>
                <w:p w14:paraId="62754FD2">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焯水线</w:t>
                  </w:r>
                </w:p>
              </w:tc>
              <w:tc>
                <w:tcPr>
                  <w:tcW w:w="1273" w:type="pct"/>
                  <w:shd w:val="clear" w:color="auto" w:fill="auto"/>
                  <w:vAlign w:val="center"/>
                </w:tcPr>
                <w:p w14:paraId="00FE8BBF">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w:t>
                  </w:r>
                </w:p>
              </w:tc>
              <w:tc>
                <w:tcPr>
                  <w:tcW w:w="657" w:type="pct"/>
                  <w:vAlign w:val="center"/>
                </w:tcPr>
                <w:p w14:paraId="3C4158DF">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7F5E74A5">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77BEE9C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325480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5CB6435D">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w:t>
                  </w:r>
                </w:p>
              </w:tc>
              <w:tc>
                <w:tcPr>
                  <w:tcW w:w="1459" w:type="pct"/>
                  <w:shd w:val="clear" w:color="auto" w:fill="auto"/>
                  <w:vAlign w:val="center"/>
                </w:tcPr>
                <w:p w14:paraId="54B524AF">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清洗线</w:t>
                  </w:r>
                </w:p>
              </w:tc>
              <w:tc>
                <w:tcPr>
                  <w:tcW w:w="1273" w:type="pct"/>
                  <w:shd w:val="clear" w:color="auto" w:fill="auto"/>
                  <w:vAlign w:val="center"/>
                </w:tcPr>
                <w:p w14:paraId="2B97B74C">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1~1.5t/h</w:t>
                  </w:r>
                </w:p>
              </w:tc>
              <w:tc>
                <w:tcPr>
                  <w:tcW w:w="657" w:type="pct"/>
                  <w:vAlign w:val="center"/>
                </w:tcPr>
                <w:p w14:paraId="6889B22E">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6CD8C54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14BF38A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781E93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2CB90531">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w:t>
                  </w:r>
                </w:p>
              </w:tc>
              <w:tc>
                <w:tcPr>
                  <w:tcW w:w="1459" w:type="pct"/>
                  <w:shd w:val="clear" w:color="auto" w:fill="auto"/>
                  <w:vAlign w:val="center"/>
                </w:tcPr>
                <w:p w14:paraId="140E0F30">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蒸煮线</w:t>
                  </w:r>
                </w:p>
              </w:tc>
              <w:tc>
                <w:tcPr>
                  <w:tcW w:w="1273" w:type="pct"/>
                  <w:shd w:val="clear" w:color="auto" w:fill="auto"/>
                  <w:vAlign w:val="center"/>
                </w:tcPr>
                <w:p w14:paraId="517D2479">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600~800t/h</w:t>
                  </w:r>
                </w:p>
              </w:tc>
              <w:tc>
                <w:tcPr>
                  <w:tcW w:w="657" w:type="pct"/>
                  <w:vAlign w:val="center"/>
                </w:tcPr>
                <w:p w14:paraId="4A6941E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40F4FF7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06020FF8">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596C52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184A4D2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7</w:t>
                  </w:r>
                </w:p>
              </w:tc>
              <w:tc>
                <w:tcPr>
                  <w:tcW w:w="1459" w:type="pct"/>
                  <w:shd w:val="clear" w:color="auto" w:fill="auto"/>
                  <w:vAlign w:val="center"/>
                </w:tcPr>
                <w:p w14:paraId="5F1B379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水冷线</w:t>
                  </w:r>
                </w:p>
              </w:tc>
              <w:tc>
                <w:tcPr>
                  <w:tcW w:w="1273" w:type="pct"/>
                  <w:shd w:val="clear" w:color="auto" w:fill="auto"/>
                  <w:vAlign w:val="center"/>
                </w:tcPr>
                <w:p w14:paraId="4F4AFB17">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1~1.5t/h</w:t>
                  </w:r>
                </w:p>
              </w:tc>
              <w:tc>
                <w:tcPr>
                  <w:tcW w:w="657" w:type="pct"/>
                  <w:vAlign w:val="center"/>
                </w:tcPr>
                <w:p w14:paraId="443A822E">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台</w:t>
                  </w:r>
                </w:p>
              </w:tc>
              <w:tc>
                <w:tcPr>
                  <w:tcW w:w="532" w:type="pct"/>
                  <w:shd w:val="clear" w:color="auto" w:fill="auto"/>
                  <w:vAlign w:val="center"/>
                </w:tcPr>
                <w:p w14:paraId="475213C8">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46B6397E">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27F354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58912D6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8</w:t>
                  </w:r>
                </w:p>
              </w:tc>
              <w:tc>
                <w:tcPr>
                  <w:tcW w:w="1459" w:type="pct"/>
                  <w:shd w:val="clear" w:color="auto" w:fill="auto"/>
                  <w:vAlign w:val="center"/>
                </w:tcPr>
                <w:p w14:paraId="42E04046">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风冷线</w:t>
                  </w:r>
                </w:p>
              </w:tc>
              <w:tc>
                <w:tcPr>
                  <w:tcW w:w="1273" w:type="pct"/>
                  <w:shd w:val="clear" w:color="auto" w:fill="auto"/>
                  <w:vAlign w:val="center"/>
                </w:tcPr>
                <w:p w14:paraId="5D339E9D">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1.5kW</w:t>
                  </w:r>
                </w:p>
              </w:tc>
              <w:tc>
                <w:tcPr>
                  <w:tcW w:w="657" w:type="pct"/>
                  <w:vAlign w:val="center"/>
                </w:tcPr>
                <w:p w14:paraId="661F0518">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55D45626">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2B9333F3">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r w14:paraId="547E51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3" w:type="pct"/>
                  <w:shd w:val="clear" w:color="auto" w:fill="auto"/>
                  <w:vAlign w:val="center"/>
                </w:tcPr>
                <w:p w14:paraId="358A5B77">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9</w:t>
                  </w:r>
                </w:p>
              </w:tc>
              <w:tc>
                <w:tcPr>
                  <w:tcW w:w="1459" w:type="pct"/>
                  <w:shd w:val="clear" w:color="auto" w:fill="auto"/>
                  <w:vAlign w:val="center"/>
                </w:tcPr>
                <w:p w14:paraId="0A7E72E8">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真空包装机</w:t>
                  </w:r>
                </w:p>
              </w:tc>
              <w:tc>
                <w:tcPr>
                  <w:tcW w:w="1273" w:type="pct"/>
                  <w:shd w:val="clear" w:color="auto" w:fill="auto"/>
                  <w:vAlign w:val="center"/>
                </w:tcPr>
                <w:p w14:paraId="30255084">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10~20秒/次</w:t>
                  </w:r>
                </w:p>
              </w:tc>
              <w:tc>
                <w:tcPr>
                  <w:tcW w:w="657" w:type="pct"/>
                  <w:vAlign w:val="center"/>
                </w:tcPr>
                <w:p w14:paraId="5CA63557">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eastAsia" w:cs="宋体"/>
                      <w:color w:val="000000" w:themeColor="text1"/>
                      <w:sz w:val="21"/>
                      <w:szCs w:val="21"/>
                      <w:highlight w:val="none"/>
                      <w:lang w:val="en-US" w:eastAsia="zh-CN"/>
                      <w14:textFill>
                        <w14:solidFill>
                          <w14:schemeClr w14:val="tx1"/>
                        </w14:solidFill>
                      </w14:textFill>
                    </w:rPr>
                  </w:pPr>
                  <w:r>
                    <w:rPr>
                      <w:rFonts w:cs="宋体"/>
                      <w:color w:val="000000" w:themeColor="text1"/>
                      <w:sz w:val="21"/>
                      <w:szCs w:val="21"/>
                      <w:highlight w:val="none"/>
                      <w14:textFill>
                        <w14:solidFill>
                          <w14:schemeClr w14:val="tx1"/>
                        </w14:solidFill>
                      </w14:textFill>
                    </w:rPr>
                    <w:t>台</w:t>
                  </w:r>
                </w:p>
              </w:tc>
              <w:tc>
                <w:tcPr>
                  <w:tcW w:w="532" w:type="pct"/>
                  <w:shd w:val="clear" w:color="auto" w:fill="auto"/>
                  <w:vAlign w:val="center"/>
                </w:tcPr>
                <w:p w14:paraId="1FCCB64A">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734" w:type="pct"/>
                  <w:vAlign w:val="center"/>
                </w:tcPr>
                <w:p w14:paraId="5562D215">
                  <w:pPr>
                    <w:keepNext w:val="0"/>
                    <w:keepLines w:val="0"/>
                    <w:pageBreakBefore w:val="0"/>
                    <w:widowControl w:val="0"/>
                    <w:tabs>
                      <w:tab w:val="left" w:pos="960"/>
                    </w:tabs>
                    <w:kinsoku/>
                    <w:wordWrap/>
                    <w:overflowPunct/>
                    <w:topLinePunct w:val="0"/>
                    <w:autoSpaceDE/>
                    <w:autoSpaceDN/>
                    <w:bidi w:val="0"/>
                    <w:adjustRightInd/>
                    <w:snapToGrid w:val="0"/>
                    <w:jc w:val="center"/>
                    <w:textAlignment w:val="auto"/>
                    <w:rPr>
                      <w:rFonts w:cs="宋体"/>
                      <w:color w:val="000000" w:themeColor="text1"/>
                      <w:sz w:val="21"/>
                      <w:szCs w:val="21"/>
                      <w:highlight w:val="none"/>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新建</w:t>
                  </w:r>
                </w:p>
              </w:tc>
            </w:tr>
          </w:tbl>
          <w:p w14:paraId="1F78B4A5">
            <w:pPr>
              <w:numPr>
                <w:ilvl w:val="2"/>
                <w:numId w:val="0"/>
              </w:numPr>
              <w:tabs>
                <w:tab w:val="left" w:pos="2126"/>
              </w:tabs>
              <w:adjustRightInd w:val="0"/>
              <w:snapToGrid w:val="0"/>
              <w:spacing w:before="120" w:beforeLines="50" w:line="360" w:lineRule="auto"/>
              <w:ind w:firstLine="422" w:firstLineChars="200"/>
              <w:rPr>
                <w:b/>
                <w:color w:val="000000" w:themeColor="text1"/>
                <w:szCs w:val="21"/>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7、</w:t>
            </w:r>
            <w:r>
              <w:rPr>
                <w:rFonts w:hint="eastAsia"/>
                <w:b/>
                <w:color w:val="000000" w:themeColor="text1"/>
                <w:szCs w:val="21"/>
                <w14:textFill>
                  <w14:solidFill>
                    <w14:schemeClr w14:val="tx1"/>
                  </w14:solidFill>
                </w14:textFill>
              </w:rPr>
              <w:t>项目水平衡分析</w:t>
            </w:r>
          </w:p>
          <w:p w14:paraId="18DE95CB">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cs="宋体"/>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本项目用水主要包括生活用水、</w:t>
            </w:r>
            <w:r>
              <w:rPr>
                <w:rFonts w:hint="eastAsia" w:cs="宋体"/>
                <w:color w:val="000000" w:themeColor="text1"/>
                <w:sz w:val="21"/>
                <w:szCs w:val="21"/>
                <w:highlight w:val="none"/>
                <w:lang w:val="en-US" w:eastAsia="zh-CN"/>
                <w14:textFill>
                  <w14:solidFill>
                    <w14:schemeClr w14:val="tx1"/>
                  </w14:solidFill>
                </w14:textFill>
              </w:rPr>
              <w:t>屠宰用水、肉类加工废水、检疫废水、消毒、药剂配置用水、车辆冲洗、</w:t>
            </w:r>
            <w:r>
              <w:rPr>
                <w:color w:val="000000" w:themeColor="text1"/>
                <w:spacing w:val="-5"/>
                <w14:textFill>
                  <w14:solidFill>
                    <w14:schemeClr w14:val="tx1"/>
                  </w14:solidFill>
                </w14:textFill>
              </w:rPr>
              <w:t>牛栏饮水</w:t>
            </w:r>
            <w:r>
              <w:rPr>
                <w:rFonts w:hint="eastAsia" w:cs="宋体"/>
                <w:color w:val="000000" w:themeColor="text1"/>
                <w:sz w:val="21"/>
                <w:szCs w:val="21"/>
                <w:highlight w:val="none"/>
                <w:lang w:val="en-US" w:eastAsia="zh-CN"/>
                <w14:textFill>
                  <w14:solidFill>
                    <w14:schemeClr w14:val="tx1"/>
                  </w14:solidFill>
                </w14:textFill>
              </w:rPr>
              <w:t>、</w:t>
            </w:r>
            <w:r>
              <w:rPr>
                <w:color w:val="000000" w:themeColor="text1"/>
                <w:spacing w:val="-5"/>
                <w14:textFill>
                  <w14:solidFill>
                    <w14:schemeClr w14:val="tx1"/>
                  </w14:solidFill>
                </w14:textFill>
              </w:rPr>
              <w:t>废气处理装置补水</w:t>
            </w:r>
            <w:r>
              <w:rPr>
                <w:rFonts w:hint="eastAsia" w:cs="宋体"/>
                <w:color w:val="000000" w:themeColor="text1"/>
                <w:sz w:val="21"/>
                <w:szCs w:val="21"/>
                <w:highlight w:val="none"/>
                <w:lang w:val="en-US" w:eastAsia="zh-CN"/>
                <w14:textFill>
                  <w14:solidFill>
                    <w14:schemeClr w14:val="tx1"/>
                  </w14:solidFill>
                </w14:textFill>
              </w:rPr>
              <w:t>：</w:t>
            </w:r>
          </w:p>
          <w:p w14:paraId="0D3AE147">
            <w:pPr>
              <w:numPr>
                <w:ilvl w:val="0"/>
                <w:numId w:val="3"/>
              </w:numPr>
              <w:tabs>
                <w:tab w:val="left" w:pos="2126"/>
              </w:tabs>
              <w:adjustRightInd w:val="0"/>
              <w:snapToGrid w:val="0"/>
              <w:spacing w:line="360" w:lineRule="auto"/>
              <w:ind w:firstLine="420" w:firstLineChars="200"/>
              <w:rPr>
                <w:rFonts w:hint="eastAsia"/>
                <w:bCs/>
                <w:color w:val="000000" w:themeColor="text1"/>
                <w:szCs w:val="21"/>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生活用水：本次新增员工7人，生活用水</w:t>
            </w:r>
            <w:r>
              <w:rPr>
                <w:rFonts w:hint="eastAsia" w:ascii="Times New Roman" w:hAnsi="Times New Roman" w:eastAsia="宋体"/>
                <w:bCs/>
                <w:color w:val="000000" w:themeColor="text1"/>
                <w:sz w:val="21"/>
                <w:szCs w:val="21"/>
                <w14:textFill>
                  <w14:solidFill>
                    <w14:schemeClr w14:val="tx1"/>
                  </w14:solidFill>
                </w14:textFill>
              </w:rPr>
              <w:t>不设置住宿和餐饮，年工作</w:t>
            </w:r>
            <w:r>
              <w:rPr>
                <w:rFonts w:hint="eastAsia" w:ascii="Times New Roman" w:hAnsi="Times New Roman" w:eastAsia="宋体"/>
                <w:bCs/>
                <w:color w:val="000000" w:themeColor="text1"/>
                <w:sz w:val="21"/>
                <w:szCs w:val="21"/>
                <w:lang w:val="en-US" w:eastAsia="zh-CN"/>
                <w14:textFill>
                  <w14:solidFill>
                    <w14:schemeClr w14:val="tx1"/>
                  </w14:solidFill>
                </w14:textFill>
              </w:rPr>
              <w:t>300</w:t>
            </w:r>
            <w:r>
              <w:rPr>
                <w:rFonts w:hint="eastAsia" w:ascii="Times New Roman" w:hAnsi="Times New Roman" w:eastAsia="宋体"/>
                <w:bCs/>
                <w:color w:val="000000" w:themeColor="text1"/>
                <w:sz w:val="21"/>
                <w:szCs w:val="21"/>
                <w14:textFill>
                  <w14:solidFill>
                    <w14:schemeClr w14:val="tx1"/>
                  </w14:solidFill>
                </w14:textFill>
              </w:rPr>
              <w:t>天，</w:t>
            </w:r>
            <w:r>
              <w:rPr>
                <w:rFonts w:ascii="Times New Roman" w:hAnsi="Times New Roman" w:eastAsia="宋体"/>
                <w:color w:val="000000" w:themeColor="text1"/>
                <w:sz w:val="21"/>
                <w:szCs w:val="21"/>
                <w14:textFill>
                  <w14:solidFill>
                    <w14:schemeClr w14:val="tx1"/>
                  </w14:solidFill>
                </w14:textFill>
              </w:rPr>
              <w:t>根据《江苏省</w:t>
            </w:r>
            <w:r>
              <w:rPr>
                <w:rFonts w:hint="eastAsia" w:ascii="Times New Roman" w:hAnsi="Times New Roman" w:eastAsia="宋体"/>
                <w:color w:val="000000" w:themeColor="text1"/>
                <w:sz w:val="21"/>
                <w:szCs w:val="21"/>
                <w:lang w:val="en-US" w:eastAsia="zh-CN"/>
                <w14:textFill>
                  <w14:solidFill>
                    <w14:schemeClr w14:val="tx1"/>
                  </w14:solidFill>
                </w14:textFill>
              </w:rPr>
              <w:t>工业、建筑业、服务业、生活和农业用水定额</w:t>
            </w:r>
            <w:r>
              <w:rPr>
                <w:rFonts w:ascii="Times New Roman" w:hAnsi="Times New Roman" w:eastAsia="宋体"/>
                <w:color w:val="000000" w:themeColor="text1"/>
                <w:sz w:val="21"/>
                <w:szCs w:val="21"/>
                <w14:textFill>
                  <w14:solidFill>
                    <w14:schemeClr w14:val="tx1"/>
                  </w14:solidFill>
                </w14:textFill>
              </w:rPr>
              <w:t>》（20</w:t>
            </w:r>
            <w:r>
              <w:rPr>
                <w:rFonts w:hint="eastAsia" w:ascii="Times New Roman" w:hAnsi="Times New Roman" w:eastAsia="宋体"/>
                <w:color w:val="000000" w:themeColor="text1"/>
                <w:sz w:val="21"/>
                <w:szCs w:val="21"/>
                <w:lang w:val="en-US" w:eastAsia="zh-CN"/>
                <w14:textFill>
                  <w14:solidFill>
                    <w14:schemeClr w14:val="tx1"/>
                  </w14:solidFill>
                </w14:textFill>
              </w:rPr>
              <w:t>25</w:t>
            </w:r>
            <w:r>
              <w:rPr>
                <w:rFonts w:ascii="Times New Roman" w:hAnsi="Times New Roman" w:eastAsia="宋体"/>
                <w:color w:val="000000" w:themeColor="text1"/>
                <w:sz w:val="21"/>
                <w:szCs w:val="21"/>
                <w14:textFill>
                  <w14:solidFill>
                    <w14:schemeClr w14:val="tx1"/>
                  </w14:solidFill>
                </w14:textFill>
              </w:rPr>
              <w:t>年修订），</w:t>
            </w:r>
            <w:r>
              <w:rPr>
                <w:rFonts w:hint="eastAsia" w:ascii="Times New Roman" w:hAnsi="Times New Roman" w:eastAsia="宋体"/>
                <w:bCs/>
                <w:color w:val="000000" w:themeColor="text1"/>
                <w:sz w:val="21"/>
                <w:szCs w:val="21"/>
                <w14:textFill>
                  <w14:solidFill>
                    <w14:schemeClr w14:val="tx1"/>
                  </w14:solidFill>
                </w14:textFill>
              </w:rPr>
              <w:t>员工生活用水定额按</w:t>
            </w:r>
            <w:r>
              <w:rPr>
                <w:rFonts w:hint="eastAsia" w:ascii="Times New Roman" w:hAnsi="Times New Roman"/>
                <w:bCs/>
                <w:color w:val="000000" w:themeColor="text1"/>
                <w:sz w:val="21"/>
                <w:szCs w:val="21"/>
                <w:lang w:val="en-US" w:eastAsia="zh-CN"/>
                <w14:textFill>
                  <w14:solidFill>
                    <w14:schemeClr w14:val="tx1"/>
                  </w14:solidFill>
                </w14:textFill>
              </w:rPr>
              <w:t>5</w:t>
            </w:r>
            <w:r>
              <w:rPr>
                <w:rFonts w:hint="eastAsia" w:ascii="Times New Roman" w:hAnsi="Times New Roman" w:eastAsia="宋体"/>
                <w:bCs/>
                <w:color w:val="000000" w:themeColor="text1"/>
                <w:sz w:val="21"/>
                <w:szCs w:val="21"/>
                <w14:textFill>
                  <w14:solidFill>
                    <w14:schemeClr w14:val="tx1"/>
                  </w14:solidFill>
                </w14:textFill>
              </w:rPr>
              <w:t>0L/人</w:t>
            </w:r>
            <w:r>
              <w:rPr>
                <w:rFonts w:hint="default" w:ascii="Times New Roman" w:hAnsi="Times New Roman" w:eastAsia="宋体" w:cs="Times New Roman"/>
                <w:bCs/>
                <w:color w:val="000000" w:themeColor="text1"/>
                <w:sz w:val="21"/>
                <w:szCs w:val="21"/>
                <w14:textFill>
                  <w14:solidFill>
                    <w14:schemeClr w14:val="tx1"/>
                  </w14:solidFill>
                </w14:textFill>
              </w:rPr>
              <w:t>·</w:t>
            </w:r>
            <w:r>
              <w:rPr>
                <w:rFonts w:hint="eastAsia" w:ascii="Times New Roman" w:hAnsi="Times New Roman" w:eastAsia="宋体"/>
                <w:bCs/>
                <w:color w:val="000000" w:themeColor="text1"/>
                <w:sz w:val="21"/>
                <w:szCs w:val="21"/>
                <w14:textFill>
                  <w14:solidFill>
                    <w14:schemeClr w14:val="tx1"/>
                  </w14:solidFill>
                </w14:textFill>
              </w:rPr>
              <w:t>d计，则生活用水量为</w:t>
            </w:r>
            <w:r>
              <w:rPr>
                <w:rFonts w:hint="eastAsia" w:ascii="Times New Roman" w:hAnsi="Times New Roman"/>
                <w:bCs/>
                <w:color w:val="000000" w:themeColor="text1"/>
                <w:sz w:val="21"/>
                <w:szCs w:val="21"/>
                <w:lang w:val="en-US" w:eastAsia="zh-CN"/>
                <w14:textFill>
                  <w14:solidFill>
                    <w14:schemeClr w14:val="tx1"/>
                  </w14:solidFill>
                </w14:textFill>
              </w:rPr>
              <w:t>105</w:t>
            </w:r>
            <w:r>
              <w:rPr>
                <w:rFonts w:hint="eastAsia" w:ascii="Times New Roman" w:hAnsi="Times New Roman" w:eastAsia="宋体"/>
                <w:bCs/>
                <w:color w:val="000000" w:themeColor="text1"/>
                <w:sz w:val="21"/>
                <w:szCs w:val="21"/>
                <w14:textFill>
                  <w14:solidFill>
                    <w14:schemeClr w14:val="tx1"/>
                  </w14:solidFill>
                </w14:textFill>
              </w:rPr>
              <w:t>t/a。</w:t>
            </w:r>
            <w:r>
              <w:rPr>
                <w:rFonts w:hint="eastAsia"/>
                <w:bCs/>
                <w:color w:val="000000" w:themeColor="text1"/>
                <w:szCs w:val="21"/>
                <w14:textFill>
                  <w14:solidFill>
                    <w14:schemeClr w14:val="tx1"/>
                  </w14:solidFill>
                </w14:textFill>
              </w:rPr>
              <w:t>生活污水排放系数按0.8计，则污水排放量为</w:t>
            </w:r>
            <w:r>
              <w:rPr>
                <w:rFonts w:hint="eastAsia"/>
                <w:bCs/>
                <w:color w:val="000000" w:themeColor="text1"/>
                <w:szCs w:val="21"/>
                <w:lang w:val="en-US" w:eastAsia="zh-CN"/>
                <w14:textFill>
                  <w14:solidFill>
                    <w14:schemeClr w14:val="tx1"/>
                  </w14:solidFill>
                </w14:textFill>
              </w:rPr>
              <w:t>84</w:t>
            </w:r>
            <w:r>
              <w:rPr>
                <w:rFonts w:hint="eastAsia"/>
                <w:bCs/>
                <w:color w:val="000000" w:themeColor="text1"/>
                <w:szCs w:val="21"/>
                <w14:textFill>
                  <w14:solidFill>
                    <w14:schemeClr w14:val="tx1"/>
                  </w14:solidFill>
                </w14:textFill>
              </w:rPr>
              <w:t>t/a，</w:t>
            </w:r>
            <w:r>
              <w:rPr>
                <w:rFonts w:hint="eastAsia"/>
                <w:bCs/>
                <w:color w:val="000000" w:themeColor="text1"/>
                <w:szCs w:val="21"/>
                <w:lang w:val="en-US" w:eastAsia="zh-CN"/>
                <w14:textFill>
                  <w14:solidFill>
                    <w14:schemeClr w14:val="tx1"/>
                  </w14:solidFill>
                </w14:textFill>
              </w:rPr>
              <w:t>经污水处理站处理后接管至指前污水处理有限公司集中处理，</w:t>
            </w:r>
            <w:r>
              <w:rPr>
                <w:rFonts w:hint="eastAsia"/>
                <w:bCs/>
                <w:color w:val="000000" w:themeColor="text1"/>
                <w:szCs w:val="21"/>
                <w14:textFill>
                  <w14:solidFill>
                    <w14:schemeClr w14:val="tx1"/>
                  </w14:solidFill>
                </w14:textFill>
              </w:rPr>
              <w:t>处理后尾水排入</w:t>
            </w:r>
            <w:r>
              <w:rPr>
                <w:rFonts w:hint="eastAsia" w:cs="宋体"/>
                <w:color w:val="000000" w:themeColor="text1"/>
                <w:spacing w:val="6"/>
                <w:sz w:val="21"/>
                <w:szCs w:val="21"/>
                <w:highlight w:val="none"/>
                <w:lang w:eastAsia="zh-CN"/>
                <w14:textFill>
                  <w14:solidFill>
                    <w14:schemeClr w14:val="tx1"/>
                  </w14:solidFill>
                </w14:textFill>
              </w:rPr>
              <w:t>丹金溧漕河</w:t>
            </w:r>
            <w:r>
              <w:rPr>
                <w:rFonts w:hint="eastAsia"/>
                <w:bCs/>
                <w:color w:val="000000" w:themeColor="text1"/>
                <w:szCs w:val="21"/>
                <w14:textFill>
                  <w14:solidFill>
                    <w14:schemeClr w14:val="tx1"/>
                  </w14:solidFill>
                </w14:textFill>
              </w:rPr>
              <w:t>。</w:t>
            </w:r>
          </w:p>
          <w:p w14:paraId="79165087">
            <w:pPr>
              <w:numPr>
                <w:ilvl w:val="0"/>
                <w:numId w:val="3"/>
              </w:numPr>
              <w:tabs>
                <w:tab w:val="left" w:pos="2126"/>
              </w:tabs>
              <w:adjustRightInd w:val="0"/>
              <w:snapToGrid w:val="0"/>
              <w:spacing w:line="360" w:lineRule="auto"/>
              <w:ind w:firstLine="420" w:firstLineChars="200"/>
              <w:rPr>
                <w:rFonts w:hint="eastAsia"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屠宰用水：屠宰废水（包含待宰圈冲洗废水W1-1、称重、冲淋产生的清洗废水W1-2、修整、冲淋产生的清洗废水W1-3）：根据《屠宰与肉类加工废水治理工程技术规范》（HJ2004-2010）中的术语和定义内容：“屠宰过程指屠宰时进行的圈栏冲洗、宰前淋洗、宰后烫毛或剥皮、开膛、劈半、解体、内脏洗涤及车间冲洗等过程”；屠宰废水指屠宰过程中产生的废水，所以本项目产生的屠宰废水包含圈栏冲洗、宰前淋洗、宰后剥皮、开膛、劈半、解体、内脏洗涤及车间冲洗等过程产生的废水总和。根据《排放源统计调查产排污核算方法和系数手册：135 屠宰及肉类加工行业系数手册》中机械化屠宰相应系数进行排水量测算，屠宰废水的测算依据为：</w:t>
            </w:r>
            <w:r>
              <w:rPr>
                <w:rFonts w:hint="eastAsia" w:ascii="Times New Roman" w:hAnsi="Times New Roman" w:cs="宋体"/>
                <w:color w:val="0000FF"/>
                <w:sz w:val="21"/>
                <w:szCs w:val="21"/>
                <w:highlight w:val="none"/>
                <w:lang w:val="en-US" w:eastAsia="zh-CN"/>
              </w:rPr>
              <w:t>牛0.941吨/头，则本项目废水排放量为65</w:t>
            </w:r>
            <w:r>
              <w:rPr>
                <w:rFonts w:hint="eastAsia" w:cs="宋体"/>
                <w:color w:val="0000FF"/>
                <w:sz w:val="21"/>
                <w:szCs w:val="21"/>
                <w:highlight w:val="none"/>
                <w:lang w:val="en-US" w:eastAsia="zh-CN"/>
              </w:rPr>
              <w:t>87</w:t>
            </w:r>
            <w:r>
              <w:rPr>
                <w:rFonts w:hint="eastAsia" w:ascii="Times New Roman" w:hAnsi="Times New Roman" w:cs="宋体"/>
                <w:color w:val="0000FF"/>
                <w:sz w:val="21"/>
                <w:szCs w:val="21"/>
                <w:highlight w:val="none"/>
                <w:lang w:val="en-US" w:eastAsia="zh-CN"/>
              </w:rPr>
              <w:t>t/a。废水产污系数以0.85计，则新鲜水用量约为77</w:t>
            </w:r>
            <w:r>
              <w:rPr>
                <w:rFonts w:hint="eastAsia" w:cs="宋体"/>
                <w:color w:val="0000FF"/>
                <w:sz w:val="21"/>
                <w:szCs w:val="21"/>
                <w:highlight w:val="none"/>
                <w:lang w:val="en-US" w:eastAsia="zh-CN"/>
              </w:rPr>
              <w:t>4</w:t>
            </w:r>
            <w:r>
              <w:rPr>
                <w:rFonts w:hint="eastAsia" w:ascii="Times New Roman" w:hAnsi="Times New Roman" w:cs="宋体"/>
                <w:color w:val="0000FF"/>
                <w:sz w:val="21"/>
                <w:szCs w:val="21"/>
                <w:highlight w:val="none"/>
                <w:lang w:val="en-US" w:eastAsia="zh-CN"/>
              </w:rPr>
              <w:t>9</w:t>
            </w:r>
            <w:r>
              <w:rPr>
                <w:rFonts w:hint="eastAsia" w:cs="宋体"/>
                <w:color w:val="0000FF"/>
                <w:sz w:val="21"/>
                <w:szCs w:val="21"/>
                <w:highlight w:val="none"/>
                <w:lang w:val="en-US" w:eastAsia="zh-CN"/>
              </w:rPr>
              <w:t>.4</w:t>
            </w:r>
            <w:r>
              <w:rPr>
                <w:rFonts w:hint="eastAsia" w:ascii="Times New Roman" w:hAnsi="Times New Roman" w:cs="宋体"/>
                <w:color w:val="0000FF"/>
                <w:sz w:val="21"/>
                <w:szCs w:val="21"/>
                <w:highlight w:val="none"/>
                <w:lang w:val="en-US" w:eastAsia="zh-CN"/>
              </w:rPr>
              <w:t>t/a。</w:t>
            </w:r>
          </w:p>
          <w:p w14:paraId="091E0D98">
            <w:pPr>
              <w:tabs>
                <w:tab w:val="left" w:pos="960"/>
              </w:tabs>
              <w:spacing w:line="360" w:lineRule="auto"/>
              <w:ind w:firstLine="420" w:firstLineChars="200"/>
              <w:jc w:val="left"/>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建设单位</w:t>
            </w:r>
            <w:r>
              <w:rPr>
                <w:rFonts w:hint="eastAsia" w:ascii="Times New Roman" w:hAnsi="Times New Roman" w:eastAsia="宋体" w:cs="宋体"/>
                <w:color w:val="000000" w:themeColor="text1"/>
                <w:sz w:val="21"/>
                <w:szCs w:val="21"/>
                <w:highlight w:val="none"/>
                <w14:textFill>
                  <w14:solidFill>
                    <w14:schemeClr w14:val="tx1"/>
                  </w14:solidFill>
                </w14:textFill>
              </w:rPr>
              <w:t>提供资料，每头牛的内脏清洗、解剖分割</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酮体</w:t>
            </w:r>
            <w:r>
              <w:rPr>
                <w:rFonts w:hint="eastAsia" w:ascii="Times New Roman" w:hAnsi="Times New Roman" w:eastAsia="宋体" w:cs="宋体"/>
                <w:color w:val="000000" w:themeColor="text1"/>
                <w:sz w:val="21"/>
                <w:szCs w:val="21"/>
                <w:highlight w:val="none"/>
                <w14:textFill>
                  <w14:solidFill>
                    <w14:schemeClr w14:val="tx1"/>
                  </w14:solidFill>
                </w14:textFill>
              </w:rPr>
              <w:t>清洗用水约为278L，</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则内脏、酮体清洗用水量为1946t/a</w:t>
            </w:r>
            <w:r>
              <w:rPr>
                <w:rFonts w:hint="eastAsia" w:ascii="Times New Roman" w:hAnsi="Times New Roman" w:cs="宋体"/>
                <w:color w:val="000000" w:themeColor="text1"/>
                <w:sz w:val="21"/>
                <w:szCs w:val="21"/>
                <w:highlight w:val="none"/>
                <w:lang w:val="en-US" w:eastAsia="zh-CN"/>
                <w14:textFill>
                  <w14:solidFill>
                    <w14:schemeClr w14:val="tx1"/>
                  </w14:solidFill>
                </w14:textFill>
              </w:rPr>
              <w:t>（废水产生量为1654</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t/a</w:t>
            </w:r>
            <w:r>
              <w:rPr>
                <w:rFonts w:hint="eastAsia" w:ascii="Times New Roman" w:hAnsi="Times New Roman"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FF"/>
                <w:sz w:val="21"/>
                <w:szCs w:val="21"/>
                <w:highlight w:val="none"/>
                <w:lang w:val="en-US" w:eastAsia="zh-CN"/>
              </w:rPr>
              <w:t>其他屠宰用水量为5</w:t>
            </w:r>
            <w:r>
              <w:rPr>
                <w:rFonts w:hint="eastAsia" w:cs="宋体"/>
                <w:color w:val="0000FF"/>
                <w:sz w:val="21"/>
                <w:szCs w:val="21"/>
                <w:highlight w:val="none"/>
                <w:lang w:val="en-US" w:eastAsia="zh-CN"/>
              </w:rPr>
              <w:t>80</w:t>
            </w:r>
            <w:r>
              <w:rPr>
                <w:rFonts w:hint="eastAsia" w:ascii="Times New Roman" w:hAnsi="Times New Roman" w:cs="宋体"/>
                <w:color w:val="0000FF"/>
                <w:sz w:val="21"/>
                <w:szCs w:val="21"/>
                <w:highlight w:val="none"/>
                <w:lang w:val="en-US" w:eastAsia="zh-CN"/>
              </w:rPr>
              <w:t>3</w:t>
            </w:r>
            <w:r>
              <w:rPr>
                <w:rFonts w:hint="eastAsia" w:cs="宋体"/>
                <w:color w:val="0000FF"/>
                <w:sz w:val="21"/>
                <w:szCs w:val="21"/>
                <w:highlight w:val="none"/>
                <w:lang w:val="en-US" w:eastAsia="zh-CN"/>
              </w:rPr>
              <w:t>.4</w:t>
            </w:r>
            <w:r>
              <w:rPr>
                <w:rFonts w:hint="eastAsia" w:ascii="Times New Roman" w:hAnsi="Times New Roman" w:eastAsia="宋体" w:cs="宋体"/>
                <w:color w:val="0000FF"/>
                <w:sz w:val="21"/>
                <w:szCs w:val="21"/>
                <w:highlight w:val="none"/>
                <w:lang w:val="en-US" w:eastAsia="zh-CN"/>
              </w:rPr>
              <w:t>t/a</w:t>
            </w:r>
            <w:r>
              <w:rPr>
                <w:rFonts w:hint="eastAsia" w:ascii="Times New Roman" w:hAnsi="Times New Roman" w:cs="宋体"/>
                <w:color w:val="0000FF"/>
                <w:sz w:val="21"/>
                <w:szCs w:val="21"/>
                <w:highlight w:val="none"/>
                <w:lang w:val="en-US" w:eastAsia="zh-CN"/>
              </w:rPr>
              <w:t>（废水产生量为49</w:t>
            </w:r>
            <w:r>
              <w:rPr>
                <w:rFonts w:hint="eastAsia" w:cs="宋体"/>
                <w:color w:val="0000FF"/>
                <w:sz w:val="21"/>
                <w:szCs w:val="21"/>
                <w:highlight w:val="none"/>
                <w:lang w:val="en-US" w:eastAsia="zh-CN"/>
              </w:rPr>
              <w:t>32.9</w:t>
            </w:r>
            <w:r>
              <w:rPr>
                <w:rFonts w:hint="eastAsia" w:ascii="Times New Roman" w:hAnsi="Times New Roman" w:eastAsia="宋体" w:cs="宋体"/>
                <w:color w:val="0000FF"/>
                <w:sz w:val="21"/>
                <w:szCs w:val="21"/>
                <w:highlight w:val="none"/>
                <w:lang w:val="en-US" w:eastAsia="zh-CN"/>
              </w:rPr>
              <w:t>t/a</w:t>
            </w:r>
            <w:r>
              <w:rPr>
                <w:rFonts w:hint="eastAsia" w:ascii="Times New Roman" w:hAnsi="Times New Roman" w:cs="宋体"/>
                <w:color w:val="0000FF"/>
                <w:sz w:val="21"/>
                <w:szCs w:val="21"/>
                <w:highlight w:val="none"/>
                <w:lang w:val="en-US" w:eastAsia="zh-CN"/>
              </w:rPr>
              <w:t>）。</w:t>
            </w:r>
          </w:p>
          <w:p w14:paraId="62E9430F">
            <w:pPr>
              <w:numPr>
                <w:ilvl w:val="0"/>
                <w:numId w:val="3"/>
              </w:numPr>
              <w:tabs>
                <w:tab w:val="left" w:pos="3435"/>
              </w:tabs>
              <w:autoSpaceDE w:val="0"/>
              <w:autoSpaceDN w:val="0"/>
              <w:spacing w:line="360" w:lineRule="auto"/>
              <w:ind w:left="0" w:leftChars="0"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肉类加工废水（包含清洗废水W2-1，蒸煮、洗锅废水W2-2）：根据同类行业资料类比分析，切配后的清洗环节用水量约为170kg～180kg水/t肉，本次评价取180kg水/t肉，废水产生系数按0.9计，即162kg水/t肉。</w:t>
            </w:r>
          </w:p>
          <w:p w14:paraId="22C2B658">
            <w:pPr>
              <w:keepNext w:val="0"/>
              <w:keepLines w:val="0"/>
              <w:pageBreakBefore w:val="0"/>
              <w:widowControl w:val="0"/>
              <w:numPr>
                <w:ilvl w:val="0"/>
                <w:numId w:val="0"/>
              </w:numPr>
              <w:tabs>
                <w:tab w:val="left" w:pos="3435"/>
              </w:tabs>
              <w:kinsoku/>
              <w:wordWrap/>
              <w:overflowPunct/>
              <w:topLinePunct w:val="0"/>
              <w:autoSpaceDE w:val="0"/>
              <w:autoSpaceDN w:val="0"/>
              <w:bidi w:val="0"/>
              <w:adjustRightInd/>
              <w:snapToGrid/>
              <w:spacing w:line="360" w:lineRule="auto"/>
              <w:ind w:leftChars="0" w:firstLine="420" w:firstLineChars="200"/>
              <w:textAlignment w:val="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牛肉卤煮在卤煮锅中进行，每锅水约重复用10次后排放，中间换肉时添加水保持锅内50%的水量。采用连续水煮工艺，煮制水重复使用，水位低时自动补充新鲜水。类比同类行业，肉制品卤煮加工过程每吨肉用水量约为1.0t，消耗量为0.6t，排放量为0.4t。即肉类加工过程中用水量合计为1.18t/t肉，排放量为0.562t/t肉。</w:t>
            </w:r>
          </w:p>
          <w:p w14:paraId="136A74E7">
            <w:pPr>
              <w:keepNext w:val="0"/>
              <w:keepLines w:val="0"/>
              <w:pageBreakBefore w:val="0"/>
              <w:widowControl w:val="0"/>
              <w:numPr>
                <w:ilvl w:val="0"/>
                <w:numId w:val="0"/>
              </w:numPr>
              <w:tabs>
                <w:tab w:val="left" w:pos="3435"/>
              </w:tabs>
              <w:kinsoku/>
              <w:wordWrap/>
              <w:overflowPunct/>
              <w:topLinePunct w:val="0"/>
              <w:autoSpaceDE w:val="0"/>
              <w:autoSpaceDN w:val="0"/>
              <w:bidi w:val="0"/>
              <w:adjustRightInd/>
              <w:snapToGrid/>
              <w:spacing w:line="360" w:lineRule="auto"/>
              <w:ind w:leftChars="0" w:firstLine="420" w:firstLineChars="200"/>
              <w:textAlignment w:val="auto"/>
              <w:rPr>
                <w:rFonts w:hint="eastAsia" w:cs="宋体"/>
                <w:color w:val="0000FF"/>
                <w:sz w:val="21"/>
                <w:szCs w:val="21"/>
                <w:highlight w:val="none"/>
                <w:lang w:val="en-US" w:eastAsia="zh-CN"/>
              </w:rPr>
            </w:pPr>
            <w:r>
              <w:rPr>
                <w:rFonts w:hint="eastAsia" w:cs="宋体"/>
                <w:color w:val="0000FF"/>
                <w:sz w:val="21"/>
                <w:szCs w:val="21"/>
                <w:highlight w:val="none"/>
                <w:lang w:val="en-US" w:eastAsia="zh-CN"/>
              </w:rPr>
              <w:t>本项目年产980t/a卤肉，则需要新鲜水用量为1156.4t/a，肉类加工废水量为550.8t/a。</w:t>
            </w:r>
          </w:p>
          <w:p w14:paraId="7084EE5C">
            <w:pPr>
              <w:numPr>
                <w:ilvl w:val="0"/>
                <w:numId w:val="3"/>
              </w:numPr>
              <w:tabs>
                <w:tab w:val="left" w:pos="3435"/>
              </w:tabs>
              <w:autoSpaceDE w:val="0"/>
              <w:autoSpaceDN w:val="0"/>
              <w:spacing w:line="360" w:lineRule="auto"/>
              <w:ind w:left="0" w:leftChars="0"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检疫废水：</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本项目对肉类产品进行微生物检验，在细菌培养、检测中会涉及一定的器皿清洁用水，约为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0.1m</w:t>
            </w:r>
            <w:r>
              <w:rPr>
                <w:rFonts w:hint="default" w:ascii="Times New Roman" w:hAnsi="Times New Roman" w:eastAsia="宋体" w:cs="宋体"/>
                <w:color w:val="000000" w:themeColor="text1"/>
                <w:sz w:val="21"/>
                <w:szCs w:val="21"/>
                <w:highlight w:val="none"/>
                <w:vertAlign w:val="superscript"/>
                <w:lang w:val="en-US" w:eastAsia="zh-CN"/>
                <w14:textFill>
                  <w14:solidFill>
                    <w14:schemeClr w14:val="tx1"/>
                  </w14:solidFill>
                </w14:textFill>
              </w:rPr>
              <w:t>3</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/d</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，在微生物检验完成后需先对器皿采用高压蒸气灭菌器进行灭活消毒后，再进行洗刷，年用水量为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30t/a</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，排水按</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0.8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系数计算，则检疫废水产生量为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24t/a</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检疫废水水质与屠宰废水水质相似。</w:t>
            </w:r>
          </w:p>
          <w:p w14:paraId="40D187FA">
            <w:pPr>
              <w:numPr>
                <w:ilvl w:val="0"/>
                <w:numId w:val="3"/>
              </w:numPr>
              <w:tabs>
                <w:tab w:val="left" w:pos="3435"/>
              </w:tabs>
              <w:autoSpaceDE w:val="0"/>
              <w:autoSpaceDN w:val="0"/>
              <w:spacing w:line="360" w:lineRule="auto"/>
              <w:ind w:left="0" w:leftChars="0" w:firstLine="420" w:firstLineChars="200"/>
              <w:rPr>
                <w:rFonts w:hint="default" w:ascii="Times New Roman" w:hAnsi="Times New Roman" w:cs="宋体"/>
                <w:color w:val="000000" w:themeColor="text1"/>
                <w:sz w:val="21"/>
                <w:szCs w:val="21"/>
                <w:highlight w:val="none"/>
                <w:lang w:val="en-US" w:eastAsia="zh-CN"/>
                <w14:textFill>
                  <w14:solidFill>
                    <w14:schemeClr w14:val="tx1"/>
                  </w14:solidFill>
                </w14:textFill>
              </w:rPr>
            </w:pPr>
            <w:r>
              <w:rPr>
                <w:rFonts w:hint="default" w:ascii="Times New Roman" w:hAnsi="Times New Roman" w:cs="宋体"/>
                <w:color w:val="000000" w:themeColor="text1"/>
                <w:sz w:val="21"/>
                <w:szCs w:val="21"/>
                <w:highlight w:val="none"/>
                <w:lang w:val="en-US" w:eastAsia="zh-CN"/>
                <w14:textFill>
                  <w14:solidFill>
                    <w14:schemeClr w14:val="tx1"/>
                  </w14:solidFill>
                </w14:textFill>
              </w:rPr>
              <w:t>消毒、药剂配置用水：本项目需要定期对生产车间、检疫间、运输通道和办公生活区进行消毒，采用喷雾方式进行消毒，同时废水处理设施药剂需要用水配置，消毒剂、药剂与水按比例进行配置。根据建设单位提供资料，消毒、药剂配置用水约为100m</w:t>
            </w:r>
            <w:r>
              <w:rPr>
                <w:rFonts w:hint="default"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default" w:ascii="Times New Roman" w:hAnsi="Times New Roman" w:cs="宋体"/>
                <w:color w:val="000000" w:themeColor="text1"/>
                <w:sz w:val="21"/>
                <w:szCs w:val="21"/>
                <w:highlight w:val="none"/>
                <w:lang w:val="en-US" w:eastAsia="zh-CN"/>
                <w14:textFill>
                  <w14:solidFill>
                    <w14:schemeClr w14:val="tx1"/>
                  </w14:solidFill>
                </w14:textFill>
              </w:rPr>
              <w:t>/a，消毒过程不形成径流，全部随大气蒸发，无消毒废水产生，废水处理设施药剂进入污水处理系统，无废水产生。</w:t>
            </w:r>
          </w:p>
          <w:p w14:paraId="4B50BEFD">
            <w:pPr>
              <w:numPr>
                <w:ilvl w:val="0"/>
                <w:numId w:val="3"/>
              </w:numPr>
              <w:tabs>
                <w:tab w:val="left" w:pos="3435"/>
              </w:tabs>
              <w:autoSpaceDE w:val="0"/>
              <w:autoSpaceDN w:val="0"/>
              <w:spacing w:line="360" w:lineRule="auto"/>
              <w:ind w:left="0" w:leftChars="0" w:firstLine="420" w:firstLineChars="200"/>
              <w:rPr>
                <w:rFonts w:hint="default" w:cs="宋体"/>
                <w:color w:val="0000FF"/>
                <w:sz w:val="21"/>
                <w:szCs w:val="21"/>
                <w:highlight w:val="none"/>
                <w:lang w:val="en-US" w:eastAsia="zh-CN"/>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车辆冲洗废水：本项目采用的肉牛运输车辆单车最大可载肉牛15头/车，本项目每日车辆运输频次约为2次，运输肉牛的车辆进厂后要进行轮胎清洗，以保证卫生条件，卸车后空车到清洗点对车辆进行整车清洗，清洗前先进行干清粪，即将粪便先人工清出，再对车辆进行整车冲洗，既减少了冲洗水用量，同时了降低了冲洗废水中污染物的含量，洗车用水量约为1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/车次，</w:t>
            </w:r>
            <w:r>
              <w:rPr>
                <w:rFonts w:hint="eastAsia" w:cs="宋体"/>
                <w:color w:val="0000FF"/>
                <w:sz w:val="21"/>
                <w:szCs w:val="21"/>
                <w:highlight w:val="none"/>
                <w:lang w:val="en-US" w:eastAsia="zh-CN"/>
              </w:rPr>
              <w:t>则本项目车辆冲洗用水量为2m</w:t>
            </w:r>
            <w:r>
              <w:rPr>
                <w:rFonts w:hint="eastAsia" w:cs="宋体"/>
                <w:color w:val="0000FF"/>
                <w:sz w:val="21"/>
                <w:szCs w:val="21"/>
                <w:highlight w:val="none"/>
                <w:vertAlign w:val="superscript"/>
                <w:lang w:val="en-US" w:eastAsia="zh-CN"/>
              </w:rPr>
              <w:t>3</w:t>
            </w:r>
            <w:r>
              <w:rPr>
                <w:rFonts w:hint="eastAsia" w:cs="宋体"/>
                <w:color w:val="0000FF"/>
                <w:sz w:val="21"/>
                <w:szCs w:val="21"/>
                <w:highlight w:val="none"/>
                <w:lang w:val="en-US" w:eastAsia="zh-CN"/>
              </w:rPr>
              <w:t>/d，废水产生量按85%计，则一期项目车辆冲洗废水产生量为1.7m</w:t>
            </w:r>
            <w:r>
              <w:rPr>
                <w:rFonts w:hint="eastAsia" w:cs="宋体"/>
                <w:color w:val="0000FF"/>
                <w:sz w:val="21"/>
                <w:szCs w:val="21"/>
                <w:highlight w:val="none"/>
                <w:vertAlign w:val="superscript"/>
                <w:lang w:val="en-US" w:eastAsia="zh-CN"/>
              </w:rPr>
              <w:t>3</w:t>
            </w:r>
            <w:r>
              <w:rPr>
                <w:rFonts w:hint="eastAsia" w:cs="宋体"/>
                <w:color w:val="0000FF"/>
                <w:sz w:val="21"/>
                <w:szCs w:val="21"/>
                <w:highlight w:val="none"/>
                <w:lang w:val="en-US" w:eastAsia="zh-CN"/>
              </w:rPr>
              <w:t>/d，510t/a。</w:t>
            </w:r>
          </w:p>
          <w:p w14:paraId="28D3B1F0">
            <w:pPr>
              <w:numPr>
                <w:ilvl w:val="0"/>
                <w:numId w:val="3"/>
              </w:numPr>
              <w:tabs>
                <w:tab w:val="left" w:pos="3435"/>
              </w:tabs>
              <w:autoSpaceDE w:val="0"/>
              <w:autoSpaceDN w:val="0"/>
              <w:spacing w:line="360" w:lineRule="auto"/>
              <w:ind w:left="0" w:leftChars="0" w:firstLine="420" w:firstLineChars="200"/>
              <w:rPr>
                <w:rFonts w:hint="eastAsia" w:cs="宋体"/>
                <w:color w:val="0000FF"/>
                <w:sz w:val="21"/>
                <w:szCs w:val="21"/>
                <w:highlight w:val="none"/>
                <w:lang w:val="en-US" w:eastAsia="zh-CN"/>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牛栏饮水：肉牛屠宰前需静养12小时，静养期间只饮水不进食。本次扩建项目宰牛量0.7万头/年。根据建设单位提供的资料，每头牛饮用水量约0.01t，</w:t>
            </w:r>
            <w:r>
              <w:rPr>
                <w:rFonts w:hint="eastAsia" w:cs="宋体"/>
                <w:color w:val="0000FF"/>
                <w:sz w:val="21"/>
                <w:szCs w:val="21"/>
                <w:highlight w:val="none"/>
                <w:lang w:val="en-US" w:eastAsia="zh-CN"/>
              </w:rPr>
              <w:t>肉牛饮水量约70t/a。考虑新陈代谢及呼吸损耗占饮水量的30%，剩余70%以尿液的形式排出，故尿液产生量为49t/a。</w:t>
            </w:r>
          </w:p>
          <w:p w14:paraId="6AF9D11E">
            <w:pPr>
              <w:numPr>
                <w:ilvl w:val="0"/>
                <w:numId w:val="3"/>
              </w:numPr>
              <w:tabs>
                <w:tab w:val="left" w:pos="3435"/>
              </w:tabs>
              <w:autoSpaceDE w:val="0"/>
              <w:autoSpaceDN w:val="0"/>
              <w:spacing w:line="360" w:lineRule="auto"/>
              <w:ind w:left="0" w:leftChars="0" w:firstLine="420" w:firstLineChars="200"/>
              <w:rPr>
                <w:rFonts w:hint="default"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废气处理装置补水：本项目恶臭废气处理系统采用生物除臭处理工艺，该装置需定期补水，生物除臭喷淋液气比参照《城镇污水处理厂臭气处理技术规程》（CJJT243-2016）4.4.3填料层洗涤液液气比不宜小于1L/m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，本次评价取1.5L/m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。本项目生物除臭装置为一次性建设可变频装置，设计风量为20000m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/h，则循环水量为30m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/h，循环水箱设计为2m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。喷淋循环为密闭循环，循环过程中会少量蒸发消耗，每天消耗水量按循环水箱容积的5%计算，则生物除臭装置喷淋过程损失水量为1.5m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/d，则补充水量约为450m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/a。为了保证微生物良好的生存环境和养分补给，需定期更换，生物除臭装置每月更换一次喷淋水，即每年更换12次，则废水产生量为24m</w:t>
            </w:r>
            <w:r>
              <w:rPr>
                <w:rFonts w:hint="eastAsia" w:ascii="Times New Roman" w:hAnsi="Times New Roman" w:cs="宋体"/>
                <w:color w:val="000000" w:themeColor="text1"/>
                <w:sz w:val="21"/>
                <w:szCs w:val="21"/>
                <w:highlight w:val="none"/>
                <w:vertAlign w:val="superscript"/>
                <w:lang w:val="en-US" w:eastAsia="zh-CN"/>
                <w14:textFill>
                  <w14:solidFill>
                    <w14:schemeClr w14:val="tx1"/>
                  </w14:solidFill>
                </w14:textFill>
              </w:rPr>
              <w:t>3</w:t>
            </w:r>
            <w:r>
              <w:rPr>
                <w:rFonts w:hint="eastAsia" w:ascii="Times New Roman" w:hAnsi="Times New Roman" w:cs="宋体"/>
                <w:color w:val="000000" w:themeColor="text1"/>
                <w:sz w:val="21"/>
                <w:szCs w:val="21"/>
                <w:highlight w:val="none"/>
                <w:lang w:val="en-US" w:eastAsia="zh-CN"/>
                <w14:textFill>
                  <w14:solidFill>
                    <w14:schemeClr w14:val="tx1"/>
                  </w14:solidFill>
                </w14:textFill>
              </w:rPr>
              <w:t>/a。</w:t>
            </w:r>
          </w:p>
          <w:p w14:paraId="215FB30D">
            <w:pPr>
              <w:tabs>
                <w:tab w:val="left" w:pos="3435"/>
              </w:tabs>
              <w:autoSpaceDE w:val="0"/>
              <w:autoSpaceDN w:val="0"/>
              <w:spacing w:line="360" w:lineRule="auto"/>
              <w:ind w:firstLine="422" w:firstLineChars="200"/>
              <w:rPr>
                <w:rFonts w:hint="default"/>
                <w:b/>
                <w:bCs/>
                <w:color w:val="0000FF"/>
                <w:spacing w:val="-4"/>
                <w:lang w:val="en-US" w:eastAsia="zh-CN"/>
              </w:rPr>
            </w:pPr>
            <w:r>
              <w:rPr>
                <w:rFonts w:hint="eastAsia" w:cs="宋体"/>
                <w:b/>
                <w:bCs/>
                <w:color w:val="0000FF"/>
                <w:sz w:val="21"/>
                <w:szCs w:val="21"/>
                <w:highlight w:val="none"/>
                <w:lang w:val="en-US" w:eastAsia="zh-CN"/>
              </w:rPr>
              <w:t>本项目生活污水和生产废水混合后进入污水处理站处理，</w:t>
            </w:r>
            <w:r>
              <w:rPr>
                <w:rFonts w:hint="eastAsia" w:cs="宋体"/>
                <w:b/>
                <w:bCs/>
                <w:smallCaps w:val="0"/>
                <w:color w:val="0000FF"/>
                <w:sz w:val="21"/>
                <w:szCs w:val="21"/>
                <w:highlight w:val="none"/>
                <w:lang w:val="en-US" w:eastAsia="zh-CN"/>
              </w:rPr>
              <w:t>经厂区污水处理站处理后通过市政污水管网接管至指前污水处理厂处理</w:t>
            </w:r>
            <w:r>
              <w:rPr>
                <w:rFonts w:hint="eastAsia"/>
                <w:b/>
                <w:bCs/>
                <w:color w:val="0000FF"/>
                <w:spacing w:val="-4"/>
                <w:lang w:val="en-US" w:eastAsia="zh-CN"/>
              </w:rPr>
              <w:t>。</w:t>
            </w:r>
          </w:p>
          <w:p w14:paraId="2D36F1B5">
            <w:pPr>
              <w:pStyle w:val="9"/>
              <w:keepNext w:val="0"/>
              <w:keepLines w:val="0"/>
              <w:pageBreakBefore w:val="0"/>
              <w:widowControl/>
              <w:kinsoku/>
              <w:wordWrap/>
              <w:overflowPunct/>
              <w:topLinePunct w:val="0"/>
              <w:autoSpaceDE/>
              <w:autoSpaceDN/>
              <w:bidi w:val="0"/>
              <w:adjustRightInd/>
              <w:snapToGrid w:val="0"/>
              <w:spacing w:line="260" w:lineRule="auto"/>
              <w:ind w:right="113" w:firstLine="420" w:firstLineChars="200"/>
              <w:jc w:val="both"/>
              <w:textAlignment w:val="auto"/>
              <w:rPr>
                <w:rFonts w:hint="eastAsia"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本项目水平衡详见下图：</w:t>
            </w:r>
          </w:p>
          <w:p w14:paraId="6CE0DB4E">
            <w:pPr>
              <w:pStyle w:val="9"/>
              <w:keepNext w:val="0"/>
              <w:keepLines w:val="0"/>
              <w:pageBreakBefore w:val="0"/>
              <w:widowControl/>
              <w:kinsoku/>
              <w:wordWrap/>
              <w:overflowPunct/>
              <w:topLinePunct w:val="0"/>
              <w:autoSpaceDE/>
              <w:autoSpaceDN/>
              <w:bidi w:val="0"/>
              <w:adjustRightInd/>
              <w:snapToGrid w:val="0"/>
              <w:spacing w:line="260" w:lineRule="auto"/>
              <w:ind w:right="113" w:firstLine="422" w:firstLineChars="200"/>
              <w:jc w:val="center"/>
              <w:textAlignment w:val="auto"/>
              <w:rPr>
                <w:rFonts w:hint="default"/>
                <w:color w:val="000000" w:themeColor="text1"/>
                <w:lang w:val="en-US" w:eastAsia="zh-CN"/>
                <w14:textFill>
                  <w14:solidFill>
                    <w14:schemeClr w14:val="tx1"/>
                  </w14:solidFill>
                </w14:textFill>
              </w:rPr>
            </w:pPr>
            <w:r>
              <w:rPr>
                <w:rFonts w:hint="eastAsia"/>
                <w:b/>
                <w:bCs/>
                <w:color w:val="000000" w:themeColor="text1"/>
                <w:sz w:val="21"/>
                <w:szCs w:val="22"/>
                <w:lang w:val="en-US" w:eastAsia="zh-CN"/>
                <w14:textFill>
                  <w14:solidFill>
                    <w14:schemeClr w14:val="tx1"/>
                  </w14:solidFill>
                </w14:textFill>
              </w:rPr>
              <w:object>
                <v:shape id="_x0000_i1025" o:spt="75" type="#_x0000_t75" style="height:520.5pt;width:394.5pt;" o:ole="t" filled="f" o:preferrelative="t" stroked="f" coordsize="21600,21600">
                  <v:path/>
                  <v:fill on="f" focussize="0,0"/>
                  <v:stroke on="f"/>
                  <v:imagedata r:id="rId11" o:title=""/>
                  <o:lock v:ext="edit" aspectratio="f"/>
                  <w10:wrap type="none"/>
                  <w10:anchorlock/>
                </v:shape>
                <o:OLEObject Type="Embed" ProgID="Visio.Drawing.11" ShapeID="_x0000_i1025" DrawAspect="Content" ObjectID="_1468075725" r:id="rId10">
                  <o:LockedField>false</o:LockedField>
                </o:OLEObject>
              </w:object>
            </w:r>
            <w:r>
              <w:rPr>
                <w:rFonts w:hint="eastAsia"/>
                <w:b/>
                <w:bCs/>
                <w:color w:val="000000" w:themeColor="text1"/>
                <w:sz w:val="21"/>
                <w:szCs w:val="22"/>
                <w:lang w:val="en-US" w:eastAsia="zh-CN"/>
                <w14:textFill>
                  <w14:solidFill>
                    <w14:schemeClr w14:val="tx1"/>
                  </w14:solidFill>
                </w14:textFill>
              </w:rPr>
              <w:t>图2-1  本项目水平衡图</w:t>
            </w:r>
          </w:p>
          <w:p w14:paraId="04F235AD">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本项目建成后，全厂劳动定员为15人，则全厂员工生活用水定额按50L/人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d计，则生活用水量为225t/a。生活污水排放系数按0.8计，则污水排放量为180t/a</w:t>
            </w:r>
            <w:r>
              <w:rPr>
                <w:rFonts w:hint="eastAsia" w:ascii="Times New Roman" w:hAnsi="Times New Roman" w:cs="宋体"/>
                <w:color w:val="000000" w:themeColor="text1"/>
                <w:sz w:val="21"/>
                <w:szCs w:val="21"/>
                <w:highlight w:val="none"/>
                <w:lang w:val="en-US" w:eastAsia="zh-CN"/>
                <w14:textFill>
                  <w14:solidFill>
                    <w14:schemeClr w14:val="tx1"/>
                  </w14:solidFill>
                </w14:textFill>
              </w:rPr>
              <w:t>。全厂水平衡详见下图。</w:t>
            </w:r>
          </w:p>
          <w:p w14:paraId="293AC8B1">
            <w:pPr>
              <w:rPr>
                <w:rFonts w:hint="default"/>
                <w:color w:val="000000" w:themeColor="text1"/>
                <w:lang w:val="en-US" w:eastAsia="zh-CN"/>
                <w14:textFill>
                  <w14:solidFill>
                    <w14:schemeClr w14:val="tx1"/>
                  </w14:solidFill>
                </w14:textFill>
              </w:rPr>
            </w:pPr>
          </w:p>
          <w:p w14:paraId="57CCEC72">
            <w:pPr>
              <w:pStyle w:val="9"/>
              <w:jc w:val="center"/>
              <w:rPr>
                <w:rFonts w:hint="eastAsia"/>
                <w:b/>
                <w:bCs/>
                <w:color w:val="000000" w:themeColor="text1"/>
                <w:sz w:val="21"/>
                <w:szCs w:val="22"/>
                <w:lang w:val="en-US" w:eastAsia="zh-CN"/>
                <w14:textFill>
                  <w14:solidFill>
                    <w14:schemeClr w14:val="tx1"/>
                  </w14:solidFill>
                </w14:textFill>
              </w:rPr>
            </w:pPr>
            <w:r>
              <w:rPr>
                <w:rFonts w:hint="eastAsia"/>
                <w:b/>
                <w:bCs/>
                <w:color w:val="000000" w:themeColor="text1"/>
                <w:sz w:val="21"/>
                <w:szCs w:val="22"/>
                <w:lang w:val="en-US" w:eastAsia="zh-CN"/>
                <w14:textFill>
                  <w14:solidFill>
                    <w14:schemeClr w14:val="tx1"/>
                  </w14:solidFill>
                </w14:textFill>
              </w:rPr>
              <w:object>
                <v:shape id="_x0000_i1026" o:spt="75" type="#_x0000_t75" style="height:520.5pt;width:394.5pt;" o:ole="t" filled="f" o:preferrelative="t" stroked="f" coordsize="21600,21600">
                  <v:path/>
                  <v:fill on="f" focussize="0,0"/>
                  <v:stroke on="f"/>
                  <v:imagedata r:id="rId13" o:title=""/>
                  <o:lock v:ext="edit" aspectratio="f"/>
                  <w10:wrap type="none"/>
                  <w10:anchorlock/>
                </v:shape>
                <o:OLEObject Type="Embed" ProgID="Visio.Drawing.11" ShapeID="_x0000_i1026" DrawAspect="Content" ObjectID="_1468075726" r:id="rId12">
                  <o:LockedField>false</o:LockedField>
                </o:OLEObject>
              </w:object>
            </w:r>
          </w:p>
          <w:p w14:paraId="550F53F2">
            <w:pPr>
              <w:pStyle w:val="9"/>
              <w:jc w:val="center"/>
              <w:rPr>
                <w:rFonts w:hint="default"/>
                <w:color w:val="000000" w:themeColor="text1"/>
                <w:sz w:val="21"/>
                <w:szCs w:val="22"/>
                <w:lang w:val="en-US" w:eastAsia="zh-CN"/>
                <w14:textFill>
                  <w14:solidFill>
                    <w14:schemeClr w14:val="tx1"/>
                  </w14:solidFill>
                </w14:textFill>
              </w:rPr>
            </w:pPr>
            <w:r>
              <w:rPr>
                <w:rFonts w:hint="eastAsia"/>
                <w:b/>
                <w:bCs/>
                <w:color w:val="000000" w:themeColor="text1"/>
                <w:sz w:val="21"/>
                <w:szCs w:val="22"/>
                <w:lang w:val="en-US" w:eastAsia="zh-CN"/>
                <w14:textFill>
                  <w14:solidFill>
                    <w14:schemeClr w14:val="tx1"/>
                  </w14:solidFill>
                </w14:textFill>
              </w:rPr>
              <w:t>图2-2  全厂水平衡图</w:t>
            </w:r>
          </w:p>
          <w:p w14:paraId="651B4E98">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Times New Roman" w:hAnsi="Times New Roman" w:eastAsia="宋体" w:cs="宋体"/>
                <w:b/>
                <w:bCs/>
                <w:color w:val="000000" w:themeColor="text1"/>
                <w:sz w:val="21"/>
                <w:szCs w:val="21"/>
                <w:highlight w:val="none"/>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8</w:t>
            </w:r>
            <w:r>
              <w:rPr>
                <w:rFonts w:hint="eastAsia" w:ascii="Times New Roman" w:hAnsi="Times New Roman" w:eastAsia="宋体" w:cs="宋体"/>
                <w:b/>
                <w:bCs/>
                <w:color w:val="000000" w:themeColor="text1"/>
                <w:sz w:val="21"/>
                <w:szCs w:val="21"/>
                <w:highlight w:val="none"/>
                <w14:textFill>
                  <w14:solidFill>
                    <w14:schemeClr w14:val="tx1"/>
                  </w14:solidFill>
                </w14:textFill>
              </w:rPr>
              <w:t>、项目地理位置、周边环境状况</w:t>
            </w:r>
          </w:p>
          <w:p w14:paraId="034BCDEF">
            <w:pPr>
              <w:tabs>
                <w:tab w:val="left" w:pos="960"/>
              </w:tabs>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本项目位于</w:t>
            </w:r>
            <w:r>
              <w:rPr>
                <w:rFonts w:hint="eastAsia" w:cs="宋体"/>
                <w:color w:val="000000" w:themeColor="text1"/>
                <w:sz w:val="21"/>
                <w:szCs w:val="21"/>
                <w:highlight w:val="none"/>
                <w:lang w:eastAsia="zh-CN"/>
                <w14:textFill>
                  <w14:solidFill>
                    <w14:schemeClr w14:val="tx1"/>
                  </w14:solidFill>
                </w14:textFill>
              </w:rPr>
              <w:t>江苏省常州市金坛区指前镇社头集镇社兴东路</w:t>
            </w:r>
            <w:r>
              <w:rPr>
                <w:rFonts w:hint="eastAsia" w:ascii="Times New Roman" w:hAnsi="Times New Roman" w:eastAsia="宋体" w:cs="宋体"/>
                <w:color w:val="000000" w:themeColor="text1"/>
                <w:sz w:val="21"/>
                <w:szCs w:val="21"/>
                <w:highlight w:val="none"/>
                <w14:textFill>
                  <w14:solidFill>
                    <w14:schemeClr w14:val="tx1"/>
                  </w14:solidFill>
                </w14:textFill>
              </w:rPr>
              <w:t>，详见附图1项目地理位置图。</w:t>
            </w:r>
          </w:p>
          <w:p w14:paraId="0BC45894">
            <w:pPr>
              <w:tabs>
                <w:tab w:val="left" w:pos="960"/>
              </w:tabs>
              <w:spacing w:line="360" w:lineRule="auto"/>
              <w:ind w:firstLine="420" w:firstLineChars="200"/>
              <w:jc w:val="left"/>
              <w:rPr>
                <w:rFonts w:ascii="Times New Roman" w:hAnsi="Times New Roman" w:eastAsia="宋体" w:cs="宋体"/>
                <w:color w:val="FF0000"/>
                <w:sz w:val="21"/>
                <w:szCs w:val="21"/>
                <w:highlight w:val="none"/>
              </w:rPr>
            </w:pPr>
            <w:r>
              <w:rPr>
                <w:rFonts w:hint="eastAsia" w:ascii="Times New Roman" w:hAnsi="Times New Roman" w:eastAsia="宋体" w:cs="宋体"/>
                <w:color w:val="000000" w:themeColor="text1"/>
                <w:sz w:val="21"/>
                <w:szCs w:val="21"/>
                <w:highlight w:val="none"/>
                <w14:textFill>
                  <w14:solidFill>
                    <w14:schemeClr w14:val="tx1"/>
                  </w14:solidFill>
                </w14:textFill>
              </w:rPr>
              <w:t>本项目</w:t>
            </w:r>
            <w:r>
              <w:rPr>
                <w:rFonts w:hint="eastAsia" w:cs="宋体"/>
                <w:color w:val="000000" w:themeColor="text1"/>
                <w:sz w:val="21"/>
                <w:szCs w:val="21"/>
                <w:highlight w:val="none"/>
                <w:lang w:val="en-US" w:eastAsia="zh-CN"/>
                <w14:textFill>
                  <w14:solidFill>
                    <w14:schemeClr w14:val="tx1"/>
                  </w14:solidFill>
                </w14:textFill>
              </w:rPr>
              <w:t>厂界</w:t>
            </w:r>
            <w:r>
              <w:rPr>
                <w:rFonts w:hint="eastAsia" w:ascii="Times New Roman" w:hAnsi="Times New Roman" w:eastAsia="宋体" w:cs="宋体"/>
                <w:color w:val="000000" w:themeColor="text1"/>
                <w:sz w:val="21"/>
                <w:szCs w:val="21"/>
                <w:highlight w:val="none"/>
                <w14:textFill>
                  <w14:solidFill>
                    <w14:schemeClr w14:val="tx1"/>
                  </w14:solidFill>
                </w14:textFill>
              </w:rPr>
              <w:t>东侧为</w:t>
            </w:r>
            <w:r>
              <w:rPr>
                <w:rFonts w:hint="eastAsia" w:cs="宋体"/>
                <w:color w:val="000000" w:themeColor="text1"/>
                <w:sz w:val="21"/>
                <w:szCs w:val="21"/>
                <w:highlight w:val="none"/>
                <w:lang w:val="en-US" w:eastAsia="zh-CN"/>
                <w14:textFill>
                  <w14:solidFill>
                    <w14:schemeClr w14:val="tx1"/>
                  </w14:solidFill>
                </w14:textFill>
              </w:rPr>
              <w:t>空地</w:t>
            </w:r>
            <w:r>
              <w:rPr>
                <w:rFonts w:hint="eastAsia" w:ascii="Times New Roman" w:hAnsi="Times New Roman" w:eastAsia="宋体" w:cs="宋体"/>
                <w:color w:val="000000" w:themeColor="text1"/>
                <w:sz w:val="21"/>
                <w:szCs w:val="21"/>
                <w:highlight w:val="none"/>
                <w14:textFill>
                  <w14:solidFill>
                    <w14:schemeClr w14:val="tx1"/>
                  </w14:solidFill>
                </w14:textFill>
              </w:rPr>
              <w:t>，南侧为</w:t>
            </w:r>
            <w:r>
              <w:rPr>
                <w:rFonts w:hint="eastAsia" w:cs="宋体"/>
                <w:color w:val="000000" w:themeColor="text1"/>
                <w:sz w:val="21"/>
                <w:szCs w:val="21"/>
                <w:highlight w:val="none"/>
                <w:lang w:val="en-US" w:eastAsia="zh-CN"/>
                <w14:textFill>
                  <w14:solidFill>
                    <w14:schemeClr w14:val="tx1"/>
                  </w14:solidFill>
                </w14:textFill>
              </w:rPr>
              <w:t>空置厂房、值班室及塑料制品厂</w:t>
            </w:r>
            <w:r>
              <w:rPr>
                <w:rFonts w:hint="eastAsia" w:ascii="Times New Roman" w:hAnsi="Times New Roman" w:eastAsia="宋体" w:cs="宋体"/>
                <w:color w:val="000000" w:themeColor="text1"/>
                <w:sz w:val="21"/>
                <w:szCs w:val="21"/>
                <w:highlight w:val="none"/>
                <w14:textFill>
                  <w14:solidFill>
                    <w14:schemeClr w14:val="tx1"/>
                  </w14:solidFill>
                </w14:textFill>
              </w:rPr>
              <w:t>，西侧为</w:t>
            </w:r>
            <w:r>
              <w:rPr>
                <w:rFonts w:hint="eastAsia" w:cs="宋体"/>
                <w:color w:val="000000" w:themeColor="text1"/>
                <w:sz w:val="21"/>
                <w:szCs w:val="21"/>
                <w:highlight w:val="none"/>
                <w:lang w:val="en-US" w:eastAsia="zh-CN"/>
                <w14:textFill>
                  <w14:solidFill>
                    <w14:schemeClr w14:val="tx1"/>
                  </w14:solidFill>
                </w14:textFill>
              </w:rPr>
              <w:t>科宇重工，</w:t>
            </w:r>
            <w:r>
              <w:rPr>
                <w:rFonts w:hint="eastAsia" w:ascii="Times New Roman" w:hAnsi="Times New Roman" w:eastAsia="宋体" w:cs="宋体"/>
                <w:color w:val="000000" w:themeColor="text1"/>
                <w:sz w:val="21"/>
                <w:szCs w:val="21"/>
                <w:highlight w:val="none"/>
                <w14:textFill>
                  <w14:solidFill>
                    <w14:schemeClr w14:val="tx1"/>
                  </w14:solidFill>
                </w14:textFill>
              </w:rPr>
              <w:t>北侧为</w:t>
            </w:r>
            <w:r>
              <w:rPr>
                <w:rFonts w:hint="eastAsia" w:cs="宋体"/>
                <w:color w:val="000000" w:themeColor="text1"/>
                <w:sz w:val="21"/>
                <w:szCs w:val="21"/>
                <w:highlight w:val="none"/>
                <w:lang w:val="en-US" w:eastAsia="zh-CN"/>
                <w14:textFill>
                  <w14:solidFill>
                    <w14:schemeClr w14:val="tx1"/>
                  </w14:solidFill>
                </w14:textFill>
              </w:rPr>
              <w:t>社兴东路</w:t>
            </w:r>
            <w:r>
              <w:rPr>
                <w:rFonts w:hint="eastAsia" w:ascii="Times New Roman" w:hAnsi="Times New Roman" w:eastAsia="宋体" w:cs="宋体"/>
                <w:color w:val="000000" w:themeColor="text1"/>
                <w:sz w:val="21"/>
                <w:szCs w:val="21"/>
                <w:highlight w:val="none"/>
                <w14:textFill>
                  <w14:solidFill>
                    <w14:schemeClr w14:val="tx1"/>
                  </w14:solidFill>
                </w14:textFill>
              </w:rPr>
              <w:t>。本项目最近的敏感点为</w:t>
            </w:r>
            <w:r>
              <w:rPr>
                <w:rFonts w:hint="eastAsia" w:cs="宋体"/>
                <w:color w:val="000000" w:themeColor="text1"/>
                <w:sz w:val="21"/>
                <w:szCs w:val="21"/>
                <w:highlight w:val="none"/>
                <w:lang w:val="en-US" w:eastAsia="zh-CN"/>
                <w14:textFill>
                  <w14:solidFill>
                    <w14:schemeClr w14:val="tx1"/>
                  </w14:solidFill>
                </w14:textFill>
              </w:rPr>
              <w:t>南侧的社头村零散居民</w:t>
            </w:r>
            <w:r>
              <w:rPr>
                <w:rFonts w:hint="eastAsia" w:ascii="Times New Roman" w:hAnsi="Times New Roman" w:eastAsia="宋体" w:cs="宋体"/>
                <w:color w:val="000000" w:themeColor="text1"/>
                <w:sz w:val="21"/>
                <w:szCs w:val="21"/>
                <w:highlight w:val="none"/>
                <w14:textFill>
                  <w14:solidFill>
                    <w14:schemeClr w14:val="tx1"/>
                  </w14:solidFill>
                </w14:textFill>
              </w:rPr>
              <w:t>，距离</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w:t>
            </w:r>
            <w:r>
              <w:rPr>
                <w:rFonts w:hint="eastAsia" w:cs="宋体"/>
                <w:color w:val="000000" w:themeColor="text1"/>
                <w:sz w:val="21"/>
                <w:szCs w:val="21"/>
                <w:highlight w:val="none"/>
                <w:lang w:val="en-US" w:eastAsia="zh-CN"/>
                <w14:textFill>
                  <w14:solidFill>
                    <w14:schemeClr w14:val="tx1"/>
                  </w14:solidFill>
                </w14:textFill>
              </w:rPr>
              <w:t>厂界约</w:t>
            </w:r>
            <w:r>
              <w:rPr>
                <w:rFonts w:hint="eastAsia" w:ascii="Times New Roman" w:hAnsi="Times New Roman" w:eastAsia="宋体" w:cs="宋体"/>
                <w:color w:val="000000" w:themeColor="text1"/>
                <w:sz w:val="21"/>
                <w:szCs w:val="21"/>
                <w:highlight w:val="none"/>
                <w14:textFill>
                  <w14:solidFill>
                    <w14:schemeClr w14:val="tx1"/>
                  </w14:solidFill>
                </w14:textFill>
              </w:rPr>
              <w:t>为</w:t>
            </w:r>
            <w:r>
              <w:rPr>
                <w:rFonts w:hint="eastAsia" w:cs="宋体"/>
                <w:color w:val="000000" w:themeColor="text1"/>
                <w:sz w:val="21"/>
                <w:szCs w:val="21"/>
                <w:highlight w:val="none"/>
                <w:lang w:val="en-US" w:eastAsia="zh-CN"/>
                <w14:textFill>
                  <w14:solidFill>
                    <w14:schemeClr w14:val="tx1"/>
                  </w14:solidFill>
                </w14:textFill>
              </w:rPr>
              <w:t>26</w:t>
            </w:r>
            <w:r>
              <w:rPr>
                <w:rFonts w:hint="eastAsia" w:ascii="Times New Roman" w:hAnsi="Times New Roman" w:eastAsia="宋体" w:cs="宋体"/>
                <w:color w:val="000000" w:themeColor="text1"/>
                <w:sz w:val="21"/>
                <w:szCs w:val="21"/>
                <w:highlight w:val="none"/>
                <w14:textFill>
                  <w14:solidFill>
                    <w14:schemeClr w14:val="tx1"/>
                  </w14:solidFill>
                </w14:textFill>
              </w:rPr>
              <w:t>m，详见附图2项目周边环境状况图</w:t>
            </w:r>
            <w:r>
              <w:rPr>
                <w:rFonts w:ascii="Times New Roman" w:hAnsi="Times New Roman" w:eastAsia="宋体" w:cs="宋体"/>
                <w:color w:val="000000" w:themeColor="text1"/>
                <w:sz w:val="21"/>
                <w:szCs w:val="21"/>
                <w:highlight w:val="none"/>
                <w14:textFill>
                  <w14:solidFill>
                    <w14:schemeClr w14:val="tx1"/>
                  </w14:solidFill>
                </w14:textFill>
              </w:rPr>
              <w:t>。</w:t>
            </w:r>
          </w:p>
          <w:p w14:paraId="5985866B">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Times New Roman" w:hAnsi="Times New Roman" w:eastAsia="宋体" w:cs="宋体"/>
                <w:b/>
                <w:bCs/>
                <w:color w:val="000000" w:themeColor="text1"/>
                <w:sz w:val="21"/>
                <w:szCs w:val="21"/>
                <w:highlight w:val="none"/>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9</w:t>
            </w:r>
            <w:r>
              <w:rPr>
                <w:rFonts w:hint="eastAsia" w:ascii="Times New Roman" w:hAnsi="Times New Roman" w:eastAsia="宋体" w:cs="宋体"/>
                <w:b/>
                <w:bCs/>
                <w:color w:val="000000" w:themeColor="text1"/>
                <w:sz w:val="21"/>
                <w:szCs w:val="21"/>
                <w:highlight w:val="none"/>
                <w14:textFill>
                  <w14:solidFill>
                    <w14:schemeClr w14:val="tx1"/>
                  </w14:solidFill>
                </w14:textFill>
              </w:rPr>
              <w:t>、厂区平面布置</w:t>
            </w:r>
          </w:p>
          <w:p w14:paraId="69904B78">
            <w:pPr>
              <w:tabs>
                <w:tab w:val="left" w:pos="960"/>
              </w:tabs>
              <w:spacing w:line="360" w:lineRule="auto"/>
              <w:ind w:firstLine="420" w:firstLineChars="200"/>
              <w:jc w:val="left"/>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w:t>
            </w:r>
            <w:r>
              <w:rPr>
                <w:rFonts w:hint="eastAsia" w:cs="宋体"/>
                <w:color w:val="000000" w:themeColor="text1"/>
                <w:sz w:val="21"/>
                <w:szCs w:val="21"/>
                <w:highlight w:val="none"/>
                <w:lang w:eastAsia="zh-CN"/>
                <w14:textFill>
                  <w14:solidFill>
                    <w14:schemeClr w14:val="tx1"/>
                  </w14:solidFill>
                </w14:textFill>
              </w:rPr>
              <w:t>利用现有厂房2099平方米</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由西向东依次为冷冻室、综合大楼、圈养区域2、屠宰车间、办公区、圈养区域1</w:t>
            </w:r>
            <w:r>
              <w:rPr>
                <w:rFonts w:hint="eastAsia" w:ascii="Times New Roman" w:hAnsi="Times New Roman" w:eastAsia="宋体" w:cs="宋体"/>
                <w:color w:val="000000" w:themeColor="text1"/>
                <w:sz w:val="21"/>
                <w:szCs w:val="21"/>
                <w:highlight w:val="none"/>
                <w14:textFill>
                  <w14:solidFill>
                    <w14:schemeClr w14:val="tx1"/>
                  </w14:solidFill>
                </w14:textFill>
              </w:rPr>
              <w:t>。本项目平面布置做到工艺流程顺畅，结构紧凑，便于操作控制与集中管理；项目设计遵循相关规定，详见附图3厂区平面布置图及附图4车间设备布置图</w:t>
            </w:r>
            <w:r>
              <w:rPr>
                <w:rFonts w:ascii="Times New Roman" w:hAnsi="Times New Roman" w:eastAsia="宋体" w:cs="宋体"/>
                <w:color w:val="000000" w:themeColor="text1"/>
                <w:sz w:val="21"/>
                <w:szCs w:val="21"/>
                <w:highlight w:val="none"/>
                <w14:textFill>
                  <w14:solidFill>
                    <w14:schemeClr w14:val="tx1"/>
                  </w14:solidFill>
                </w14:textFill>
              </w:rPr>
              <w:t>。</w:t>
            </w:r>
          </w:p>
        </w:tc>
      </w:tr>
      <w:tr w14:paraId="5F351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463" w:type="dxa"/>
            <w:shd w:val="clear" w:color="auto" w:fill="auto"/>
            <w:vAlign w:val="center"/>
          </w:tcPr>
          <w:p w14:paraId="1C733924">
            <w:pPr>
              <w:pStyle w:val="22"/>
              <w:widowControl w:val="0"/>
              <w:adjustRightInd w:val="0"/>
              <w:snapToGrid w:val="0"/>
              <w:spacing w:before="0" w:beforeAutospacing="0" w:after="0" w:afterAutospacing="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工艺流程和产排污环节</w:t>
            </w:r>
          </w:p>
        </w:tc>
        <w:tc>
          <w:tcPr>
            <w:tcW w:w="8430" w:type="dxa"/>
          </w:tcPr>
          <w:p w14:paraId="004EA191">
            <w:pPr>
              <w:spacing w:line="360" w:lineRule="auto"/>
              <w:ind w:firstLine="422" w:firstLineChars="200"/>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牛屠宰</w:t>
            </w:r>
          </w:p>
          <w:p w14:paraId="18F848A1">
            <w:pPr>
              <w:adjustRightInd w:val="0"/>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object>
                <v:shape id="_x0000_i1027" o:spt="75" type="#_x0000_t75" style="height:430.75pt;width:410.7pt;" o:ole="t" filled="f" o:preferrelative="t" stroked="f" coordsize="21600,21600">
                  <v:path/>
                  <v:fill on="f" focussize="0,0"/>
                  <v:stroke on="f"/>
                  <v:imagedata r:id="rId15" o:title=""/>
                  <o:lock v:ext="edit" aspectratio="f"/>
                  <w10:wrap type="none"/>
                  <w10:anchorlock/>
                </v:shape>
                <o:OLEObject Type="Embed" ProgID="Visio.Drawing.11" ShapeID="_x0000_i1027" DrawAspect="Content" ObjectID="_1468075727" r:id="rId14">
                  <o:LockedField>false</o:LockedField>
                </o:OLEObject>
              </w:object>
            </w:r>
          </w:p>
          <w:p w14:paraId="33C164B0">
            <w:pPr>
              <w:tabs>
                <w:tab w:val="left" w:pos="960"/>
              </w:tabs>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图2</w:t>
            </w:r>
            <w:r>
              <w:rPr>
                <w:rFonts w:hint="eastAsia" w:cs="宋体"/>
                <w:b/>
                <w:bCs/>
                <w:color w:val="000000" w:themeColor="text1"/>
                <w:spacing w:val="-4"/>
                <w:sz w:val="21"/>
                <w:szCs w:val="21"/>
                <w:highlight w:val="none"/>
                <w:lang w:val="en-US" w:eastAsia="zh-CN"/>
                <w14:textFill>
                  <w14:solidFill>
                    <w14:schemeClr w14:val="tx1"/>
                  </w14:solidFill>
                </w14:textFill>
              </w:rPr>
              <w:t>-3</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牛屠宰</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工艺流程及产污环节图</w:t>
            </w:r>
          </w:p>
          <w:p w14:paraId="0AEA5FD4">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生产工艺流程简述：</w:t>
            </w:r>
          </w:p>
          <w:p w14:paraId="5188C6AF">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（1）宰前检验、处理：宰前检验的目的是通过检疫、检测，以控制各种疫病的传入和扩散，减少污染，维护产品质量。它包括以下三个环节：进厂检疫、候宰检查、宰前检疫。</w:t>
            </w:r>
          </w:p>
          <w:p w14:paraId="3440908C">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进厂检疫是指在未卸车之前，检疫员向押运员索取检疫证或防疫注射证，以便从侧面了解产地疫情；持证核对品种及头数，发现不符，及时查明原因直到认为没有可疑疫情时允许卸下，借过磅验级之际，留神观察牲畜健康状态，对可疑者应做进一步诊断，必要时组织会诊。当确诊疫病时，及时封锁，上报疫情。同时立即采取措施，</w:t>
            </w:r>
            <w:r>
              <w:rPr>
                <w:rFonts w:hint="eastAsia" w:cs="宋体"/>
                <w:color w:val="000000" w:themeColor="text1"/>
                <w:sz w:val="21"/>
                <w:szCs w:val="21"/>
                <w:highlight w:val="none"/>
                <w:lang w:val="en-US" w:eastAsia="zh-CN"/>
                <w14:textFill>
                  <w14:solidFill>
                    <w14:schemeClr w14:val="tx1"/>
                  </w14:solidFill>
                </w14:textFill>
              </w:rPr>
              <w:t>委托专业机构无害化处置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，确保人畜的安全。</w:t>
            </w:r>
          </w:p>
          <w:p w14:paraId="77D16992">
            <w:pPr>
              <w:spacing w:line="360" w:lineRule="auto"/>
              <w:ind w:firstLine="396"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color w:val="000000" w:themeColor="text1"/>
                <w:spacing w:val="-6"/>
                <w14:textFill>
                  <w14:solidFill>
                    <w14:schemeClr w14:val="tx1"/>
                  </w14:solidFill>
                </w14:textFill>
              </w:rPr>
              <w:t>如发现运输过程中因挤压冲撞等物理原因致死或体质较弱中暑在观察室内死亡的牛，</w:t>
            </w:r>
            <w:r>
              <w:rPr>
                <w:color w:val="000000" w:themeColor="text1"/>
                <w:spacing w:val="-1"/>
                <w14:textFill>
                  <w14:solidFill>
                    <w14:schemeClr w14:val="tx1"/>
                  </w14:solidFill>
                </w14:textFill>
              </w:rPr>
              <w:t>收集后</w:t>
            </w:r>
            <w:r>
              <w:rPr>
                <w:rFonts w:hint="eastAsia"/>
                <w:color w:val="000000" w:themeColor="text1"/>
                <w:spacing w:val="-1"/>
                <w:lang w:val="en-US" w:eastAsia="zh-CN"/>
                <w14:textFill>
                  <w14:solidFill>
                    <w14:schemeClr w14:val="tx1"/>
                  </w14:solidFill>
                </w14:textFill>
              </w:rPr>
              <w:t>暂存于病死牛冷库，</w:t>
            </w:r>
            <w:r>
              <w:rPr>
                <w:color w:val="000000" w:themeColor="text1"/>
                <w:spacing w:val="-1"/>
                <w14:textFill>
                  <w14:solidFill>
                    <w14:schemeClr w14:val="tx1"/>
                  </w14:solidFill>
                </w14:textFill>
              </w:rPr>
              <w:t>委托</w:t>
            </w:r>
            <w:r>
              <w:rPr>
                <w:rFonts w:hint="eastAsia"/>
                <w:color w:val="000000" w:themeColor="text1"/>
                <w:spacing w:val="-1"/>
                <w14:textFill>
                  <w14:solidFill>
                    <w14:schemeClr w14:val="tx1"/>
                  </w14:solidFill>
                </w14:textFill>
              </w:rPr>
              <w:t>常州市宏宝生物科技有限公司</w:t>
            </w:r>
            <w:r>
              <w:rPr>
                <w:color w:val="000000" w:themeColor="text1"/>
                <w:spacing w:val="-2"/>
                <w14:textFill>
                  <w14:solidFill>
                    <w14:schemeClr w14:val="tx1"/>
                  </w14:solidFill>
                </w14:textFill>
              </w:rPr>
              <w:t>进行无害化处理，如发现网上检疫合格证</w:t>
            </w:r>
            <w:r>
              <w:rPr>
                <w:color w:val="000000" w:themeColor="text1"/>
                <w:spacing w:val="-5"/>
                <w14:textFill>
                  <w14:solidFill>
                    <w14:schemeClr w14:val="tx1"/>
                  </w14:solidFill>
                </w14:textFill>
              </w:rPr>
              <w:t>明核对出现不符的则将牛退回，不进厂屠宰。</w:t>
            </w:r>
          </w:p>
          <w:p w14:paraId="2A28A0C2">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活牛在屠宰前一天被运到屠宰厂，存放在待宰圈内，必须保证活牛有充分的休息时间，使活牛保持安静的状态，防止代谢机能旺盛，同时宰前需要至少断食12h，并充分给水，最好是盐水，以利于宰后胴体达到尸僵并降低pH值，从而抑制微生物的繁殖，防止胴体被污染。</w:t>
            </w:r>
          </w:p>
          <w:p w14:paraId="009F9FD5">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候宰检查是指卫检员深入到待宰圈内观察活牛休息、饮食和行动状态发现异常，随时剔出进行临床检查，必要时采取急宰后剖检诊断</w:t>
            </w:r>
            <w:r>
              <w:rPr>
                <w:rFonts w:hint="eastAsia" w:cs="宋体"/>
                <w:color w:val="000000" w:themeColor="text1"/>
                <w:sz w:val="21"/>
                <w:szCs w:val="21"/>
                <w:highlight w:val="none"/>
                <w:lang w:val="en-US" w:eastAsia="zh-CN"/>
                <w14:textFill>
                  <w14:solidFill>
                    <w14:schemeClr w14:val="tx1"/>
                  </w14:solidFill>
                </w14:textFill>
              </w:rPr>
              <w:t>。</w:t>
            </w:r>
          </w:p>
          <w:p w14:paraId="78540FCA">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宰前检疫是在临宰前对活牛进行一次普查，确保其健康，是减少屠宰过程中病与健相互污染，保证产品质量的有效措施。</w:t>
            </w:r>
          </w:p>
          <w:p w14:paraId="6C2C88C7">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此工序会产生不合格病死牛、待宰圈牛粪便S</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1、待宰圈臭气G</w:t>
            </w:r>
            <w:r>
              <w:rPr>
                <w:rFonts w:hint="eastAsia" w:cs="宋体"/>
                <w:color w:val="000000" w:themeColor="text1"/>
                <w:sz w:val="21"/>
                <w:szCs w:val="21"/>
                <w:highlight w:val="none"/>
                <w:lang w:val="en-US" w:eastAsia="zh-CN"/>
                <w14:textFill>
                  <w14:solidFill>
                    <w14:schemeClr w14:val="tx1"/>
                  </w14:solidFill>
                </w14:textFill>
              </w:rPr>
              <w:t>1-1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和待宰圈冲洗废水W</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p>
          <w:p w14:paraId="7983B692">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称重、冲淋：为防止牛群恐慌，不能让待宰的牛看见车间内的场面，经宰前检验后合格的活牛由人沿着指定的通道将牛牵到地磅上称重。而后用水进行冲淋，清洗全身，以减少屠宰过程中牛身上的附着物对牛胴体的污染。</w:t>
            </w:r>
          </w:p>
          <w:p w14:paraId="070CF80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此工序会产生清洗废水W</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w:t>
            </w:r>
          </w:p>
          <w:p w14:paraId="6F750574">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（3）</w:t>
            </w:r>
            <w:r>
              <w:rPr>
                <w:rFonts w:hint="eastAsia" w:cs="宋体"/>
                <w:color w:val="000000" w:themeColor="text1"/>
                <w:sz w:val="21"/>
                <w:szCs w:val="21"/>
                <w:highlight w:val="none"/>
                <w:lang w:val="en-US" w:eastAsia="zh-CN"/>
                <w14:textFill>
                  <w14:solidFill>
                    <w14:schemeClr w14:val="tx1"/>
                  </w14:solidFill>
                </w14:textFill>
              </w:rPr>
              <w:t>致昏</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起吊：</w:t>
            </w:r>
            <w:r>
              <w:rPr>
                <w:rFonts w:hint="eastAsia" w:cs="宋体"/>
                <w:color w:val="000000" w:themeColor="text1"/>
                <w:sz w:val="21"/>
                <w:szCs w:val="21"/>
                <w:highlight w:val="none"/>
                <w:lang w:val="en-US" w:eastAsia="zh-CN"/>
                <w14:textFill>
                  <w14:solidFill>
                    <w14:schemeClr w14:val="tx1"/>
                  </w14:solidFill>
                </w14:textFill>
              </w:rPr>
              <w:t>为防止牛恐慌、降低噪声排放，起吊前需对牛致昏，屠宰线配套设置自动气动锤，通过空压机将空气压缩至高压，通过气动锤将肉牛快速击晕。肉牛被击晕后呈昏迷 状态，不得使其致死。然后</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由一人用绳索套牢牛的一条后腿，并挂在电动葫芦的吊钩上，启动电动葫芦将牛吊起，直到高轨上的滑轮钩住后，再放松电动葫芦吊钩并取出，使牛完全吊在高轨上。</w:t>
            </w:r>
          </w:p>
          <w:p w14:paraId="6CF00433">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（4）宰杀放血：从牛喉部下刀割断食管、气管和血管进行放血，放血时间约为</w:t>
            </w:r>
            <w:r>
              <w:rPr>
                <w:rFonts w:hint="eastAsia" w:cs="宋体"/>
                <w:color w:val="000000" w:themeColor="text1"/>
                <w:sz w:val="21"/>
                <w:szCs w:val="21"/>
                <w:highlight w:val="none"/>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min。再进入低压电刺激系统接受脉冲电压刺激，电压为25~80V，用以放松肌肉，加速牛肉排酸过程，提高牛肉嫩度，副产品牛血外售。</w:t>
            </w:r>
          </w:p>
          <w:p w14:paraId="2F59FB91">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（5）预剥头皮、去头：由人工预剥活牛头皮并去牛头，副产品牛头外售。</w:t>
            </w:r>
          </w:p>
          <w:p w14:paraId="509E29F1">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6）低中高位预剥：低位预剥是由人工剥前小腿皮、去前蹄。接着在高轨上剥悬空的那条后腿的皮，并去蹄，再用电动葫芦吊钩将牛从高轨上取出，用中轨上的滑轮钩钩住已剥过皮的那条腿，然后放下电动葫芦吊钩并取出，使牛转挂到中轨上，最后在中轨上剥另一条后小腿皮、去蹄，并将其也挂在中轨滑轮轮钩上，用撑腿器将牛的两条后腿撑开，最后再剥皮、尾皮，即完成了高位预剥。预剥牛的胸皮和颈皮为中位预剥。副产品牛蹄外售。</w:t>
            </w:r>
          </w:p>
          <w:p w14:paraId="2479E3F7">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7）机器扯皮：用扯皮机滚筒上的链钩钩住牛的颈皮，然后由两人分别站在扯皮机两侧的升降台上，启动扯皮机并不断地插刀，修整皮张，防止扯坏皮张或皮上带肉带脂肪。将牛背部的皮扯下后，再对牛屠体背部施加电刺激，使其背肌收缩复位。扯下来的整张牛皮售给制革厂。</w:t>
            </w:r>
          </w:p>
          <w:p w14:paraId="69316F8F">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（9）锯胸骨、剖腹：牛屠体锯胸骨开膛，取出红、白内脏。由人工分离内脏、板油和不可食用内脏等，经人工清粪，再用内脏清洗消毒装置进行清洗。可食用内脏处理后作为副产品外运销售，不可食用内脏</w:t>
            </w:r>
            <w:r>
              <w:rPr>
                <w:rFonts w:hint="eastAsia" w:ascii="Times New Roman" w:hAnsi="Times New Roman" w:cs="宋体"/>
                <w:color w:val="000000" w:themeColor="text1"/>
                <w:sz w:val="21"/>
                <w:szCs w:val="21"/>
                <w:highlight w:val="none"/>
                <w:lang w:val="en-US" w:eastAsia="zh-CN"/>
                <w14:textFill>
                  <w14:solidFill>
                    <w14:schemeClr w14:val="tx1"/>
                  </w14:solidFill>
                </w14:textFill>
              </w:rPr>
              <w:t>厂区暂存后</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委托常州市宏宝生物科技有限公司进行无害化处理</w:t>
            </w:r>
            <w:r>
              <w:rPr>
                <w:rFonts w:hint="eastAsia" w:ascii="Times New Roman" w:hAnsi="Times New Roman"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此工序会产生屠宰臭气G</w:t>
            </w:r>
            <w:r>
              <w:rPr>
                <w:rFonts w:hint="eastAsia" w:ascii="Times New Roman" w:hAnsi="Times New Roman"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2、胃容物、摘除的三腺、废弃内脏S</w:t>
            </w:r>
            <w:r>
              <w:rPr>
                <w:rFonts w:hint="eastAsia" w:ascii="Times New Roman" w:hAnsi="Times New Roman"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w:t>
            </w:r>
          </w:p>
          <w:p w14:paraId="6ECA04B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（10）胴体劈半：将牛胴体对半劈开。</w:t>
            </w:r>
          </w:p>
          <w:p w14:paraId="1C7F7E08">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11）修整、冲淋：修整范围包括割牛尾、扒下肾脏周围脂肪、修伤痕、除淤血及血凝块、修整颈肉、割除体腔内残留的零碎块和脂肪，割除胴体表面污垢，然后经冲淋洗去残留血渍、骨渣、毛等污物。此工序会产生清洗废水W</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3</w:t>
            </w:r>
            <w:r>
              <w:rPr>
                <w:rFonts w:hint="eastAsia" w:cs="宋体"/>
                <w:color w:val="000000" w:themeColor="text1"/>
                <w:sz w:val="21"/>
                <w:szCs w:val="21"/>
                <w:highlight w:val="none"/>
                <w:lang w:val="en-US" w:eastAsia="zh-CN"/>
                <w14:textFill>
                  <w14:solidFill>
                    <w14:schemeClr w14:val="tx1"/>
                  </w14:solidFill>
                </w14:textFill>
              </w:rPr>
              <w:t>，以及废碎肉骨S</w:t>
            </w:r>
            <w:r>
              <w:rPr>
                <w:rFonts w:hint="eastAsia" w:ascii="Times New Roman" w:hAnsi="Times New Roman" w:cs="宋体"/>
                <w:color w:val="000000" w:themeColor="text1"/>
                <w:sz w:val="21"/>
                <w:szCs w:val="21"/>
                <w:highlight w:val="none"/>
                <w:lang w:val="en-US" w:eastAsia="zh-CN"/>
                <w14:textFill>
                  <w14:solidFill>
                    <w14:schemeClr w14:val="tx1"/>
                  </w14:solidFill>
                </w14:textFill>
              </w:rPr>
              <w:t>1-3</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p>
          <w:p w14:paraId="11DE5595">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12）宰后检验：将牛的胴体、牛头、内脏、蹄等实施同步卫生检验。根据《中华人民共和国动物防疫法》和《中华人民共和国进出境动植物检疫法》中的有关规定，卫生检中华人民共和国进出境动植物检疫法验后屠体的处理如下：</w:t>
            </w:r>
          </w:p>
          <w:p w14:paraId="06DB1C2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合格的：检验合格作为食品的，其卫生检验、监督均依照《中华人民共和国食品卫生法》的规定办理。</w:t>
            </w:r>
          </w:p>
          <w:p w14:paraId="3504795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不合格的：检出检疫部门公布的一类传染病、寄生虫病的其阳性动物及与其同群的</w:t>
            </w:r>
            <w:r>
              <w:rPr>
                <w:rFonts w:hint="eastAsia" w:cs="宋体"/>
                <w:color w:val="000000" w:themeColor="text1"/>
                <w:sz w:val="21"/>
                <w:szCs w:val="21"/>
                <w:highlight w:val="none"/>
                <w:lang w:val="en-US" w:eastAsia="zh-CN"/>
                <w14:textFill>
                  <w14:solidFill>
                    <w14:schemeClr w14:val="tx1"/>
                  </w14:solidFill>
                </w14:textFill>
              </w:rPr>
              <w:t>牛</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群扑杀，并销毁尸体；</w:t>
            </w:r>
          </w:p>
          <w:p w14:paraId="2142A4F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检出检疫部门公布的二类传染病、寄生虫病的其阳性动物应扑杀，同群其它</w:t>
            </w:r>
            <w:r>
              <w:rPr>
                <w:rFonts w:hint="eastAsia" w:cs="宋体"/>
                <w:color w:val="000000" w:themeColor="text1"/>
                <w:sz w:val="21"/>
                <w:szCs w:val="21"/>
                <w:highlight w:val="none"/>
                <w:lang w:val="en-US" w:eastAsia="zh-CN"/>
                <w14:textFill>
                  <w14:solidFill>
                    <w14:schemeClr w14:val="tx1"/>
                  </w14:solidFill>
                </w14:textFill>
              </w:rPr>
              <w:t>牛</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在动物检疫隔离场和动植物检疫机关指定的地点继续隔离观察；检出一般性病害并超过规定标准的，可由专业技术人员按规程实施卫生无害化处理。</w:t>
            </w:r>
          </w:p>
          <w:p w14:paraId="0064C5DC">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此工序会产生不合格胴体S</w:t>
            </w:r>
            <w:r>
              <w:rPr>
                <w:rFonts w:hint="eastAsia" w:cs="宋体"/>
                <w:color w:val="000000" w:themeColor="text1"/>
                <w:sz w:val="21"/>
                <w:szCs w:val="21"/>
                <w:highlight w:val="none"/>
                <w:lang w:val="en-US" w:eastAsia="zh-CN"/>
                <w14:textFill>
                  <w14:solidFill>
                    <w14:schemeClr w14:val="tx1"/>
                  </w14:solidFill>
                </w14:textFill>
              </w:rPr>
              <w:t>1-4</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p>
          <w:p w14:paraId="34D2F659">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（13）冷却：符合鲜销和有条件食用的合格牛胴体盖章后送入冷却间冷却。冷却有以下三方面的作用:</w:t>
            </w:r>
          </w:p>
          <w:p w14:paraId="58E29992">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●宰后胴体冷却降温的速度越快，越有利于抑制微生物的生长繁殖；</w:t>
            </w:r>
          </w:p>
          <w:p w14:paraId="672DAC3B">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●冷却的时间越短，重量损失越小；</w:t>
            </w:r>
          </w:p>
          <w:p w14:paraId="708B92F5">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在一定的温度和湿度的条件下，让牛肉冷却排酸。排酸的目的主要是利用牛肉中所含的各种分解酶的作用，使游离氨基酸、游离脂肪酸、次黄嘌呤核苷酸等与风味有关的成分在肌肉中蓄积，从而改进牛肉的质量，使牛肉色泽变好，风味变佳，柔软细，变得更好吃。根据牛肉的档次不同，冷却排酸的时间也不同。高档牛肉其体需在冷却间内停留3-6天。普通牛肉在冷却间停留24h后，当体温度达到7℃时即可进入下一道工序了。</w:t>
            </w:r>
          </w:p>
          <w:p w14:paraId="11B166A8">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（14）锯为四分体：将牛拦腰截断。</w:t>
            </w:r>
          </w:p>
          <w:p w14:paraId="0F6E85D2">
            <w:pPr>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15）剔骨分割、修整：剔骨是在10℃左右的操作间内对牛前、牛后进行剔骨。剔骨的肌肉迅速进入分割间进行分割，分割温度不得高于剔骨操作间的温度。将牛胴体分割为颈部肉、前腿、里脊、花腱等，同时应修净碎骨、结缔组织、淋巴、淤血及其他杂质。剔下的牛骨外售。</w:t>
            </w:r>
            <w:r>
              <w:rPr>
                <w:rFonts w:hint="eastAsia" w:cs="宋体"/>
                <w:color w:val="000000" w:themeColor="text1"/>
                <w:sz w:val="21"/>
                <w:szCs w:val="21"/>
                <w:highlight w:val="none"/>
                <w:lang w:val="en-US" w:eastAsia="zh-CN"/>
                <w14:textFill>
                  <w14:solidFill>
                    <w14:schemeClr w14:val="tx1"/>
                  </w14:solidFill>
                </w14:textFill>
              </w:rPr>
              <w:t>此工序会产生废弃的碎肉骨S1-5。</w:t>
            </w:r>
          </w:p>
          <w:p w14:paraId="508A3867">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（16）</w:t>
            </w:r>
            <w:r>
              <w:rPr>
                <w:rFonts w:hint="eastAsia" w:cs="宋体"/>
                <w:color w:val="000000" w:themeColor="text1"/>
                <w:sz w:val="21"/>
                <w:szCs w:val="21"/>
                <w:highlight w:val="none"/>
                <w:lang w:val="en-US" w:eastAsia="zh-CN"/>
                <w14:textFill>
                  <w14:solidFill>
                    <w14:schemeClr w14:val="tx1"/>
                  </w14:solidFill>
                </w14:textFill>
              </w:rPr>
              <w:t>出肉备用，用于本项目卤制品制造</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p>
          <w:p w14:paraId="618C910F">
            <w:pPr>
              <w:spacing w:line="360" w:lineRule="auto"/>
              <w:ind w:firstLine="422" w:firstLineChars="200"/>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2、</w:t>
            </w: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牛肉卤制品</w:t>
            </w:r>
          </w:p>
          <w:p w14:paraId="752A8E3A">
            <w:pPr>
              <w:adjustRightInd w:val="0"/>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color w:val="000000" w:themeColor="text1"/>
                <w:sz w:val="21"/>
                <w:szCs w:val="21"/>
                <w14:textFill>
                  <w14:solidFill>
                    <w14:schemeClr w14:val="tx1"/>
                  </w14:solidFill>
                </w14:textFill>
              </w:rPr>
              <w:drawing>
                <wp:inline distT="0" distB="0" distL="114300" distR="114300">
                  <wp:extent cx="4544060" cy="4896485"/>
                  <wp:effectExtent l="0" t="0" r="8890" b="1841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6"/>
                          <a:stretch>
                            <a:fillRect/>
                          </a:stretch>
                        </pic:blipFill>
                        <pic:spPr>
                          <a:xfrm>
                            <a:off x="0" y="0"/>
                            <a:ext cx="4544060" cy="4896485"/>
                          </a:xfrm>
                          <a:prstGeom prst="rect">
                            <a:avLst/>
                          </a:prstGeom>
                          <a:noFill/>
                          <a:ln>
                            <a:noFill/>
                          </a:ln>
                        </pic:spPr>
                      </pic:pic>
                    </a:graphicData>
                  </a:graphic>
                </wp:inline>
              </w:drawing>
            </w:r>
          </w:p>
          <w:p w14:paraId="7ED987C7">
            <w:pPr>
              <w:tabs>
                <w:tab w:val="left" w:pos="960"/>
              </w:tabs>
              <w:spacing w:beforeLines="50"/>
              <w:jc w:val="cente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图2</w:t>
            </w:r>
            <w:r>
              <w:rPr>
                <w:rFonts w:hint="eastAsia" w:cs="宋体"/>
                <w:b/>
                <w:bCs/>
                <w:color w:val="000000" w:themeColor="text1"/>
                <w:spacing w:val="-4"/>
                <w:sz w:val="21"/>
                <w:szCs w:val="21"/>
                <w:highlight w:val="none"/>
                <w:lang w:val="en-US" w:eastAsia="zh-CN"/>
                <w14:textFill>
                  <w14:solidFill>
                    <w14:schemeClr w14:val="tx1"/>
                  </w14:solidFill>
                </w14:textFill>
              </w:rPr>
              <w:t>-4</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牛肉卤制品</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工艺流程及产污环节图</w:t>
            </w:r>
          </w:p>
          <w:p w14:paraId="3CD8C374">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（1）切配：将屠宰过程修割产生的碎牛肉进行分切，形成规则的块状，以方便清洗。</w:t>
            </w:r>
          </w:p>
          <w:p w14:paraId="535B9E4F">
            <w:pPr>
              <w:spacing w:line="360" w:lineRule="auto"/>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此工序会产生废肉渣S2-1。</w:t>
            </w:r>
          </w:p>
          <w:p w14:paraId="16E92C90">
            <w:pPr>
              <w:numPr>
                <w:ilvl w:val="0"/>
                <w:numId w:val="4"/>
              </w:num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清洗：分切好的牛肉进行清洗，以去除原料肉表面的血丝。</w:t>
            </w:r>
          </w:p>
          <w:p w14:paraId="4B753B83">
            <w:pPr>
              <w:spacing w:line="360" w:lineRule="auto"/>
              <w:ind w:firstLine="420" w:firstLineChars="200"/>
              <w:rPr>
                <w:rFonts w:hint="eastAsia"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此工序会产生清洗废水W2-1。</w:t>
            </w:r>
          </w:p>
          <w:p w14:paraId="21920B03">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（3）蒸煮：将清洗干净的牛肉食材放入蒸煮线，在90~95℃的水中煮制6分钟以上，蒸煮线采用电供热。</w:t>
            </w:r>
          </w:p>
          <w:p w14:paraId="534A2B88">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此工序会产生煮制、洗锅废水W2-2。</w:t>
            </w:r>
          </w:p>
          <w:p w14:paraId="1E017FBE">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（4）冷却、配料：将煮制好的牛肉在冷却台自然冷却。在牛肉冷却的同时对酱卤添加剂进行调配，按照比例加入酱油、料酒、味精、食盐、香辛料，形成酱卤汁。</w:t>
            </w:r>
          </w:p>
          <w:p w14:paraId="5CBA3A0C">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（5）酱卤：将冷却好的牛肉加入调配好的卤汁中进行泡制，酱卤时间控制在24小时以上，酱卤完成后及时捞出卤牛肉，捞出食品过程中注意保持食品外形的完整和美观。</w:t>
            </w:r>
          </w:p>
          <w:p w14:paraId="1200012C">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此工序会产生废卤料S2-2。</w:t>
            </w:r>
          </w:p>
          <w:p w14:paraId="1BE4796B">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（6）真空包装：将卤制好的酱牛肉称重后，进行内包装、封口并抽真空，检查内包装是否完好或有胀包现象。</w:t>
            </w:r>
          </w:p>
          <w:p w14:paraId="3906199F">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（7）杀菌：将食品放入高温杀菌机内进行高温杀菌。</w:t>
            </w:r>
          </w:p>
          <w:p w14:paraId="1A648815">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（8）外包装：经杀菌后的成品放入周转箱或框内（外包装材料为周转箱或周转筐）。</w:t>
            </w:r>
          </w:p>
          <w:p w14:paraId="4C43CF8F">
            <w:pPr>
              <w:spacing w:line="360" w:lineRule="auto"/>
              <w:ind w:firstLine="420" w:firstLineChars="200"/>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（9）出厂检验、入库冷藏：将产品委外进行抽样检验，样品检验合格后入库冷藏，不合格品重新杀菌消毒。</w:t>
            </w:r>
          </w:p>
          <w:p w14:paraId="130603A3">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cs="宋体"/>
                <w:b/>
                <w:bCs/>
                <w:color w:val="000000" w:themeColor="text1"/>
                <w:spacing w:val="-4"/>
                <w:sz w:val="21"/>
                <w:szCs w:val="21"/>
                <w:highlight w:val="none"/>
                <w:lang w:val="en-US" w:eastAsia="zh-CN"/>
                <w14:textFill>
                  <w14:solidFill>
                    <w14:schemeClr w14:val="tx1"/>
                  </w14:solidFill>
                </w14:textFill>
              </w:rPr>
              <w:t>2-6</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主要产污环节和排污特征</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511"/>
              <w:gridCol w:w="861"/>
              <w:gridCol w:w="1144"/>
              <w:gridCol w:w="1951"/>
              <w:gridCol w:w="907"/>
              <w:gridCol w:w="2840"/>
            </w:tblGrid>
            <w:tr w14:paraId="263D427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Align w:val="center"/>
                </w:tcPr>
                <w:p w14:paraId="55033669">
                  <w:pPr>
                    <w:autoSpaceDE w:val="0"/>
                    <w:autoSpaceDN w:val="0"/>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类别</w:t>
                  </w:r>
                </w:p>
              </w:tc>
              <w:tc>
                <w:tcPr>
                  <w:tcW w:w="524" w:type="pct"/>
                  <w:vAlign w:val="center"/>
                </w:tcPr>
                <w:p w14:paraId="14565344">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代码</w:t>
                  </w:r>
                </w:p>
              </w:tc>
              <w:tc>
                <w:tcPr>
                  <w:tcW w:w="696" w:type="pct"/>
                  <w:vAlign w:val="center"/>
                </w:tcPr>
                <w:p w14:paraId="7DAD03F4">
                  <w:pPr>
                    <w:autoSpaceDE w:val="0"/>
                    <w:autoSpaceDN w:val="0"/>
                    <w:snapToGrid w:val="0"/>
                    <w:jc w:val="center"/>
                    <w:rPr>
                      <w:rFonts w:hint="eastAsia" w:ascii="Times New Roman" w:hAnsi="Times New Roman" w:eastAsia="宋体" w:cs="宋体"/>
                      <w:b/>
                      <w:color w:val="000000" w:themeColor="text1"/>
                      <w:sz w:val="21"/>
                      <w:szCs w:val="21"/>
                      <w:highlight w:val="none"/>
                      <w:lang w:eastAsia="zh-CN"/>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产生</w:t>
                  </w:r>
                  <w:r>
                    <w:rPr>
                      <w:rFonts w:hint="eastAsia" w:cs="宋体"/>
                      <w:b/>
                      <w:color w:val="000000" w:themeColor="text1"/>
                      <w:sz w:val="21"/>
                      <w:szCs w:val="21"/>
                      <w:highlight w:val="none"/>
                      <w:lang w:val="en-US" w:eastAsia="zh-CN"/>
                      <w14:textFill>
                        <w14:solidFill>
                          <w14:schemeClr w14:val="tx1"/>
                        </w14:solidFill>
                      </w14:textFill>
                    </w:rPr>
                    <w:t>环节</w:t>
                  </w:r>
                </w:p>
              </w:tc>
              <w:tc>
                <w:tcPr>
                  <w:tcW w:w="1187" w:type="pct"/>
                  <w:vAlign w:val="center"/>
                </w:tcPr>
                <w:p w14:paraId="6CAC29FD">
                  <w:pPr>
                    <w:autoSpaceDE w:val="0"/>
                    <w:autoSpaceDN w:val="0"/>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污染物</w:t>
                  </w:r>
                </w:p>
              </w:tc>
              <w:tc>
                <w:tcPr>
                  <w:tcW w:w="552" w:type="pct"/>
                  <w:vAlign w:val="center"/>
                </w:tcPr>
                <w:p w14:paraId="61C8EBD5">
                  <w:pPr>
                    <w:autoSpaceDE w:val="0"/>
                    <w:autoSpaceDN w:val="0"/>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产生特征</w:t>
                  </w:r>
                </w:p>
              </w:tc>
              <w:tc>
                <w:tcPr>
                  <w:tcW w:w="1728" w:type="pct"/>
                  <w:vAlign w:val="center"/>
                </w:tcPr>
                <w:p w14:paraId="3538C54E">
                  <w:pPr>
                    <w:autoSpaceDE w:val="0"/>
                    <w:autoSpaceDN w:val="0"/>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采取的措施及去向</w:t>
                  </w:r>
                </w:p>
              </w:tc>
            </w:tr>
            <w:tr w14:paraId="7F6DBCF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restart"/>
                  <w:vAlign w:val="center"/>
                </w:tcPr>
                <w:p w14:paraId="6A37833E">
                  <w:pPr>
                    <w:autoSpaceDE w:val="0"/>
                    <w:autoSpaceDN w:val="0"/>
                    <w:snapToGrid w:val="0"/>
                    <w:jc w:val="center"/>
                    <w:rPr>
                      <w:rFonts w:hint="eastAsia"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废气</w:t>
                  </w:r>
                </w:p>
              </w:tc>
              <w:tc>
                <w:tcPr>
                  <w:tcW w:w="524" w:type="pct"/>
                  <w:vAlign w:val="center"/>
                </w:tcPr>
                <w:p w14:paraId="3B83E271">
                  <w:pPr>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G1-1</w:t>
                  </w:r>
                </w:p>
              </w:tc>
              <w:tc>
                <w:tcPr>
                  <w:tcW w:w="696" w:type="pct"/>
                  <w:vAlign w:val="center"/>
                </w:tcPr>
                <w:p w14:paraId="70462229">
                  <w:pPr>
                    <w:autoSpaceDE w:val="0"/>
                    <w:autoSpaceDN w:val="0"/>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宰前检验、处理</w:t>
                  </w:r>
                </w:p>
              </w:tc>
              <w:tc>
                <w:tcPr>
                  <w:tcW w:w="1187" w:type="pct"/>
                  <w:vAlign w:val="center"/>
                </w:tcPr>
                <w:p w14:paraId="346E027B">
                  <w:pPr>
                    <w:autoSpaceDE w:val="0"/>
                    <w:autoSpaceDN w:val="0"/>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氨、硫化氢、臭气浓度</w:t>
                  </w:r>
                </w:p>
              </w:tc>
              <w:tc>
                <w:tcPr>
                  <w:tcW w:w="552" w:type="pct"/>
                  <w:vAlign w:val="center"/>
                </w:tcPr>
                <w:p w14:paraId="2C9F5827">
                  <w:pPr>
                    <w:autoSpaceDE w:val="0"/>
                    <w:autoSpaceDN w:val="0"/>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连续</w:t>
                  </w:r>
                </w:p>
              </w:tc>
              <w:tc>
                <w:tcPr>
                  <w:tcW w:w="1728" w:type="pct"/>
                  <w:vMerge w:val="restart"/>
                  <w:vAlign w:val="center"/>
                </w:tcPr>
                <w:p w14:paraId="671BDCEE">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r>
                    <w:rPr>
                      <w:rFonts w:hint="eastAsia" w:ascii="Times New Roman" w:hAnsi="Times New Roman" w:cs="Times New Roman"/>
                      <w:smallCaps w:val="0"/>
                      <w:snapToGrid w:val="0"/>
                      <w:color w:val="000000" w:themeColor="text1"/>
                      <w:sz w:val="21"/>
                      <w:szCs w:val="21"/>
                      <w:lang w:val="en-US" w:eastAsia="zh-CN"/>
                      <w14:textFill>
                        <w14:solidFill>
                          <w14:schemeClr w14:val="tx1"/>
                        </w14:solidFill>
                      </w14:textFill>
                    </w:rPr>
                    <w:t>待宰、屠宰、废水处理设施废气</w:t>
                  </w:r>
                  <w:r>
                    <w:rPr>
                      <w:rFonts w:hint="eastAsia" w:ascii="Times New Roman" w:hAnsi="Times New Roman" w:eastAsia="宋体"/>
                      <w:smallCaps w:val="0"/>
                      <w:color w:val="000000" w:themeColor="text1"/>
                      <w:sz w:val="21"/>
                      <w:szCs w:val="21"/>
                      <w:lang w:val="en-US" w:eastAsia="zh-CN"/>
                      <w14:textFill>
                        <w14:solidFill>
                          <w14:schemeClr w14:val="tx1"/>
                        </w14:solidFill>
                      </w14:textFill>
                    </w:rPr>
                    <w:t>经密闭收集</w:t>
                  </w:r>
                  <w:r>
                    <w:rPr>
                      <w:rFonts w:hint="eastAsia" w:ascii="Times New Roman" w:hAnsi="Times New Roman" w:eastAsia="宋体"/>
                      <w:smallCaps w:val="0"/>
                      <w:color w:val="000000" w:themeColor="text1"/>
                      <w:sz w:val="21"/>
                      <w:szCs w:val="21"/>
                      <w14:textFill>
                        <w14:solidFill>
                          <w14:schemeClr w14:val="tx1"/>
                        </w14:solidFill>
                      </w14:textFill>
                    </w:rPr>
                    <w:t>，</w:t>
                  </w:r>
                  <w:r>
                    <w:rPr>
                      <w:rFonts w:hint="eastAsia" w:ascii="Times New Roman" w:hAnsi="Times New Roman" w:eastAsia="宋体"/>
                      <w:smallCaps w:val="0"/>
                      <w:color w:val="000000" w:themeColor="text1"/>
                      <w:sz w:val="21"/>
                      <w:szCs w:val="21"/>
                      <w:lang w:val="en-US" w:eastAsia="zh-CN"/>
                      <w14:textFill>
                        <w14:solidFill>
                          <w14:schemeClr w14:val="tx1"/>
                        </w14:solidFill>
                      </w14:textFill>
                    </w:rPr>
                    <w:t>生物除臭</w:t>
                  </w:r>
                  <w:r>
                    <w:rPr>
                      <w:rFonts w:hint="eastAsia" w:ascii="Times New Roman" w:hAnsi="Times New Roman" w:eastAsia="宋体"/>
                      <w:smallCaps w:val="0"/>
                      <w:color w:val="000000" w:themeColor="text1"/>
                      <w:sz w:val="21"/>
                      <w:szCs w:val="21"/>
                      <w14:textFill>
                        <w14:solidFill>
                          <w14:schemeClr w14:val="tx1"/>
                        </w14:solidFill>
                      </w14:textFill>
                    </w:rPr>
                    <w:t>装置处理，15m高排气筒FQ-1排放</w:t>
                  </w:r>
                </w:p>
              </w:tc>
            </w:tr>
            <w:tr w14:paraId="0029636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2620DED8">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p>
              </w:tc>
              <w:tc>
                <w:tcPr>
                  <w:tcW w:w="524" w:type="pct"/>
                  <w:vAlign w:val="center"/>
                </w:tcPr>
                <w:p w14:paraId="488236CE">
                  <w:pPr>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G1-2</w:t>
                  </w:r>
                </w:p>
              </w:tc>
              <w:tc>
                <w:tcPr>
                  <w:tcW w:w="696" w:type="pct"/>
                  <w:vAlign w:val="center"/>
                </w:tcPr>
                <w:p w14:paraId="6D052FD3">
                  <w:pPr>
                    <w:autoSpaceDE w:val="0"/>
                    <w:autoSpaceDN w:val="0"/>
                    <w:snapToGrid w:val="0"/>
                    <w:jc w:val="center"/>
                    <w:rPr>
                      <w:rFonts w:hint="default"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锯胸骨、剖腹</w:t>
                  </w:r>
                </w:p>
              </w:tc>
              <w:tc>
                <w:tcPr>
                  <w:tcW w:w="1187" w:type="pct"/>
                  <w:vAlign w:val="center"/>
                </w:tcPr>
                <w:p w14:paraId="1E4BC7E2">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氨、硫化氢、臭气浓度</w:t>
                  </w:r>
                </w:p>
              </w:tc>
              <w:tc>
                <w:tcPr>
                  <w:tcW w:w="552" w:type="pct"/>
                  <w:vAlign w:val="center"/>
                </w:tcPr>
                <w:p w14:paraId="07611C0E">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连续</w:t>
                  </w:r>
                </w:p>
              </w:tc>
              <w:tc>
                <w:tcPr>
                  <w:tcW w:w="1728" w:type="pct"/>
                  <w:vMerge w:val="continue"/>
                  <w:vAlign w:val="center"/>
                </w:tcPr>
                <w:p w14:paraId="755DE929">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p>
              </w:tc>
            </w:tr>
            <w:tr w14:paraId="3A5B3F55">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33B75E82">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p>
              </w:tc>
              <w:tc>
                <w:tcPr>
                  <w:tcW w:w="524" w:type="pct"/>
                  <w:vAlign w:val="center"/>
                </w:tcPr>
                <w:p w14:paraId="55F843B9">
                  <w:pPr>
                    <w:snapToGrid w:val="0"/>
                    <w:jc w:val="center"/>
                    <w:rPr>
                      <w:rFonts w:hint="eastAsia"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w:t>
                  </w:r>
                </w:p>
              </w:tc>
              <w:tc>
                <w:tcPr>
                  <w:tcW w:w="696" w:type="pct"/>
                  <w:vAlign w:val="center"/>
                </w:tcPr>
                <w:p w14:paraId="3831D7B7">
                  <w:pPr>
                    <w:autoSpaceDE w:val="0"/>
                    <w:autoSpaceDN w:val="0"/>
                    <w:snapToGrid w:val="0"/>
                    <w:jc w:val="center"/>
                    <w:rPr>
                      <w:rFonts w:hint="eastAsia" w:ascii="Times New Roman" w:hAnsi="Times New Roman" w:eastAsia="宋体" w:cs="宋体"/>
                      <w:b w:val="0"/>
                      <w:bCs/>
                      <w:color w:val="000000" w:themeColor="text1"/>
                      <w:sz w:val="21"/>
                      <w:szCs w:val="21"/>
                      <w:highlight w:val="none"/>
                      <w:lang w:val="en-US"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废水处理设施</w:t>
                  </w:r>
                </w:p>
              </w:tc>
              <w:tc>
                <w:tcPr>
                  <w:tcW w:w="1187" w:type="pct"/>
                  <w:vAlign w:val="center"/>
                </w:tcPr>
                <w:p w14:paraId="571D2426">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氨、硫化氢、臭气浓度</w:t>
                  </w:r>
                </w:p>
              </w:tc>
              <w:tc>
                <w:tcPr>
                  <w:tcW w:w="552" w:type="pct"/>
                  <w:vAlign w:val="center"/>
                </w:tcPr>
                <w:p w14:paraId="3C290303">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连续</w:t>
                  </w:r>
                </w:p>
              </w:tc>
              <w:tc>
                <w:tcPr>
                  <w:tcW w:w="1728" w:type="pct"/>
                  <w:vMerge w:val="continue"/>
                  <w:vAlign w:val="center"/>
                </w:tcPr>
                <w:p w14:paraId="594870BB">
                  <w:pPr>
                    <w:autoSpaceDE w:val="0"/>
                    <w:autoSpaceDN w:val="0"/>
                    <w:snapToGrid w:val="0"/>
                    <w:jc w:val="center"/>
                    <w:rPr>
                      <w:rFonts w:ascii="Times New Roman" w:hAnsi="Times New Roman" w:eastAsia="宋体" w:cs="宋体"/>
                      <w:b w:val="0"/>
                      <w:bCs/>
                      <w:color w:val="000000" w:themeColor="text1"/>
                      <w:sz w:val="21"/>
                      <w:szCs w:val="21"/>
                      <w:highlight w:val="none"/>
                      <w14:textFill>
                        <w14:solidFill>
                          <w14:schemeClr w14:val="tx1"/>
                        </w14:solidFill>
                      </w14:textFill>
                    </w:rPr>
                  </w:pPr>
                </w:p>
              </w:tc>
            </w:tr>
            <w:tr w14:paraId="6879EE8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restart"/>
                  <w:vAlign w:val="center"/>
                </w:tcPr>
                <w:p w14:paraId="3F91E4C6">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废水</w:t>
                  </w:r>
                </w:p>
              </w:tc>
              <w:tc>
                <w:tcPr>
                  <w:tcW w:w="524" w:type="pct"/>
                  <w:vAlign w:val="center"/>
                </w:tcPr>
                <w:p w14:paraId="76B89DF0">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W1-1</w:t>
                  </w:r>
                </w:p>
              </w:tc>
              <w:tc>
                <w:tcPr>
                  <w:tcW w:w="696" w:type="pct"/>
                  <w:vAlign w:val="center"/>
                </w:tcPr>
                <w:p w14:paraId="7EF7747B">
                  <w:pPr>
                    <w:snapToGrid w:val="0"/>
                    <w:jc w:val="cente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宰前检验、处理</w:t>
                  </w:r>
                </w:p>
              </w:tc>
              <w:tc>
                <w:tcPr>
                  <w:tcW w:w="1187" w:type="pct"/>
                  <w:vMerge w:val="restart"/>
                  <w:vAlign w:val="center"/>
                </w:tcPr>
                <w:p w14:paraId="48AB51C7">
                  <w:pPr>
                    <w:snapToGrid w:val="0"/>
                    <w:jc w:val="center"/>
                    <w:rPr>
                      <w:rFonts w:hint="eastAsia"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屠宰废水</w:t>
                  </w:r>
                  <w:r>
                    <w:rPr>
                      <w:rFonts w:ascii="Times New Roman" w:hAnsi="Times New Roman" w:eastAsia="宋体"/>
                      <w:smallCaps w:val="0"/>
                      <w:color w:val="000000" w:themeColor="text1"/>
                      <w:sz w:val="21"/>
                      <w:szCs w:val="21"/>
                      <w14:textFill>
                        <w14:solidFill>
                          <w14:schemeClr w14:val="tx1"/>
                        </w14:solidFill>
                      </w14:textFill>
                    </w:rPr>
                    <w:t>：</w:t>
                  </w:r>
                  <w:r>
                    <w:rPr>
                      <w:rFonts w:hint="eastAsia"/>
                      <w:smallCaps w:val="0"/>
                      <w:color w:val="000000" w:themeColor="text1"/>
                      <w:sz w:val="21"/>
                      <w:szCs w:val="21"/>
                      <w:lang w:val="en-US" w:eastAsia="zh-CN"/>
                      <w14:textFill>
                        <w14:solidFill>
                          <w14:schemeClr w14:val="tx1"/>
                        </w14:solidFill>
                      </w14:textFill>
                    </w:rPr>
                    <w:t>pH值、</w:t>
                  </w:r>
                  <w:r>
                    <w:rPr>
                      <w:rFonts w:ascii="Times New Roman" w:hAnsi="Times New Roman" w:eastAsia="宋体"/>
                      <w:smallCaps w:val="0"/>
                      <w:color w:val="000000" w:themeColor="text1"/>
                      <w:sz w:val="21"/>
                      <w:szCs w:val="21"/>
                      <w14:textFill>
                        <w14:solidFill>
                          <w14:schemeClr w14:val="tx1"/>
                        </w14:solidFill>
                      </w14:textFill>
                    </w:rPr>
                    <w:t>COD、</w:t>
                  </w:r>
                  <w:r>
                    <w:rPr>
                      <w:rFonts w:hint="eastAsia"/>
                      <w:smallCaps w:val="0"/>
                      <w:color w:val="000000" w:themeColor="text1"/>
                      <w:sz w:val="21"/>
                      <w:szCs w:val="21"/>
                      <w:lang w:val="en-US" w:eastAsia="zh-CN"/>
                      <w14:textFill>
                        <w14:solidFill>
                          <w14:schemeClr w14:val="tx1"/>
                        </w14:solidFill>
                      </w14:textFill>
                    </w:rPr>
                    <w:t>BOD</w:t>
                  </w:r>
                  <w:r>
                    <w:rPr>
                      <w:rFonts w:hint="eastAsia"/>
                      <w:smallCaps w:val="0"/>
                      <w:color w:val="000000" w:themeColor="text1"/>
                      <w:sz w:val="21"/>
                      <w:szCs w:val="21"/>
                      <w:vertAlign w:val="subscript"/>
                      <w:lang w:val="en-US" w:eastAsia="zh-CN"/>
                      <w14:textFill>
                        <w14:solidFill>
                          <w14:schemeClr w14:val="tx1"/>
                        </w14:solidFill>
                      </w14:textFill>
                    </w:rPr>
                    <w:t>5</w:t>
                  </w:r>
                  <w:r>
                    <w:rPr>
                      <w:rFonts w:hint="eastAsia"/>
                      <w:smallCaps w:val="0"/>
                      <w:color w:val="000000" w:themeColor="text1"/>
                      <w:sz w:val="21"/>
                      <w:szCs w:val="21"/>
                      <w:lang w:val="en-US" w:eastAsia="zh-CN"/>
                      <w14:textFill>
                        <w14:solidFill>
                          <w14:schemeClr w14:val="tx1"/>
                        </w14:solidFill>
                      </w14:textFill>
                    </w:rPr>
                    <w:t>、</w:t>
                  </w:r>
                  <w:r>
                    <w:rPr>
                      <w:rFonts w:ascii="Times New Roman" w:hAnsi="Times New Roman" w:eastAsia="宋体"/>
                      <w:smallCaps w:val="0"/>
                      <w:color w:val="000000" w:themeColor="text1"/>
                      <w:sz w:val="21"/>
                      <w:szCs w:val="21"/>
                      <w14:textFill>
                        <w14:solidFill>
                          <w14:schemeClr w14:val="tx1"/>
                        </w14:solidFill>
                      </w14:textFill>
                    </w:rPr>
                    <w:t>SS、NH</w:t>
                  </w:r>
                  <w:r>
                    <w:rPr>
                      <w:rFonts w:ascii="Times New Roman" w:hAnsi="Times New Roman" w:eastAsia="宋体"/>
                      <w:smallCaps w:val="0"/>
                      <w:color w:val="000000" w:themeColor="text1"/>
                      <w:sz w:val="21"/>
                      <w:szCs w:val="21"/>
                      <w:vertAlign w:val="subscript"/>
                      <w14:textFill>
                        <w14:solidFill>
                          <w14:schemeClr w14:val="tx1"/>
                        </w14:solidFill>
                      </w14:textFill>
                    </w:rPr>
                    <w:t>3</w:t>
                  </w:r>
                  <w:r>
                    <w:rPr>
                      <w:rFonts w:ascii="Times New Roman" w:hAnsi="Times New Roman" w:eastAsia="宋体"/>
                      <w:smallCaps w:val="0"/>
                      <w:color w:val="000000" w:themeColor="text1"/>
                      <w:sz w:val="21"/>
                      <w:szCs w:val="21"/>
                      <w14:textFill>
                        <w14:solidFill>
                          <w14:schemeClr w14:val="tx1"/>
                        </w14:solidFill>
                      </w14:textFill>
                    </w:rPr>
                    <w:t>-N、</w:t>
                  </w:r>
                  <w:r>
                    <w:rPr>
                      <w:rFonts w:hint="eastAsia"/>
                      <w:smallCaps w:val="0"/>
                      <w:color w:val="000000" w:themeColor="text1"/>
                      <w:sz w:val="21"/>
                      <w:szCs w:val="21"/>
                      <w:lang w:val="en-US" w:eastAsia="zh-CN"/>
                      <w14:textFill>
                        <w14:solidFill>
                          <w14:schemeClr w14:val="tx1"/>
                        </w14:solidFill>
                      </w14:textFill>
                    </w:rPr>
                    <w:t>动植物油、</w:t>
                  </w:r>
                  <w:r>
                    <w:rPr>
                      <w:rFonts w:ascii="Times New Roman" w:hAnsi="Times New Roman" w:eastAsia="宋体"/>
                      <w:smallCaps w:val="0"/>
                      <w:color w:val="000000" w:themeColor="text1"/>
                      <w:sz w:val="21"/>
                      <w:szCs w:val="21"/>
                      <w14:textFill>
                        <w14:solidFill>
                          <w14:schemeClr w14:val="tx1"/>
                        </w14:solidFill>
                      </w14:textFill>
                    </w:rPr>
                    <w:t>TP、TN</w:t>
                  </w:r>
                </w:p>
              </w:tc>
              <w:tc>
                <w:tcPr>
                  <w:tcW w:w="552" w:type="pct"/>
                  <w:vMerge w:val="restart"/>
                  <w:vAlign w:val="center"/>
                </w:tcPr>
                <w:p w14:paraId="5777BAFE">
                  <w:pPr>
                    <w:autoSpaceDE w:val="0"/>
                    <w:autoSpaceDN w:val="0"/>
                    <w:snapToGrid w:val="0"/>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vMerge w:val="restart"/>
                  <w:vAlign w:val="center"/>
                </w:tcPr>
                <w:p w14:paraId="54C4580B">
                  <w:pPr>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生产废水经预处理后与生活污水一并接管至指前污水处理厂</w:t>
                  </w:r>
                </w:p>
              </w:tc>
            </w:tr>
            <w:tr w14:paraId="0ACB12B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50A657C0">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084E4518">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W1-2</w:t>
                  </w:r>
                </w:p>
              </w:tc>
              <w:tc>
                <w:tcPr>
                  <w:tcW w:w="696" w:type="pct"/>
                  <w:vAlign w:val="center"/>
                </w:tcPr>
                <w:p w14:paraId="43206E2D">
                  <w:pPr>
                    <w:snapToGrid w:val="0"/>
                    <w:jc w:val="center"/>
                    <w:rPr>
                      <w:rFonts w:hint="default"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称重、冲淋</w:t>
                  </w:r>
                </w:p>
              </w:tc>
              <w:tc>
                <w:tcPr>
                  <w:tcW w:w="1187" w:type="pct"/>
                  <w:vMerge w:val="continue"/>
                  <w:vAlign w:val="center"/>
                </w:tcPr>
                <w:p w14:paraId="50A51F65">
                  <w:pPr>
                    <w:snapToGrid w:val="0"/>
                    <w:jc w:val="center"/>
                    <w:rPr>
                      <w:rFonts w:hint="eastAsia" w:ascii="Times New Roman" w:hAnsi="Times New Roman" w:eastAsia="宋体"/>
                      <w:smallCaps w:val="0"/>
                      <w:color w:val="000000" w:themeColor="text1"/>
                      <w:sz w:val="21"/>
                      <w:szCs w:val="21"/>
                      <w:lang w:val="en-US" w:eastAsia="zh-CN"/>
                      <w14:textFill>
                        <w14:solidFill>
                          <w14:schemeClr w14:val="tx1"/>
                        </w14:solidFill>
                      </w14:textFill>
                    </w:rPr>
                  </w:pPr>
                </w:p>
              </w:tc>
              <w:tc>
                <w:tcPr>
                  <w:tcW w:w="552" w:type="pct"/>
                  <w:vMerge w:val="continue"/>
                  <w:vAlign w:val="center"/>
                </w:tcPr>
                <w:p w14:paraId="0F162D3A">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512D2E14">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27FA5C61">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6391E245">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52A06C65">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W1-3</w:t>
                  </w:r>
                </w:p>
              </w:tc>
              <w:tc>
                <w:tcPr>
                  <w:tcW w:w="696" w:type="pct"/>
                  <w:vAlign w:val="center"/>
                </w:tcPr>
                <w:p w14:paraId="49327C39">
                  <w:pPr>
                    <w:snapToGrid w:val="0"/>
                    <w:jc w:val="center"/>
                    <w:rPr>
                      <w:rFonts w:hint="default"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修整、冲淋</w:t>
                  </w:r>
                </w:p>
              </w:tc>
              <w:tc>
                <w:tcPr>
                  <w:tcW w:w="1187" w:type="pct"/>
                  <w:vMerge w:val="continue"/>
                  <w:vAlign w:val="center"/>
                </w:tcPr>
                <w:p w14:paraId="1F1B93F7">
                  <w:pPr>
                    <w:snapToGrid w:val="0"/>
                    <w:jc w:val="center"/>
                    <w:rPr>
                      <w:rFonts w:hint="eastAsia" w:ascii="Times New Roman" w:hAnsi="Times New Roman" w:eastAsia="宋体"/>
                      <w:smallCaps w:val="0"/>
                      <w:color w:val="000000" w:themeColor="text1"/>
                      <w:sz w:val="21"/>
                      <w:szCs w:val="21"/>
                      <w:lang w:val="en-US" w:eastAsia="zh-CN"/>
                      <w14:textFill>
                        <w14:solidFill>
                          <w14:schemeClr w14:val="tx1"/>
                        </w14:solidFill>
                      </w14:textFill>
                    </w:rPr>
                  </w:pPr>
                </w:p>
              </w:tc>
              <w:tc>
                <w:tcPr>
                  <w:tcW w:w="552" w:type="pct"/>
                  <w:vMerge w:val="continue"/>
                  <w:vAlign w:val="center"/>
                </w:tcPr>
                <w:p w14:paraId="42E4D117">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0A928AAA">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05A4EFB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6695FD06">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472F7150">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W2-1</w:t>
                  </w:r>
                </w:p>
              </w:tc>
              <w:tc>
                <w:tcPr>
                  <w:tcW w:w="696" w:type="pct"/>
                  <w:vAlign w:val="center"/>
                </w:tcPr>
                <w:p w14:paraId="55F3918C">
                  <w:pPr>
                    <w:snapToGrid w:val="0"/>
                    <w:jc w:val="center"/>
                    <w:rPr>
                      <w:rFonts w:hint="default"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清洗</w:t>
                  </w:r>
                </w:p>
              </w:tc>
              <w:tc>
                <w:tcPr>
                  <w:tcW w:w="1187" w:type="pct"/>
                  <w:vMerge w:val="restart"/>
                  <w:vAlign w:val="center"/>
                </w:tcPr>
                <w:p w14:paraId="052F17DE">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肉类加工废水：pH值、</w:t>
                  </w:r>
                  <w:r>
                    <w:rPr>
                      <w:rFonts w:ascii="Times New Roman" w:hAnsi="Times New Roman" w:eastAsia="宋体"/>
                      <w:smallCaps w:val="0"/>
                      <w:color w:val="000000" w:themeColor="text1"/>
                      <w:sz w:val="21"/>
                      <w:szCs w:val="21"/>
                      <w14:textFill>
                        <w14:solidFill>
                          <w14:schemeClr w14:val="tx1"/>
                        </w14:solidFill>
                      </w14:textFill>
                    </w:rPr>
                    <w:t>COD、</w:t>
                  </w:r>
                  <w:r>
                    <w:rPr>
                      <w:rFonts w:hint="eastAsia"/>
                      <w:smallCaps w:val="0"/>
                      <w:color w:val="000000" w:themeColor="text1"/>
                      <w:sz w:val="21"/>
                      <w:szCs w:val="21"/>
                      <w:lang w:val="en-US" w:eastAsia="zh-CN"/>
                      <w14:textFill>
                        <w14:solidFill>
                          <w14:schemeClr w14:val="tx1"/>
                        </w14:solidFill>
                      </w14:textFill>
                    </w:rPr>
                    <w:t>BOD</w:t>
                  </w:r>
                  <w:r>
                    <w:rPr>
                      <w:rFonts w:hint="eastAsia"/>
                      <w:smallCaps w:val="0"/>
                      <w:color w:val="000000" w:themeColor="text1"/>
                      <w:sz w:val="21"/>
                      <w:szCs w:val="21"/>
                      <w:vertAlign w:val="subscript"/>
                      <w:lang w:val="en-US" w:eastAsia="zh-CN"/>
                      <w14:textFill>
                        <w14:solidFill>
                          <w14:schemeClr w14:val="tx1"/>
                        </w14:solidFill>
                      </w14:textFill>
                    </w:rPr>
                    <w:t>5</w:t>
                  </w:r>
                  <w:r>
                    <w:rPr>
                      <w:rFonts w:hint="eastAsia"/>
                      <w:smallCaps w:val="0"/>
                      <w:color w:val="000000" w:themeColor="text1"/>
                      <w:sz w:val="21"/>
                      <w:szCs w:val="21"/>
                      <w:lang w:val="en-US" w:eastAsia="zh-CN"/>
                      <w14:textFill>
                        <w14:solidFill>
                          <w14:schemeClr w14:val="tx1"/>
                        </w14:solidFill>
                      </w14:textFill>
                    </w:rPr>
                    <w:t>、</w:t>
                  </w:r>
                  <w:r>
                    <w:rPr>
                      <w:rFonts w:ascii="Times New Roman" w:hAnsi="Times New Roman" w:eastAsia="宋体"/>
                      <w:smallCaps w:val="0"/>
                      <w:color w:val="000000" w:themeColor="text1"/>
                      <w:sz w:val="21"/>
                      <w:szCs w:val="21"/>
                      <w14:textFill>
                        <w14:solidFill>
                          <w14:schemeClr w14:val="tx1"/>
                        </w14:solidFill>
                      </w14:textFill>
                    </w:rPr>
                    <w:t>SS、NH</w:t>
                  </w:r>
                  <w:r>
                    <w:rPr>
                      <w:rFonts w:ascii="Times New Roman" w:hAnsi="Times New Roman" w:eastAsia="宋体"/>
                      <w:smallCaps w:val="0"/>
                      <w:color w:val="000000" w:themeColor="text1"/>
                      <w:sz w:val="21"/>
                      <w:szCs w:val="21"/>
                      <w:vertAlign w:val="subscript"/>
                      <w14:textFill>
                        <w14:solidFill>
                          <w14:schemeClr w14:val="tx1"/>
                        </w14:solidFill>
                      </w14:textFill>
                    </w:rPr>
                    <w:t>3</w:t>
                  </w:r>
                  <w:r>
                    <w:rPr>
                      <w:rFonts w:ascii="Times New Roman" w:hAnsi="Times New Roman" w:eastAsia="宋体"/>
                      <w:smallCaps w:val="0"/>
                      <w:color w:val="000000" w:themeColor="text1"/>
                      <w:sz w:val="21"/>
                      <w:szCs w:val="21"/>
                      <w14:textFill>
                        <w14:solidFill>
                          <w14:schemeClr w14:val="tx1"/>
                        </w14:solidFill>
                      </w14:textFill>
                    </w:rPr>
                    <w:t>-N、</w:t>
                  </w:r>
                  <w:r>
                    <w:rPr>
                      <w:rFonts w:hint="eastAsia"/>
                      <w:smallCaps w:val="0"/>
                      <w:color w:val="000000" w:themeColor="text1"/>
                      <w:sz w:val="21"/>
                      <w:szCs w:val="21"/>
                      <w:lang w:val="en-US" w:eastAsia="zh-CN"/>
                      <w14:textFill>
                        <w14:solidFill>
                          <w14:schemeClr w14:val="tx1"/>
                        </w14:solidFill>
                      </w14:textFill>
                    </w:rPr>
                    <w:t>动植物油、</w:t>
                  </w:r>
                  <w:r>
                    <w:rPr>
                      <w:rFonts w:ascii="Times New Roman" w:hAnsi="Times New Roman" w:eastAsia="宋体"/>
                      <w:smallCaps w:val="0"/>
                      <w:color w:val="000000" w:themeColor="text1"/>
                      <w:sz w:val="21"/>
                      <w:szCs w:val="21"/>
                      <w14:textFill>
                        <w14:solidFill>
                          <w14:schemeClr w14:val="tx1"/>
                        </w14:solidFill>
                      </w14:textFill>
                    </w:rPr>
                    <w:t>TP、TN</w:t>
                  </w:r>
                </w:p>
              </w:tc>
              <w:tc>
                <w:tcPr>
                  <w:tcW w:w="552" w:type="pct"/>
                  <w:vMerge w:val="continue"/>
                  <w:vAlign w:val="center"/>
                </w:tcPr>
                <w:p w14:paraId="36C39947">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50191A71">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4AA0D28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5BF019F5">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357EAE5A">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W2-2</w:t>
                  </w:r>
                </w:p>
              </w:tc>
              <w:tc>
                <w:tcPr>
                  <w:tcW w:w="696" w:type="pct"/>
                  <w:shd w:val="clear" w:color="auto" w:fill="auto"/>
                  <w:vAlign w:val="center"/>
                </w:tcPr>
                <w:p w14:paraId="0E97ACD8">
                  <w:pPr>
                    <w:snapToGrid w:val="0"/>
                    <w:jc w:val="center"/>
                    <w:rPr>
                      <w:rFonts w:hint="eastAsia"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蒸煮</w:t>
                  </w:r>
                </w:p>
              </w:tc>
              <w:tc>
                <w:tcPr>
                  <w:tcW w:w="1187" w:type="pct"/>
                  <w:vMerge w:val="continue"/>
                  <w:shd w:val="clear" w:color="auto" w:fill="auto"/>
                  <w:vAlign w:val="center"/>
                </w:tcPr>
                <w:p w14:paraId="4AB81818">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p>
              </w:tc>
              <w:tc>
                <w:tcPr>
                  <w:tcW w:w="552" w:type="pct"/>
                  <w:vMerge w:val="continue"/>
                  <w:vAlign w:val="center"/>
                </w:tcPr>
                <w:p w14:paraId="12981F01">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58CAA1F8">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36C07258">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0A25E239">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1079DD3F">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t>
                  </w:r>
                </w:p>
              </w:tc>
              <w:tc>
                <w:tcPr>
                  <w:tcW w:w="696" w:type="pct"/>
                  <w:vAlign w:val="center"/>
                </w:tcPr>
                <w:p w14:paraId="4460E00D">
                  <w:pPr>
                    <w:snapToGrid w:val="0"/>
                    <w:jc w:val="center"/>
                    <w:rPr>
                      <w:rFonts w:hint="default"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检疫</w:t>
                  </w:r>
                </w:p>
              </w:tc>
              <w:tc>
                <w:tcPr>
                  <w:tcW w:w="1187" w:type="pct"/>
                  <w:vAlign w:val="center"/>
                </w:tcPr>
                <w:p w14:paraId="19B8E5E7">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检疫废水：pH值、</w:t>
                  </w:r>
                  <w:r>
                    <w:rPr>
                      <w:rFonts w:ascii="Times New Roman" w:hAnsi="Times New Roman" w:eastAsia="宋体"/>
                      <w:smallCaps w:val="0"/>
                      <w:color w:val="000000" w:themeColor="text1"/>
                      <w:sz w:val="21"/>
                      <w:szCs w:val="21"/>
                      <w14:textFill>
                        <w14:solidFill>
                          <w14:schemeClr w14:val="tx1"/>
                        </w14:solidFill>
                      </w14:textFill>
                    </w:rPr>
                    <w:t>COD、</w:t>
                  </w:r>
                  <w:r>
                    <w:rPr>
                      <w:rFonts w:hint="eastAsia"/>
                      <w:smallCaps w:val="0"/>
                      <w:color w:val="000000" w:themeColor="text1"/>
                      <w:sz w:val="21"/>
                      <w:szCs w:val="21"/>
                      <w:lang w:val="en-US" w:eastAsia="zh-CN"/>
                      <w14:textFill>
                        <w14:solidFill>
                          <w14:schemeClr w14:val="tx1"/>
                        </w14:solidFill>
                      </w14:textFill>
                    </w:rPr>
                    <w:t>BOD</w:t>
                  </w:r>
                  <w:r>
                    <w:rPr>
                      <w:rFonts w:hint="eastAsia"/>
                      <w:smallCaps w:val="0"/>
                      <w:color w:val="000000" w:themeColor="text1"/>
                      <w:sz w:val="21"/>
                      <w:szCs w:val="21"/>
                      <w:vertAlign w:val="subscript"/>
                      <w:lang w:val="en-US" w:eastAsia="zh-CN"/>
                      <w14:textFill>
                        <w14:solidFill>
                          <w14:schemeClr w14:val="tx1"/>
                        </w14:solidFill>
                      </w14:textFill>
                    </w:rPr>
                    <w:t>5</w:t>
                  </w:r>
                  <w:r>
                    <w:rPr>
                      <w:rFonts w:hint="eastAsia"/>
                      <w:smallCaps w:val="0"/>
                      <w:color w:val="000000" w:themeColor="text1"/>
                      <w:sz w:val="21"/>
                      <w:szCs w:val="21"/>
                      <w:lang w:val="en-US" w:eastAsia="zh-CN"/>
                      <w14:textFill>
                        <w14:solidFill>
                          <w14:schemeClr w14:val="tx1"/>
                        </w14:solidFill>
                      </w14:textFill>
                    </w:rPr>
                    <w:t>、</w:t>
                  </w:r>
                  <w:r>
                    <w:rPr>
                      <w:rFonts w:ascii="Times New Roman" w:hAnsi="Times New Roman" w:eastAsia="宋体"/>
                      <w:smallCaps w:val="0"/>
                      <w:color w:val="000000" w:themeColor="text1"/>
                      <w:sz w:val="21"/>
                      <w:szCs w:val="21"/>
                      <w14:textFill>
                        <w14:solidFill>
                          <w14:schemeClr w14:val="tx1"/>
                        </w14:solidFill>
                      </w14:textFill>
                    </w:rPr>
                    <w:t>SS、NH</w:t>
                  </w:r>
                  <w:r>
                    <w:rPr>
                      <w:rFonts w:ascii="Times New Roman" w:hAnsi="Times New Roman" w:eastAsia="宋体"/>
                      <w:smallCaps w:val="0"/>
                      <w:color w:val="000000" w:themeColor="text1"/>
                      <w:sz w:val="21"/>
                      <w:szCs w:val="21"/>
                      <w:vertAlign w:val="subscript"/>
                      <w14:textFill>
                        <w14:solidFill>
                          <w14:schemeClr w14:val="tx1"/>
                        </w14:solidFill>
                      </w14:textFill>
                    </w:rPr>
                    <w:t>3</w:t>
                  </w:r>
                  <w:r>
                    <w:rPr>
                      <w:rFonts w:ascii="Times New Roman" w:hAnsi="Times New Roman" w:eastAsia="宋体"/>
                      <w:smallCaps w:val="0"/>
                      <w:color w:val="000000" w:themeColor="text1"/>
                      <w:sz w:val="21"/>
                      <w:szCs w:val="21"/>
                      <w14:textFill>
                        <w14:solidFill>
                          <w14:schemeClr w14:val="tx1"/>
                        </w14:solidFill>
                      </w14:textFill>
                    </w:rPr>
                    <w:t>-N、</w:t>
                  </w:r>
                  <w:r>
                    <w:rPr>
                      <w:rFonts w:hint="eastAsia"/>
                      <w:smallCaps w:val="0"/>
                      <w:color w:val="000000" w:themeColor="text1"/>
                      <w:sz w:val="21"/>
                      <w:szCs w:val="21"/>
                      <w:lang w:val="en-US" w:eastAsia="zh-CN"/>
                      <w14:textFill>
                        <w14:solidFill>
                          <w14:schemeClr w14:val="tx1"/>
                        </w14:solidFill>
                      </w14:textFill>
                    </w:rPr>
                    <w:t>动植物油、</w:t>
                  </w:r>
                  <w:r>
                    <w:rPr>
                      <w:rFonts w:ascii="Times New Roman" w:hAnsi="Times New Roman" w:eastAsia="宋体"/>
                      <w:smallCaps w:val="0"/>
                      <w:color w:val="000000" w:themeColor="text1"/>
                      <w:sz w:val="21"/>
                      <w:szCs w:val="21"/>
                      <w14:textFill>
                        <w14:solidFill>
                          <w14:schemeClr w14:val="tx1"/>
                        </w14:solidFill>
                      </w14:textFill>
                    </w:rPr>
                    <w:t>TP、TN</w:t>
                  </w:r>
                </w:p>
              </w:tc>
              <w:tc>
                <w:tcPr>
                  <w:tcW w:w="552" w:type="pct"/>
                  <w:vMerge w:val="continue"/>
                  <w:vAlign w:val="center"/>
                </w:tcPr>
                <w:p w14:paraId="6C926531">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24A18CE4">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081387BD">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49E542AD">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52032976">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t>
                  </w:r>
                </w:p>
              </w:tc>
              <w:tc>
                <w:tcPr>
                  <w:tcW w:w="696" w:type="pct"/>
                  <w:vAlign w:val="center"/>
                </w:tcPr>
                <w:p w14:paraId="333BD26D">
                  <w:pPr>
                    <w:snapToGrid w:val="0"/>
                    <w:jc w:val="center"/>
                    <w:rPr>
                      <w:rFonts w:hint="eastAsia"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车辆冲洗</w:t>
                  </w:r>
                </w:p>
              </w:tc>
              <w:tc>
                <w:tcPr>
                  <w:tcW w:w="1187" w:type="pct"/>
                  <w:vAlign w:val="center"/>
                </w:tcPr>
                <w:p w14:paraId="61354CFA">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车辆冲洗废水：pH值、</w:t>
                  </w:r>
                  <w:r>
                    <w:rPr>
                      <w:rFonts w:ascii="Times New Roman" w:hAnsi="Times New Roman" w:eastAsia="宋体"/>
                      <w:smallCaps w:val="0"/>
                      <w:color w:val="000000" w:themeColor="text1"/>
                      <w:sz w:val="21"/>
                      <w:szCs w:val="21"/>
                      <w14:textFill>
                        <w14:solidFill>
                          <w14:schemeClr w14:val="tx1"/>
                        </w14:solidFill>
                      </w14:textFill>
                    </w:rPr>
                    <w:t>COD、</w:t>
                  </w:r>
                  <w:r>
                    <w:rPr>
                      <w:rFonts w:hint="eastAsia"/>
                      <w:smallCaps w:val="0"/>
                      <w:color w:val="000000" w:themeColor="text1"/>
                      <w:sz w:val="21"/>
                      <w:szCs w:val="21"/>
                      <w:lang w:val="en-US" w:eastAsia="zh-CN"/>
                      <w14:textFill>
                        <w14:solidFill>
                          <w14:schemeClr w14:val="tx1"/>
                        </w14:solidFill>
                      </w14:textFill>
                    </w:rPr>
                    <w:t>BOD</w:t>
                  </w:r>
                  <w:r>
                    <w:rPr>
                      <w:rFonts w:hint="eastAsia"/>
                      <w:smallCaps w:val="0"/>
                      <w:color w:val="000000" w:themeColor="text1"/>
                      <w:sz w:val="21"/>
                      <w:szCs w:val="21"/>
                      <w:vertAlign w:val="subscript"/>
                      <w:lang w:val="en-US" w:eastAsia="zh-CN"/>
                      <w14:textFill>
                        <w14:solidFill>
                          <w14:schemeClr w14:val="tx1"/>
                        </w14:solidFill>
                      </w14:textFill>
                    </w:rPr>
                    <w:t>5</w:t>
                  </w:r>
                  <w:r>
                    <w:rPr>
                      <w:rFonts w:hint="eastAsia"/>
                      <w:smallCaps w:val="0"/>
                      <w:color w:val="000000" w:themeColor="text1"/>
                      <w:sz w:val="21"/>
                      <w:szCs w:val="21"/>
                      <w:lang w:val="en-US" w:eastAsia="zh-CN"/>
                      <w14:textFill>
                        <w14:solidFill>
                          <w14:schemeClr w14:val="tx1"/>
                        </w14:solidFill>
                      </w14:textFill>
                    </w:rPr>
                    <w:t>、</w:t>
                  </w:r>
                  <w:r>
                    <w:rPr>
                      <w:rFonts w:ascii="Times New Roman" w:hAnsi="Times New Roman" w:eastAsia="宋体"/>
                      <w:smallCaps w:val="0"/>
                      <w:color w:val="000000" w:themeColor="text1"/>
                      <w:sz w:val="21"/>
                      <w:szCs w:val="21"/>
                      <w14:textFill>
                        <w14:solidFill>
                          <w14:schemeClr w14:val="tx1"/>
                        </w14:solidFill>
                      </w14:textFill>
                    </w:rPr>
                    <w:t>SS、NH</w:t>
                  </w:r>
                  <w:r>
                    <w:rPr>
                      <w:rFonts w:ascii="Times New Roman" w:hAnsi="Times New Roman" w:eastAsia="宋体"/>
                      <w:smallCaps w:val="0"/>
                      <w:color w:val="000000" w:themeColor="text1"/>
                      <w:sz w:val="21"/>
                      <w:szCs w:val="21"/>
                      <w:vertAlign w:val="subscript"/>
                      <w14:textFill>
                        <w14:solidFill>
                          <w14:schemeClr w14:val="tx1"/>
                        </w14:solidFill>
                      </w14:textFill>
                    </w:rPr>
                    <w:t>3</w:t>
                  </w:r>
                  <w:r>
                    <w:rPr>
                      <w:rFonts w:ascii="Times New Roman" w:hAnsi="Times New Roman" w:eastAsia="宋体"/>
                      <w:smallCaps w:val="0"/>
                      <w:color w:val="000000" w:themeColor="text1"/>
                      <w:sz w:val="21"/>
                      <w:szCs w:val="21"/>
                      <w14:textFill>
                        <w14:solidFill>
                          <w14:schemeClr w14:val="tx1"/>
                        </w14:solidFill>
                      </w14:textFill>
                    </w:rPr>
                    <w:t>-N、</w:t>
                  </w:r>
                  <w:r>
                    <w:rPr>
                      <w:rFonts w:hint="eastAsia"/>
                      <w:smallCaps w:val="0"/>
                      <w:color w:val="000000" w:themeColor="text1"/>
                      <w:sz w:val="21"/>
                      <w:szCs w:val="21"/>
                      <w:lang w:val="en-US" w:eastAsia="zh-CN"/>
                      <w14:textFill>
                        <w14:solidFill>
                          <w14:schemeClr w14:val="tx1"/>
                        </w14:solidFill>
                      </w14:textFill>
                    </w:rPr>
                    <w:t>动植物油、</w:t>
                  </w:r>
                  <w:r>
                    <w:rPr>
                      <w:rFonts w:ascii="Times New Roman" w:hAnsi="Times New Roman" w:eastAsia="宋体"/>
                      <w:smallCaps w:val="0"/>
                      <w:color w:val="000000" w:themeColor="text1"/>
                      <w:sz w:val="21"/>
                      <w:szCs w:val="21"/>
                      <w14:textFill>
                        <w14:solidFill>
                          <w14:schemeClr w14:val="tx1"/>
                        </w14:solidFill>
                      </w14:textFill>
                    </w:rPr>
                    <w:t>TP、TN</w:t>
                  </w:r>
                </w:p>
              </w:tc>
              <w:tc>
                <w:tcPr>
                  <w:tcW w:w="552" w:type="pct"/>
                  <w:vMerge w:val="continue"/>
                  <w:vAlign w:val="center"/>
                </w:tcPr>
                <w:p w14:paraId="43A09052">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2CC2A002">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507C632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2ACC4485">
                  <w:pPr>
                    <w:autoSpaceDE w:val="0"/>
                    <w:autoSpaceDN w:val="0"/>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24" w:type="pct"/>
                  <w:vAlign w:val="center"/>
                </w:tcPr>
                <w:p w14:paraId="237A4C30">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t>
                  </w:r>
                </w:p>
              </w:tc>
              <w:tc>
                <w:tcPr>
                  <w:tcW w:w="696" w:type="pct"/>
                  <w:vAlign w:val="center"/>
                </w:tcPr>
                <w:p w14:paraId="65B72FAA">
                  <w:pPr>
                    <w:snapToGrid w:val="0"/>
                    <w:jc w:val="center"/>
                    <w:rPr>
                      <w:rFonts w:hint="default" w:ascii="Times New Roman" w:hAnsi="Times New Roman" w:eastAsia="宋体"/>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生物除臭喷淋</w:t>
                  </w:r>
                </w:p>
              </w:tc>
              <w:tc>
                <w:tcPr>
                  <w:tcW w:w="1187" w:type="pct"/>
                  <w:vAlign w:val="center"/>
                </w:tcPr>
                <w:p w14:paraId="7D518340">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生物除臭喷淋废水：pH值、</w:t>
                  </w:r>
                  <w:r>
                    <w:rPr>
                      <w:rFonts w:ascii="Times New Roman" w:hAnsi="Times New Roman" w:eastAsia="宋体"/>
                      <w:smallCaps w:val="0"/>
                      <w:color w:val="000000" w:themeColor="text1"/>
                      <w:sz w:val="21"/>
                      <w:szCs w:val="21"/>
                      <w14:textFill>
                        <w14:solidFill>
                          <w14:schemeClr w14:val="tx1"/>
                        </w14:solidFill>
                      </w14:textFill>
                    </w:rPr>
                    <w:t>COD、</w:t>
                  </w:r>
                  <w:r>
                    <w:rPr>
                      <w:rFonts w:hint="eastAsia"/>
                      <w:smallCaps w:val="0"/>
                      <w:color w:val="000000" w:themeColor="text1"/>
                      <w:sz w:val="21"/>
                      <w:szCs w:val="21"/>
                      <w:lang w:val="en-US" w:eastAsia="zh-CN"/>
                      <w14:textFill>
                        <w14:solidFill>
                          <w14:schemeClr w14:val="tx1"/>
                        </w14:solidFill>
                      </w14:textFill>
                    </w:rPr>
                    <w:t>BOD</w:t>
                  </w:r>
                  <w:r>
                    <w:rPr>
                      <w:rFonts w:hint="eastAsia"/>
                      <w:smallCaps w:val="0"/>
                      <w:color w:val="000000" w:themeColor="text1"/>
                      <w:sz w:val="21"/>
                      <w:szCs w:val="21"/>
                      <w:vertAlign w:val="subscript"/>
                      <w:lang w:val="en-US" w:eastAsia="zh-CN"/>
                      <w14:textFill>
                        <w14:solidFill>
                          <w14:schemeClr w14:val="tx1"/>
                        </w14:solidFill>
                      </w14:textFill>
                    </w:rPr>
                    <w:t>5</w:t>
                  </w:r>
                  <w:r>
                    <w:rPr>
                      <w:rFonts w:hint="eastAsia"/>
                      <w:smallCaps w:val="0"/>
                      <w:color w:val="000000" w:themeColor="text1"/>
                      <w:sz w:val="21"/>
                      <w:szCs w:val="21"/>
                      <w:lang w:val="en-US" w:eastAsia="zh-CN"/>
                      <w14:textFill>
                        <w14:solidFill>
                          <w14:schemeClr w14:val="tx1"/>
                        </w14:solidFill>
                      </w14:textFill>
                    </w:rPr>
                    <w:t>、</w:t>
                  </w:r>
                  <w:r>
                    <w:rPr>
                      <w:rFonts w:ascii="Times New Roman" w:hAnsi="Times New Roman" w:eastAsia="宋体"/>
                      <w:smallCaps w:val="0"/>
                      <w:color w:val="000000" w:themeColor="text1"/>
                      <w:sz w:val="21"/>
                      <w:szCs w:val="21"/>
                      <w14:textFill>
                        <w14:solidFill>
                          <w14:schemeClr w14:val="tx1"/>
                        </w14:solidFill>
                      </w14:textFill>
                    </w:rPr>
                    <w:t>SS、NH</w:t>
                  </w:r>
                  <w:r>
                    <w:rPr>
                      <w:rFonts w:ascii="Times New Roman" w:hAnsi="Times New Roman" w:eastAsia="宋体"/>
                      <w:smallCaps w:val="0"/>
                      <w:color w:val="000000" w:themeColor="text1"/>
                      <w:sz w:val="21"/>
                      <w:szCs w:val="21"/>
                      <w:vertAlign w:val="subscript"/>
                      <w14:textFill>
                        <w14:solidFill>
                          <w14:schemeClr w14:val="tx1"/>
                        </w14:solidFill>
                      </w14:textFill>
                    </w:rPr>
                    <w:t>3</w:t>
                  </w:r>
                  <w:r>
                    <w:rPr>
                      <w:rFonts w:ascii="Times New Roman" w:hAnsi="Times New Roman" w:eastAsia="宋体"/>
                      <w:smallCaps w:val="0"/>
                      <w:color w:val="000000" w:themeColor="text1"/>
                      <w:sz w:val="21"/>
                      <w:szCs w:val="21"/>
                      <w14:textFill>
                        <w14:solidFill>
                          <w14:schemeClr w14:val="tx1"/>
                        </w14:solidFill>
                      </w14:textFill>
                    </w:rPr>
                    <w:t>-N、</w:t>
                  </w:r>
                  <w:r>
                    <w:rPr>
                      <w:rFonts w:hint="eastAsia"/>
                      <w:smallCaps w:val="0"/>
                      <w:color w:val="000000" w:themeColor="text1"/>
                      <w:sz w:val="21"/>
                      <w:szCs w:val="21"/>
                      <w:lang w:val="en-US" w:eastAsia="zh-CN"/>
                      <w14:textFill>
                        <w14:solidFill>
                          <w14:schemeClr w14:val="tx1"/>
                        </w14:solidFill>
                      </w14:textFill>
                    </w:rPr>
                    <w:t>动植物油、</w:t>
                  </w:r>
                  <w:r>
                    <w:rPr>
                      <w:rFonts w:ascii="Times New Roman" w:hAnsi="Times New Roman" w:eastAsia="宋体"/>
                      <w:smallCaps w:val="0"/>
                      <w:color w:val="000000" w:themeColor="text1"/>
                      <w:sz w:val="21"/>
                      <w:szCs w:val="21"/>
                      <w14:textFill>
                        <w14:solidFill>
                          <w14:schemeClr w14:val="tx1"/>
                        </w14:solidFill>
                      </w14:textFill>
                    </w:rPr>
                    <w:t>TP、TN</w:t>
                  </w:r>
                </w:p>
              </w:tc>
              <w:tc>
                <w:tcPr>
                  <w:tcW w:w="552" w:type="pct"/>
                  <w:vMerge w:val="continue"/>
                  <w:vAlign w:val="center"/>
                </w:tcPr>
                <w:p w14:paraId="79476AC7">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vMerge w:val="continue"/>
                  <w:vAlign w:val="center"/>
                </w:tcPr>
                <w:p w14:paraId="651FE890">
                  <w:pPr>
                    <w:snapToGrid w:val="0"/>
                    <w:jc w:val="center"/>
                    <w:rPr>
                      <w:rFonts w:ascii="Times New Roman" w:hAnsi="Times New Roman" w:eastAsia="宋体"/>
                      <w:smallCaps w:val="0"/>
                      <w:color w:val="000000" w:themeColor="text1"/>
                      <w:sz w:val="21"/>
                      <w:szCs w:val="21"/>
                      <w14:textFill>
                        <w14:solidFill>
                          <w14:schemeClr w14:val="tx1"/>
                        </w14:solidFill>
                      </w14:textFill>
                    </w:rPr>
                  </w:pPr>
                </w:p>
              </w:tc>
            </w:tr>
            <w:tr w14:paraId="42DE8F6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Align w:val="center"/>
                </w:tcPr>
                <w:p w14:paraId="5575344E">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噪声</w:t>
                  </w:r>
                </w:p>
              </w:tc>
              <w:tc>
                <w:tcPr>
                  <w:tcW w:w="524" w:type="pct"/>
                  <w:vAlign w:val="center"/>
                </w:tcPr>
                <w:p w14:paraId="25CEB62A">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w:t>
                  </w:r>
                </w:p>
              </w:tc>
              <w:tc>
                <w:tcPr>
                  <w:tcW w:w="696" w:type="pct"/>
                  <w:vAlign w:val="center"/>
                </w:tcPr>
                <w:p w14:paraId="703AE9F4">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机械设备</w:t>
                  </w:r>
                </w:p>
              </w:tc>
              <w:tc>
                <w:tcPr>
                  <w:tcW w:w="1187" w:type="pct"/>
                  <w:vAlign w:val="center"/>
                </w:tcPr>
                <w:p w14:paraId="7027E9C6">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设备运转噪声</w:t>
                  </w:r>
                </w:p>
              </w:tc>
              <w:tc>
                <w:tcPr>
                  <w:tcW w:w="552" w:type="pct"/>
                  <w:vAlign w:val="center"/>
                </w:tcPr>
                <w:p w14:paraId="1BBFB6B4">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vAlign w:val="center"/>
                </w:tcPr>
                <w:p w14:paraId="369FDE6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厂房隔声、基础减震等</w:t>
                  </w:r>
                </w:p>
              </w:tc>
            </w:tr>
            <w:tr w14:paraId="568341F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restart"/>
                  <w:vAlign w:val="center"/>
                </w:tcPr>
                <w:p w14:paraId="5140C678">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固废</w:t>
                  </w:r>
                </w:p>
              </w:tc>
              <w:tc>
                <w:tcPr>
                  <w:tcW w:w="524" w:type="pct"/>
                  <w:shd w:val="clear" w:color="auto" w:fill="auto"/>
                  <w:vAlign w:val="center"/>
                </w:tcPr>
                <w:p w14:paraId="21FEF864">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w:t>
                  </w:r>
                </w:p>
              </w:tc>
              <w:tc>
                <w:tcPr>
                  <w:tcW w:w="696" w:type="pct"/>
                  <w:shd w:val="clear" w:color="auto" w:fill="auto"/>
                  <w:vAlign w:val="center"/>
                </w:tcPr>
                <w:p w14:paraId="510675D5">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宰前检验、处理</w:t>
                  </w:r>
                </w:p>
              </w:tc>
              <w:tc>
                <w:tcPr>
                  <w:tcW w:w="1187" w:type="pct"/>
                  <w:shd w:val="clear" w:color="auto" w:fill="auto"/>
                  <w:vAlign w:val="center"/>
                </w:tcPr>
                <w:p w14:paraId="744CA6F6">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病死牛</w:t>
                  </w:r>
                </w:p>
              </w:tc>
              <w:tc>
                <w:tcPr>
                  <w:tcW w:w="552" w:type="pct"/>
                  <w:shd w:val="clear" w:color="auto" w:fill="auto"/>
                  <w:vAlign w:val="center"/>
                </w:tcPr>
                <w:p w14:paraId="7C951CE0">
                  <w:pPr>
                    <w:autoSpaceDE w:val="0"/>
                    <w:autoSpaceDN w:val="0"/>
                    <w:snapToGrid w:val="0"/>
                    <w:jc w:val="center"/>
                    <w:rPr>
                      <w:rFonts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ascii="Times New Roman" w:hAnsi="Times New Roman" w:eastAsia="宋体"/>
                      <w:smallCaps w:val="0"/>
                      <w:color w:val="000000" w:themeColor="text1"/>
                      <w:sz w:val="21"/>
                      <w:szCs w:val="21"/>
                      <w14:textFill>
                        <w14:solidFill>
                          <w14:schemeClr w14:val="tx1"/>
                        </w14:solidFill>
                      </w14:textFill>
                    </w:rPr>
                    <w:t>间歇</w:t>
                  </w:r>
                </w:p>
              </w:tc>
              <w:tc>
                <w:tcPr>
                  <w:tcW w:w="1728" w:type="pct"/>
                  <w:shd w:val="clear" w:color="auto" w:fill="auto"/>
                  <w:vAlign w:val="center"/>
                </w:tcPr>
                <w:p w14:paraId="46902752">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t>委托专业机构无害化处置</w:t>
                  </w:r>
                </w:p>
              </w:tc>
            </w:tr>
            <w:tr w14:paraId="758872A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322676B5">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6FC0FA0C">
                  <w:pPr>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S1-1</w:t>
                  </w:r>
                </w:p>
              </w:tc>
              <w:tc>
                <w:tcPr>
                  <w:tcW w:w="696" w:type="pct"/>
                  <w:shd w:val="clear" w:color="auto" w:fill="auto"/>
                  <w:vAlign w:val="center"/>
                </w:tcPr>
                <w:p w14:paraId="21DDE281">
                  <w:pPr>
                    <w:snapToGrid w:val="0"/>
                    <w:jc w:val="center"/>
                    <w:rPr>
                      <w:rFonts w:hint="eastAsia"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宰前检验、处理</w:t>
                  </w:r>
                </w:p>
              </w:tc>
              <w:tc>
                <w:tcPr>
                  <w:tcW w:w="1187" w:type="pct"/>
                  <w:shd w:val="clear" w:color="auto" w:fill="auto"/>
                  <w:vAlign w:val="center"/>
                </w:tcPr>
                <w:p w14:paraId="71FB6FE6">
                  <w:pPr>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待宰圈牛粪便</w:t>
                  </w:r>
                </w:p>
              </w:tc>
              <w:tc>
                <w:tcPr>
                  <w:tcW w:w="552" w:type="pct"/>
                  <w:shd w:val="clear" w:color="auto" w:fill="auto"/>
                  <w:vAlign w:val="center"/>
                </w:tcPr>
                <w:p w14:paraId="7236AC05">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shd w:val="clear" w:color="auto" w:fill="auto"/>
                  <w:vAlign w:val="center"/>
                </w:tcPr>
                <w:p w14:paraId="4205D1D0">
                  <w:pPr>
                    <w:autoSpaceDE w:val="0"/>
                    <w:autoSpaceDN w:val="0"/>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46FCD96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311" w:type="pct"/>
                  <w:vMerge w:val="continue"/>
                  <w:vAlign w:val="center"/>
                </w:tcPr>
                <w:p w14:paraId="7DE7A2AE">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vMerge w:val="restart"/>
                  <w:shd w:val="clear" w:color="auto" w:fill="auto"/>
                  <w:vAlign w:val="center"/>
                </w:tcPr>
                <w:p w14:paraId="49842144">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S1-2</w:t>
                  </w:r>
                </w:p>
              </w:tc>
              <w:tc>
                <w:tcPr>
                  <w:tcW w:w="696" w:type="pct"/>
                  <w:vMerge w:val="restart"/>
                  <w:shd w:val="clear" w:color="auto" w:fill="auto"/>
                  <w:vAlign w:val="center"/>
                </w:tcPr>
                <w:p w14:paraId="234B19CD">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锯胸骨、剖腹</w:t>
                  </w:r>
                </w:p>
              </w:tc>
              <w:tc>
                <w:tcPr>
                  <w:tcW w:w="1187" w:type="pct"/>
                  <w:shd w:val="clear" w:color="auto" w:fill="auto"/>
                  <w:vAlign w:val="center"/>
                </w:tcPr>
                <w:p w14:paraId="2E263D51">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胃容物</w:t>
                  </w:r>
                </w:p>
              </w:tc>
              <w:tc>
                <w:tcPr>
                  <w:tcW w:w="552" w:type="pct"/>
                  <w:vMerge w:val="restart"/>
                  <w:shd w:val="clear" w:color="auto" w:fill="auto"/>
                  <w:vAlign w:val="center"/>
                </w:tcPr>
                <w:p w14:paraId="5E4D52AA">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shd w:val="clear" w:color="auto" w:fill="auto"/>
                  <w:vAlign w:val="center"/>
                </w:tcPr>
                <w:p w14:paraId="3C4244F8">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5D73832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711A960F">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vMerge w:val="continue"/>
                  <w:shd w:val="clear" w:color="auto" w:fill="auto"/>
                  <w:vAlign w:val="center"/>
                </w:tcPr>
                <w:p w14:paraId="2A8532B6">
                  <w:pPr>
                    <w:snapToGrid w:val="0"/>
                    <w:jc w:val="center"/>
                    <w:rPr>
                      <w:rFonts w:hint="eastAsia" w:cs="Times New Roman"/>
                      <w:smallCaps w:val="0"/>
                      <w:color w:val="000000" w:themeColor="text1"/>
                      <w:kern w:val="2"/>
                      <w:sz w:val="21"/>
                      <w:szCs w:val="21"/>
                      <w:lang w:val="en-US" w:eastAsia="zh-CN" w:bidi="ar-SA"/>
                      <w14:textFill>
                        <w14:solidFill>
                          <w14:schemeClr w14:val="tx1"/>
                        </w14:solidFill>
                      </w14:textFill>
                    </w:rPr>
                  </w:pPr>
                </w:p>
              </w:tc>
              <w:tc>
                <w:tcPr>
                  <w:tcW w:w="696" w:type="pct"/>
                  <w:vMerge w:val="continue"/>
                  <w:shd w:val="clear" w:color="auto" w:fill="auto"/>
                  <w:vAlign w:val="center"/>
                </w:tcPr>
                <w:p w14:paraId="5F542A6A">
                  <w:pPr>
                    <w:snapToGrid w:val="0"/>
                    <w:jc w:val="center"/>
                    <w:rPr>
                      <w:rFonts w:hint="eastAsia" w:cs="Times New Roman"/>
                      <w:smallCaps w:val="0"/>
                      <w:color w:val="000000" w:themeColor="text1"/>
                      <w:kern w:val="0"/>
                      <w:sz w:val="21"/>
                      <w:szCs w:val="21"/>
                      <w:lang w:val="en-US" w:eastAsia="zh-CN" w:bidi="ar-SA"/>
                      <w14:textFill>
                        <w14:solidFill>
                          <w14:schemeClr w14:val="tx1"/>
                        </w14:solidFill>
                      </w14:textFill>
                    </w:rPr>
                  </w:pPr>
                </w:p>
              </w:tc>
              <w:tc>
                <w:tcPr>
                  <w:tcW w:w="1187" w:type="pct"/>
                  <w:shd w:val="clear" w:color="auto" w:fill="auto"/>
                  <w:vAlign w:val="center"/>
                </w:tcPr>
                <w:p w14:paraId="76EDDE9B">
                  <w:pPr>
                    <w:snapToGrid w:val="0"/>
                    <w:jc w:val="center"/>
                    <w:rPr>
                      <w:rFonts w:hint="eastAsia"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三腺</w:t>
                  </w:r>
                </w:p>
              </w:tc>
              <w:tc>
                <w:tcPr>
                  <w:tcW w:w="552" w:type="pct"/>
                  <w:vMerge w:val="continue"/>
                  <w:shd w:val="clear" w:color="auto" w:fill="auto"/>
                  <w:vAlign w:val="center"/>
                </w:tcPr>
                <w:p w14:paraId="052B71D9">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shd w:val="clear" w:color="auto" w:fill="auto"/>
                  <w:vAlign w:val="center"/>
                </w:tcPr>
                <w:p w14:paraId="1C565164">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41A0F90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13AB589F">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vMerge w:val="continue"/>
                  <w:shd w:val="clear" w:color="auto" w:fill="auto"/>
                  <w:vAlign w:val="center"/>
                </w:tcPr>
                <w:p w14:paraId="0CF85015">
                  <w:pPr>
                    <w:snapToGrid w:val="0"/>
                    <w:jc w:val="center"/>
                    <w:rPr>
                      <w:rFonts w:hint="eastAsia" w:cs="Times New Roman"/>
                      <w:smallCaps w:val="0"/>
                      <w:color w:val="000000" w:themeColor="text1"/>
                      <w:kern w:val="2"/>
                      <w:sz w:val="21"/>
                      <w:szCs w:val="21"/>
                      <w:lang w:val="en-US" w:eastAsia="zh-CN" w:bidi="ar-SA"/>
                      <w14:textFill>
                        <w14:solidFill>
                          <w14:schemeClr w14:val="tx1"/>
                        </w14:solidFill>
                      </w14:textFill>
                    </w:rPr>
                  </w:pPr>
                </w:p>
              </w:tc>
              <w:tc>
                <w:tcPr>
                  <w:tcW w:w="696" w:type="pct"/>
                  <w:vMerge w:val="continue"/>
                  <w:shd w:val="clear" w:color="auto" w:fill="auto"/>
                  <w:vAlign w:val="center"/>
                </w:tcPr>
                <w:p w14:paraId="5D641A1D">
                  <w:pPr>
                    <w:snapToGrid w:val="0"/>
                    <w:jc w:val="center"/>
                    <w:rPr>
                      <w:rFonts w:hint="eastAsia" w:cs="Times New Roman"/>
                      <w:smallCaps w:val="0"/>
                      <w:color w:val="000000" w:themeColor="text1"/>
                      <w:kern w:val="0"/>
                      <w:sz w:val="21"/>
                      <w:szCs w:val="21"/>
                      <w:lang w:val="en-US" w:eastAsia="zh-CN" w:bidi="ar-SA"/>
                      <w14:textFill>
                        <w14:solidFill>
                          <w14:schemeClr w14:val="tx1"/>
                        </w14:solidFill>
                      </w14:textFill>
                    </w:rPr>
                  </w:pPr>
                </w:p>
              </w:tc>
              <w:tc>
                <w:tcPr>
                  <w:tcW w:w="1187" w:type="pct"/>
                  <w:shd w:val="clear" w:color="auto" w:fill="auto"/>
                  <w:vAlign w:val="center"/>
                </w:tcPr>
                <w:p w14:paraId="2D7AAB6B">
                  <w:pPr>
                    <w:snapToGrid w:val="0"/>
                    <w:jc w:val="center"/>
                    <w:rPr>
                      <w:rFonts w:hint="eastAsia"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废弃内脏</w:t>
                  </w:r>
                </w:p>
              </w:tc>
              <w:tc>
                <w:tcPr>
                  <w:tcW w:w="552" w:type="pct"/>
                  <w:vMerge w:val="continue"/>
                  <w:shd w:val="clear" w:color="auto" w:fill="auto"/>
                  <w:vAlign w:val="center"/>
                </w:tcPr>
                <w:p w14:paraId="67D51E8D">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p>
              </w:tc>
              <w:tc>
                <w:tcPr>
                  <w:tcW w:w="1728" w:type="pct"/>
                  <w:shd w:val="clear" w:color="auto" w:fill="auto"/>
                  <w:vAlign w:val="center"/>
                </w:tcPr>
                <w:p w14:paraId="02535903">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1B5354AE">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53AD395C">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26F2D25E">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S1-3</w:t>
                  </w:r>
                </w:p>
              </w:tc>
              <w:tc>
                <w:tcPr>
                  <w:tcW w:w="696" w:type="pct"/>
                  <w:shd w:val="clear" w:color="auto" w:fill="auto"/>
                  <w:vAlign w:val="center"/>
                </w:tcPr>
                <w:p w14:paraId="6925E8CF">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修整</w:t>
                  </w:r>
                </w:p>
              </w:tc>
              <w:tc>
                <w:tcPr>
                  <w:tcW w:w="1187" w:type="pct"/>
                  <w:shd w:val="clear" w:color="auto" w:fill="auto"/>
                  <w:vAlign w:val="center"/>
                </w:tcPr>
                <w:p w14:paraId="01AF958D">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废碎肉骨</w:t>
                  </w:r>
                </w:p>
              </w:tc>
              <w:tc>
                <w:tcPr>
                  <w:tcW w:w="552" w:type="pct"/>
                  <w:shd w:val="clear" w:color="auto" w:fill="auto"/>
                  <w:vAlign w:val="center"/>
                </w:tcPr>
                <w:p w14:paraId="34E5DC1E">
                  <w:pPr>
                    <w:autoSpaceDE w:val="0"/>
                    <w:autoSpaceDN w:val="0"/>
                    <w:snapToGrid w:val="0"/>
                    <w:jc w:val="center"/>
                    <w:rPr>
                      <w:rFonts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shd w:val="clear" w:color="auto" w:fill="auto"/>
                  <w:vAlign w:val="center"/>
                </w:tcPr>
                <w:p w14:paraId="6D8B297B">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697AD57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17ABAE1B">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351243B7">
                  <w:pPr>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S1-4</w:t>
                  </w:r>
                </w:p>
              </w:tc>
              <w:tc>
                <w:tcPr>
                  <w:tcW w:w="696" w:type="pct"/>
                  <w:shd w:val="clear" w:color="auto" w:fill="auto"/>
                  <w:vAlign w:val="center"/>
                </w:tcPr>
                <w:p w14:paraId="559E163B">
                  <w:pPr>
                    <w:snapToGrid w:val="0"/>
                    <w:jc w:val="center"/>
                    <w:rPr>
                      <w:rFonts w:hint="eastAsia"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宰后检验</w:t>
                  </w:r>
                </w:p>
              </w:tc>
              <w:tc>
                <w:tcPr>
                  <w:tcW w:w="1187" w:type="pct"/>
                  <w:shd w:val="clear" w:color="auto" w:fill="auto"/>
                  <w:vAlign w:val="center"/>
                </w:tcPr>
                <w:p w14:paraId="64DA703D">
                  <w:pPr>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不合格胴体</w:t>
                  </w:r>
                </w:p>
              </w:tc>
              <w:tc>
                <w:tcPr>
                  <w:tcW w:w="552" w:type="pct"/>
                  <w:shd w:val="clear" w:color="auto" w:fill="auto"/>
                  <w:vAlign w:val="center"/>
                </w:tcPr>
                <w:p w14:paraId="1863F328">
                  <w:pPr>
                    <w:autoSpaceDE w:val="0"/>
                    <w:autoSpaceDN w:val="0"/>
                    <w:snapToGrid w:val="0"/>
                    <w:jc w:val="center"/>
                    <w:rPr>
                      <w:rFonts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ascii="Times New Roman" w:hAnsi="Times New Roman" w:eastAsia="宋体"/>
                      <w:smallCaps w:val="0"/>
                      <w:color w:val="000000" w:themeColor="text1"/>
                      <w:sz w:val="21"/>
                      <w:szCs w:val="21"/>
                      <w14:textFill>
                        <w14:solidFill>
                          <w14:schemeClr w14:val="tx1"/>
                        </w14:solidFill>
                      </w14:textFill>
                    </w:rPr>
                    <w:t>间歇</w:t>
                  </w:r>
                </w:p>
              </w:tc>
              <w:tc>
                <w:tcPr>
                  <w:tcW w:w="1728" w:type="pct"/>
                  <w:shd w:val="clear" w:color="auto" w:fill="auto"/>
                  <w:vAlign w:val="center"/>
                </w:tcPr>
                <w:p w14:paraId="5C0A8692">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t>委托专业机构无害化处置</w:t>
                  </w:r>
                </w:p>
              </w:tc>
            </w:tr>
            <w:tr w14:paraId="2BA58D0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7E1EA52E">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40B59E49">
                  <w:pPr>
                    <w:snapToGrid w:val="0"/>
                    <w:jc w:val="center"/>
                    <w:rPr>
                      <w:rFonts w:hint="default"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S1-5</w:t>
                  </w:r>
                </w:p>
              </w:tc>
              <w:tc>
                <w:tcPr>
                  <w:tcW w:w="696" w:type="pct"/>
                  <w:shd w:val="clear" w:color="auto" w:fill="auto"/>
                  <w:vAlign w:val="center"/>
                </w:tcPr>
                <w:p w14:paraId="24A4EC36">
                  <w:pPr>
                    <w:snapToGrid w:val="0"/>
                    <w:jc w:val="center"/>
                    <w:rPr>
                      <w:rFonts w:hint="eastAsia"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剔骨分割、修整</w:t>
                  </w:r>
                </w:p>
              </w:tc>
              <w:tc>
                <w:tcPr>
                  <w:tcW w:w="1187" w:type="pct"/>
                  <w:shd w:val="clear" w:color="auto" w:fill="auto"/>
                  <w:vAlign w:val="center"/>
                </w:tcPr>
                <w:p w14:paraId="1E08EBE0">
                  <w:pPr>
                    <w:snapToGrid w:val="0"/>
                    <w:jc w:val="center"/>
                    <w:rPr>
                      <w:rFonts w:hint="eastAsia"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废碎肉骨</w:t>
                  </w:r>
                </w:p>
              </w:tc>
              <w:tc>
                <w:tcPr>
                  <w:tcW w:w="552" w:type="pct"/>
                  <w:shd w:val="clear" w:color="auto" w:fill="auto"/>
                  <w:vAlign w:val="center"/>
                </w:tcPr>
                <w:p w14:paraId="28104236">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shd w:val="clear" w:color="auto" w:fill="auto"/>
                  <w:vAlign w:val="center"/>
                </w:tcPr>
                <w:p w14:paraId="0B532E6E">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48885F5F">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032B723A">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4D255E8A">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S2-1</w:t>
                  </w:r>
                </w:p>
              </w:tc>
              <w:tc>
                <w:tcPr>
                  <w:tcW w:w="696" w:type="pct"/>
                  <w:shd w:val="clear" w:color="auto" w:fill="auto"/>
                  <w:vAlign w:val="center"/>
                </w:tcPr>
                <w:p w14:paraId="0ADE9605">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切配</w:t>
                  </w:r>
                </w:p>
              </w:tc>
              <w:tc>
                <w:tcPr>
                  <w:tcW w:w="1187" w:type="pct"/>
                  <w:shd w:val="clear" w:color="auto" w:fill="auto"/>
                  <w:vAlign w:val="center"/>
                </w:tcPr>
                <w:p w14:paraId="6D0F55D7">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废肉渣</w:t>
                  </w:r>
                </w:p>
              </w:tc>
              <w:tc>
                <w:tcPr>
                  <w:tcW w:w="552" w:type="pct"/>
                  <w:shd w:val="clear" w:color="auto" w:fill="auto"/>
                  <w:vAlign w:val="center"/>
                </w:tcPr>
                <w:p w14:paraId="5FB534DA">
                  <w:pPr>
                    <w:autoSpaceDE w:val="0"/>
                    <w:autoSpaceDN w:val="0"/>
                    <w:snapToGrid w:val="0"/>
                    <w:jc w:val="center"/>
                    <w:rPr>
                      <w:rFonts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宋体"/>
                      <w:b w:val="0"/>
                      <w:bCs/>
                      <w:color w:val="000000" w:themeColor="text1"/>
                      <w:sz w:val="21"/>
                      <w:szCs w:val="21"/>
                      <w:highlight w:val="none"/>
                      <w:lang w:val="en-US" w:eastAsia="zh-CN"/>
                      <w14:textFill>
                        <w14:solidFill>
                          <w14:schemeClr w14:val="tx1"/>
                        </w14:solidFill>
                      </w14:textFill>
                    </w:rPr>
                    <w:t xml:space="preserve">连续 </w:t>
                  </w:r>
                </w:p>
              </w:tc>
              <w:tc>
                <w:tcPr>
                  <w:tcW w:w="1728" w:type="pct"/>
                  <w:shd w:val="clear" w:color="auto" w:fill="auto"/>
                  <w:vAlign w:val="center"/>
                </w:tcPr>
                <w:p w14:paraId="0C9710EE">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r w14:paraId="2B72CB4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5FD7CFE2">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08C6AE66">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S2-2</w:t>
                  </w:r>
                </w:p>
              </w:tc>
              <w:tc>
                <w:tcPr>
                  <w:tcW w:w="696" w:type="pct"/>
                  <w:shd w:val="clear" w:color="auto" w:fill="auto"/>
                  <w:vAlign w:val="center"/>
                </w:tcPr>
                <w:p w14:paraId="2B162FAA">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酱卤</w:t>
                  </w:r>
                </w:p>
              </w:tc>
              <w:tc>
                <w:tcPr>
                  <w:tcW w:w="1187" w:type="pct"/>
                  <w:shd w:val="clear" w:color="auto" w:fill="auto"/>
                  <w:vAlign w:val="center"/>
                </w:tcPr>
                <w:p w14:paraId="78A41D0D">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废卤料</w:t>
                  </w:r>
                </w:p>
              </w:tc>
              <w:tc>
                <w:tcPr>
                  <w:tcW w:w="552" w:type="pct"/>
                  <w:shd w:val="clear" w:color="auto" w:fill="auto"/>
                  <w:vAlign w:val="center"/>
                </w:tcPr>
                <w:p w14:paraId="07C70890">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ascii="Times New Roman" w:hAnsi="Times New Roman" w:eastAsia="宋体"/>
                      <w:smallCaps w:val="0"/>
                      <w:color w:val="000000" w:themeColor="text1"/>
                      <w:sz w:val="21"/>
                      <w:szCs w:val="21"/>
                      <w14:textFill>
                        <w14:solidFill>
                          <w14:schemeClr w14:val="tx1"/>
                        </w14:solidFill>
                      </w14:textFill>
                    </w:rPr>
                    <w:t>间歇</w:t>
                  </w:r>
                </w:p>
              </w:tc>
              <w:tc>
                <w:tcPr>
                  <w:tcW w:w="1728" w:type="pct"/>
                  <w:shd w:val="clear" w:color="auto" w:fill="auto"/>
                  <w:vAlign w:val="center"/>
                </w:tcPr>
                <w:p w14:paraId="6B413B21">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环卫清运</w:t>
                  </w:r>
                </w:p>
              </w:tc>
            </w:tr>
            <w:tr w14:paraId="2284C724">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4D200322">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59E28DCD">
                  <w:pPr>
                    <w:snapToGrid w:val="0"/>
                    <w:jc w:val="center"/>
                    <w:rPr>
                      <w:rFonts w:hint="default"/>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t>
                  </w:r>
                </w:p>
              </w:tc>
              <w:tc>
                <w:tcPr>
                  <w:tcW w:w="696" w:type="pct"/>
                  <w:shd w:val="clear" w:color="auto" w:fill="auto"/>
                  <w:vAlign w:val="center"/>
                </w:tcPr>
                <w:p w14:paraId="714273B1">
                  <w:pPr>
                    <w:snapToGrid w:val="0"/>
                    <w:jc w:val="center"/>
                    <w:rPr>
                      <w:rFonts w:hint="default"/>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污水处理</w:t>
                  </w:r>
                </w:p>
              </w:tc>
              <w:tc>
                <w:tcPr>
                  <w:tcW w:w="1187" w:type="pct"/>
                  <w:shd w:val="clear" w:color="auto" w:fill="auto"/>
                  <w:vAlign w:val="center"/>
                </w:tcPr>
                <w:p w14:paraId="4CBD5515">
                  <w:pPr>
                    <w:snapToGrid w:val="0"/>
                    <w:jc w:val="center"/>
                    <w:rPr>
                      <w:rFonts w:hint="default"/>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污水处理污泥</w:t>
                  </w:r>
                </w:p>
              </w:tc>
              <w:tc>
                <w:tcPr>
                  <w:tcW w:w="552" w:type="pct"/>
                  <w:shd w:val="clear" w:color="auto" w:fill="auto"/>
                  <w:vAlign w:val="center"/>
                </w:tcPr>
                <w:p w14:paraId="0B6B48DF">
                  <w:pPr>
                    <w:autoSpaceDE w:val="0"/>
                    <w:autoSpaceDN w:val="0"/>
                    <w:snapToGrid w:val="0"/>
                    <w:jc w:val="cente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ascii="Times New Roman" w:hAnsi="Times New Roman" w:eastAsia="宋体"/>
                      <w:smallCaps w:val="0"/>
                      <w:color w:val="000000" w:themeColor="text1"/>
                      <w:sz w:val="21"/>
                      <w:szCs w:val="21"/>
                      <w14:textFill>
                        <w14:solidFill>
                          <w14:schemeClr w14:val="tx1"/>
                        </w14:solidFill>
                      </w14:textFill>
                    </w:rPr>
                    <w:t>间歇</w:t>
                  </w:r>
                </w:p>
              </w:tc>
              <w:tc>
                <w:tcPr>
                  <w:tcW w:w="1728" w:type="pct"/>
                  <w:shd w:val="clear" w:color="auto" w:fill="auto"/>
                  <w:vAlign w:val="center"/>
                </w:tcPr>
                <w:p w14:paraId="4E203E1C">
                  <w:pPr>
                    <w:autoSpaceDE w:val="0"/>
                    <w:autoSpaceDN w:val="0"/>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外售处置</w:t>
                  </w:r>
                </w:p>
              </w:tc>
            </w:tr>
            <w:tr w14:paraId="1AF1B5A3">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11" w:type="pct"/>
                  <w:vMerge w:val="continue"/>
                  <w:vAlign w:val="center"/>
                </w:tcPr>
                <w:p w14:paraId="5A43DE1E">
                  <w:pPr>
                    <w:autoSpaceDE w:val="0"/>
                    <w:autoSpaceDN w:val="0"/>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24" w:type="pct"/>
                  <w:shd w:val="clear" w:color="auto" w:fill="auto"/>
                  <w:vAlign w:val="center"/>
                </w:tcPr>
                <w:p w14:paraId="2D53922F">
                  <w:pPr>
                    <w:snapToGrid w:val="0"/>
                    <w:jc w:val="center"/>
                    <w:rPr>
                      <w:rFonts w:hint="default"/>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w:t>
                  </w:r>
                </w:p>
              </w:tc>
              <w:tc>
                <w:tcPr>
                  <w:tcW w:w="696" w:type="pct"/>
                  <w:shd w:val="clear" w:color="auto" w:fill="auto"/>
                  <w:vAlign w:val="center"/>
                </w:tcPr>
                <w:p w14:paraId="34F4F5DC">
                  <w:pPr>
                    <w:snapToGrid w:val="0"/>
                    <w:jc w:val="center"/>
                    <w:rPr>
                      <w:rFonts w:hint="default"/>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检疫</w:t>
                  </w:r>
                </w:p>
              </w:tc>
              <w:tc>
                <w:tcPr>
                  <w:tcW w:w="1187" w:type="pct"/>
                  <w:shd w:val="clear" w:color="auto" w:fill="auto"/>
                  <w:vAlign w:val="center"/>
                </w:tcPr>
                <w:p w14:paraId="2BFADBF2">
                  <w:pPr>
                    <w:snapToGrid w:val="0"/>
                    <w:jc w:val="center"/>
                    <w:rPr>
                      <w:rFonts w:hint="default"/>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检疫废物</w:t>
                  </w:r>
                </w:p>
              </w:tc>
              <w:tc>
                <w:tcPr>
                  <w:tcW w:w="552" w:type="pct"/>
                  <w:shd w:val="clear" w:color="auto" w:fill="auto"/>
                  <w:vAlign w:val="center"/>
                </w:tcPr>
                <w:p w14:paraId="10DE6B29">
                  <w:pPr>
                    <w:autoSpaceDE w:val="0"/>
                    <w:autoSpaceDN w:val="0"/>
                    <w:snapToGrid w:val="0"/>
                    <w:jc w:val="center"/>
                    <w:rPr>
                      <w:rFonts w:ascii="Times New Roman" w:hAnsi="Times New Roman" w:eastAsia="宋体"/>
                      <w:smallCaps w:val="0"/>
                      <w:color w:val="000000" w:themeColor="text1"/>
                      <w:sz w:val="21"/>
                      <w:szCs w:val="21"/>
                      <w14:textFill>
                        <w14:solidFill>
                          <w14:schemeClr w14:val="tx1"/>
                        </w14:solidFill>
                      </w14:textFill>
                    </w:rPr>
                  </w:pPr>
                  <w:r>
                    <w:rPr>
                      <w:rFonts w:ascii="Times New Roman" w:hAnsi="Times New Roman" w:eastAsia="宋体"/>
                      <w:smallCaps w:val="0"/>
                      <w:color w:val="000000" w:themeColor="text1"/>
                      <w:sz w:val="21"/>
                      <w:szCs w:val="21"/>
                      <w14:textFill>
                        <w14:solidFill>
                          <w14:schemeClr w14:val="tx1"/>
                        </w14:solidFill>
                      </w14:textFill>
                    </w:rPr>
                    <w:t>间歇</w:t>
                  </w:r>
                </w:p>
              </w:tc>
              <w:tc>
                <w:tcPr>
                  <w:tcW w:w="1728" w:type="pct"/>
                  <w:shd w:val="clear" w:color="auto" w:fill="auto"/>
                  <w:vAlign w:val="center"/>
                </w:tcPr>
                <w:p w14:paraId="3A23EFA1">
                  <w:pPr>
                    <w:autoSpaceDE w:val="0"/>
                    <w:autoSpaceDN w:val="0"/>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常州市宏宝生物科技有限公司无害无处置</w:t>
                  </w:r>
                </w:p>
              </w:tc>
            </w:tr>
          </w:tbl>
          <w:p w14:paraId="695BAB71">
            <w:pPr>
              <w:tabs>
                <w:tab w:val="left" w:pos="960"/>
              </w:tabs>
              <w:jc w:val="cente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pPr>
          </w:p>
        </w:tc>
      </w:tr>
      <w:tr w14:paraId="6D8A5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463" w:type="dxa"/>
            <w:shd w:val="clear" w:color="auto" w:fill="auto"/>
            <w:vAlign w:val="center"/>
          </w:tcPr>
          <w:p w14:paraId="744950EC">
            <w:pPr>
              <w:pStyle w:val="22"/>
              <w:widowControl w:val="0"/>
              <w:adjustRightInd w:val="0"/>
              <w:snapToGrid w:val="0"/>
              <w:spacing w:before="0" w:beforeAutospacing="0" w:after="0" w:afterAutospacing="0"/>
              <w:jc w:val="center"/>
              <w:rPr>
                <w:rFonts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宋体"/>
                <w:bCs/>
                <w:color w:val="000000" w:themeColor="text1"/>
                <w:kern w:val="2"/>
                <w:sz w:val="21"/>
                <w:szCs w:val="21"/>
                <w:highlight w:val="none"/>
                <w14:textFill>
                  <w14:solidFill>
                    <w14:schemeClr w14:val="tx1"/>
                  </w14:solidFill>
                </w14:textFill>
              </w:rPr>
              <w:t>与项目有关的原有环境污染问题</w:t>
            </w:r>
          </w:p>
        </w:tc>
        <w:tc>
          <w:tcPr>
            <w:tcW w:w="8430" w:type="dxa"/>
          </w:tcPr>
          <w:p w14:paraId="46A6683D">
            <w:pPr>
              <w:spacing w:line="360" w:lineRule="auto"/>
              <w:ind w:firstLine="422" w:firstLineChars="200"/>
              <w:rPr>
                <w:rFonts w:cs="宋体"/>
                <w:b/>
                <w:color w:val="000000" w:themeColor="text1"/>
                <w:sz w:val="21"/>
                <w:szCs w:val="21"/>
                <w:highlight w:val="none"/>
                <w14:textFill>
                  <w14:solidFill>
                    <w14:schemeClr w14:val="tx1"/>
                  </w14:solidFill>
                </w14:textFill>
              </w:rPr>
            </w:pPr>
            <w:r>
              <w:rPr>
                <w:rFonts w:cs="宋体"/>
                <w:b/>
                <w:color w:val="000000" w:themeColor="text1"/>
                <w:sz w:val="21"/>
                <w:szCs w:val="21"/>
                <w:highlight w:val="none"/>
                <w14:textFill>
                  <w14:solidFill>
                    <w14:schemeClr w14:val="tx1"/>
                  </w14:solidFill>
                </w14:textFill>
              </w:rPr>
              <w:t>1、</w:t>
            </w:r>
            <w:r>
              <w:rPr>
                <w:rFonts w:hint="eastAsia" w:cs="宋体"/>
                <w:b/>
                <w:color w:val="000000" w:themeColor="text1"/>
                <w:sz w:val="21"/>
                <w:szCs w:val="21"/>
                <w:highlight w:val="none"/>
                <w14:textFill>
                  <w14:solidFill>
                    <w14:schemeClr w14:val="tx1"/>
                  </w14:solidFill>
                </w14:textFill>
              </w:rPr>
              <w:t>现有工程环保手续</w:t>
            </w:r>
            <w:r>
              <w:rPr>
                <w:rFonts w:cs="宋体"/>
                <w:b/>
                <w:color w:val="000000" w:themeColor="text1"/>
                <w:sz w:val="21"/>
                <w:szCs w:val="21"/>
                <w:highlight w:val="none"/>
                <w14:textFill>
                  <w14:solidFill>
                    <w14:schemeClr w14:val="tx1"/>
                  </w14:solidFill>
                </w14:textFill>
              </w:rPr>
              <w:t>履行情况</w:t>
            </w:r>
          </w:p>
          <w:p w14:paraId="08A745D0">
            <w:pPr>
              <w:tabs>
                <w:tab w:val="left" w:pos="960"/>
              </w:tabs>
              <w:spacing w:beforeLines="50"/>
              <w:jc w:val="center"/>
              <w:rPr>
                <w:rFonts w:cs="宋体"/>
                <w:b/>
                <w:bCs/>
                <w:color w:val="000000" w:themeColor="text1"/>
                <w:spacing w:val="-4"/>
                <w:sz w:val="21"/>
                <w:szCs w:val="21"/>
                <w:highlight w:val="none"/>
                <w14:textFill>
                  <w14:solidFill>
                    <w14:schemeClr w14:val="tx1"/>
                  </w14:solidFill>
                </w14:textFill>
              </w:rPr>
            </w:pPr>
            <w:r>
              <w:rPr>
                <w:rFonts w:hint="eastAsia" w:cs="宋体"/>
                <w:b/>
                <w:bCs/>
                <w:color w:val="000000" w:themeColor="text1"/>
                <w:spacing w:val="-4"/>
                <w:sz w:val="21"/>
                <w:szCs w:val="21"/>
                <w:highlight w:val="none"/>
                <w14:textFill>
                  <w14:solidFill>
                    <w14:schemeClr w14:val="tx1"/>
                  </w14:solidFill>
                </w14:textFill>
              </w:rPr>
              <w:t>表2</w:t>
            </w:r>
            <w:r>
              <w:rPr>
                <w:rFonts w:hint="eastAsia" w:cs="宋体"/>
                <w:b/>
                <w:bCs/>
                <w:color w:val="000000" w:themeColor="text1"/>
                <w:spacing w:val="-4"/>
                <w:sz w:val="21"/>
                <w:szCs w:val="21"/>
                <w:highlight w:val="none"/>
                <w:lang w:val="en-US" w:eastAsia="zh-CN"/>
                <w14:textFill>
                  <w14:solidFill>
                    <w14:schemeClr w14:val="tx1"/>
                  </w14:solidFill>
                </w14:textFill>
              </w:rPr>
              <w:t>-7</w:t>
            </w:r>
            <w:r>
              <w:rPr>
                <w:rFonts w:hint="eastAsia" w:cs="宋体"/>
                <w:b/>
                <w:bCs/>
                <w:color w:val="000000" w:themeColor="text1"/>
                <w:spacing w:val="-4"/>
                <w:sz w:val="21"/>
                <w:szCs w:val="21"/>
                <w:highlight w:val="none"/>
                <w14:textFill>
                  <w14:solidFill>
                    <w14:schemeClr w14:val="tx1"/>
                  </w14:solidFill>
                </w14:textFill>
              </w:rPr>
              <w:t xml:space="preserve">  现有工程环保手续</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735"/>
              <w:gridCol w:w="2430"/>
              <w:gridCol w:w="1188"/>
              <w:gridCol w:w="2089"/>
            </w:tblGrid>
            <w:tr w14:paraId="01BA0F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9" w:type="pct"/>
                  <w:vAlign w:val="center"/>
                </w:tcPr>
                <w:p w14:paraId="20A4890C">
                  <w:pPr>
                    <w:pStyle w:val="39"/>
                    <w:adjustRightInd/>
                    <w:spacing w:beforeLines="0" w:afterLines="0" w:line="240" w:lineRule="auto"/>
                    <w:rPr>
                      <w:rFonts w:ascii="Times New Roman" w:cs="宋体"/>
                      <w:b/>
                      <w:bCs/>
                      <w:color w:val="000000" w:themeColor="text1"/>
                      <w:sz w:val="21"/>
                      <w:szCs w:val="21"/>
                      <w:highlight w:val="none"/>
                      <w14:textFill>
                        <w14:solidFill>
                          <w14:schemeClr w14:val="tx1"/>
                        </w14:solidFill>
                      </w14:textFill>
                    </w:rPr>
                  </w:pPr>
                  <w:r>
                    <w:rPr>
                      <w:rFonts w:ascii="Times New Roman" w:cs="宋体"/>
                      <w:b/>
                      <w:bCs/>
                      <w:color w:val="000000" w:themeColor="text1"/>
                      <w:sz w:val="21"/>
                      <w:szCs w:val="21"/>
                      <w:highlight w:val="none"/>
                      <w14:textFill>
                        <w14:solidFill>
                          <w14:schemeClr w14:val="tx1"/>
                        </w14:solidFill>
                      </w14:textFill>
                    </w:rPr>
                    <w:t>项目名称</w:t>
                  </w:r>
                </w:p>
              </w:tc>
              <w:tc>
                <w:tcPr>
                  <w:tcW w:w="1926" w:type="pct"/>
                  <w:gridSpan w:val="2"/>
                  <w:vAlign w:val="center"/>
                </w:tcPr>
                <w:p w14:paraId="1F176CE6">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b/>
                      <w:bCs/>
                      <w:color w:val="000000" w:themeColor="text1"/>
                      <w:sz w:val="21"/>
                      <w:szCs w:val="21"/>
                      <w:highlight w:val="none"/>
                      <w14:textFill>
                        <w14:solidFill>
                          <w14:schemeClr w14:val="tx1"/>
                        </w14:solidFill>
                      </w14:textFill>
                    </w:rPr>
                    <w:t>审批</w:t>
                  </w:r>
                  <w:r>
                    <w:rPr>
                      <w:rFonts w:ascii="Times New Roman" w:cs="宋体"/>
                      <w:b/>
                      <w:bCs/>
                      <w:color w:val="000000" w:themeColor="text1"/>
                      <w:sz w:val="21"/>
                      <w:szCs w:val="21"/>
                      <w:highlight w:val="none"/>
                      <w14:textFill>
                        <w14:solidFill>
                          <w14:schemeClr w14:val="tx1"/>
                        </w14:solidFill>
                      </w14:textFill>
                    </w:rPr>
                    <w:t>情况</w:t>
                  </w:r>
                </w:p>
              </w:tc>
              <w:tc>
                <w:tcPr>
                  <w:tcW w:w="723" w:type="pct"/>
                  <w:vAlign w:val="center"/>
                </w:tcPr>
                <w:p w14:paraId="59DCBFD6">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ascii="Times New Roman" w:cs="宋体"/>
                      <w:b/>
                      <w:bCs/>
                      <w:color w:val="000000" w:themeColor="text1"/>
                      <w:sz w:val="21"/>
                      <w:szCs w:val="21"/>
                      <w:highlight w:val="none"/>
                      <w14:textFill>
                        <w14:solidFill>
                          <w14:schemeClr w14:val="tx1"/>
                        </w14:solidFill>
                      </w14:textFill>
                    </w:rPr>
                    <w:t>验收情况</w:t>
                  </w:r>
                </w:p>
              </w:tc>
              <w:tc>
                <w:tcPr>
                  <w:tcW w:w="1271" w:type="pct"/>
                  <w:vAlign w:val="center"/>
                </w:tcPr>
                <w:p w14:paraId="3F1073B2">
                  <w:pPr>
                    <w:pStyle w:val="39"/>
                    <w:adjustRightInd/>
                    <w:spacing w:beforeLines="0" w:afterLines="0" w:line="240" w:lineRule="auto"/>
                    <w:rPr>
                      <w:rFonts w:ascii="Times New Roman" w:cs="宋体"/>
                      <w:b/>
                      <w:color w:val="000000" w:themeColor="text1"/>
                      <w:sz w:val="21"/>
                      <w:szCs w:val="21"/>
                      <w:highlight w:val="none"/>
                      <w14:textFill>
                        <w14:solidFill>
                          <w14:schemeClr w14:val="tx1"/>
                        </w14:solidFill>
                      </w14:textFill>
                    </w:rPr>
                  </w:pPr>
                  <w:r>
                    <w:rPr>
                      <w:rFonts w:ascii="Times New Roman" w:cs="宋体"/>
                      <w:b/>
                      <w:color w:val="000000" w:themeColor="text1"/>
                      <w:sz w:val="21"/>
                      <w:szCs w:val="21"/>
                      <w:highlight w:val="none"/>
                      <w14:textFill>
                        <w14:solidFill>
                          <w14:schemeClr w14:val="tx1"/>
                        </w14:solidFill>
                      </w14:textFill>
                    </w:rPr>
                    <w:t>排污许可情况</w:t>
                  </w:r>
                </w:p>
              </w:tc>
            </w:tr>
            <w:tr w14:paraId="5259A3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9" w:type="pct"/>
                  <w:vMerge w:val="restart"/>
                  <w:vAlign w:val="center"/>
                </w:tcPr>
                <w:p w14:paraId="64E32D00">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lang w:val="en-US" w:eastAsia="zh-CN"/>
                      <w14:textFill>
                        <w14:solidFill>
                          <w14:schemeClr w14:val="tx1"/>
                        </w14:solidFill>
                      </w14:textFill>
                    </w:rPr>
                    <w:t>新建水牛存栏饲养、屠宰及加工项目</w:t>
                  </w:r>
                  <w:r>
                    <w:rPr>
                      <w:rFonts w:hint="eastAsia" w:ascii="Times New Roman" w:cs="宋体"/>
                      <w:color w:val="000000" w:themeColor="text1"/>
                      <w:sz w:val="21"/>
                      <w:szCs w:val="21"/>
                      <w:highlight w:val="none"/>
                      <w14:textFill>
                        <w14:solidFill>
                          <w14:schemeClr w14:val="tx1"/>
                        </w14:solidFill>
                      </w14:textFill>
                    </w:rPr>
                    <w:t>环境影响报告表</w:t>
                  </w:r>
                </w:p>
              </w:tc>
              <w:tc>
                <w:tcPr>
                  <w:tcW w:w="447" w:type="pct"/>
                  <w:vAlign w:val="center"/>
                </w:tcPr>
                <w:p w14:paraId="79B3ABF9">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14:textFill>
                        <w14:solidFill>
                          <w14:schemeClr w14:val="tx1"/>
                        </w14:solidFill>
                      </w14:textFill>
                    </w:rPr>
                    <w:t>审批文号</w:t>
                  </w:r>
                </w:p>
              </w:tc>
              <w:tc>
                <w:tcPr>
                  <w:tcW w:w="1479" w:type="pct"/>
                  <w:vAlign w:val="center"/>
                </w:tcPr>
                <w:p w14:paraId="289706E8">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lang w:val="en-US" w:eastAsia="zh-CN"/>
                      <w14:textFill>
                        <w14:solidFill>
                          <w14:schemeClr w14:val="tx1"/>
                        </w14:solidFill>
                      </w14:textFill>
                    </w:rPr>
                    <w:t>/</w:t>
                  </w:r>
                </w:p>
              </w:tc>
              <w:tc>
                <w:tcPr>
                  <w:tcW w:w="723" w:type="pct"/>
                  <w:vMerge w:val="restart"/>
                  <w:vAlign w:val="center"/>
                </w:tcPr>
                <w:p w14:paraId="538A9DEE">
                  <w:pPr>
                    <w:pStyle w:val="39"/>
                    <w:spacing w:before="45" w:after="45"/>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lang w:val="en-US" w:eastAsia="zh-CN"/>
                      <w14:textFill>
                        <w14:solidFill>
                          <w14:schemeClr w14:val="tx1"/>
                        </w14:solidFill>
                      </w14:textFill>
                    </w:rPr>
                    <w:t>2020年5月15日取得了竣工环境保护验收意见</w:t>
                  </w:r>
                </w:p>
              </w:tc>
              <w:tc>
                <w:tcPr>
                  <w:tcW w:w="1271" w:type="pct"/>
                  <w:vMerge w:val="restart"/>
                  <w:vAlign w:val="center"/>
                </w:tcPr>
                <w:p w14:paraId="7FB37D79">
                  <w:pPr>
                    <w:pStyle w:val="39"/>
                    <w:adjustRightInd/>
                    <w:spacing w:beforeLines="0" w:afterLines="0" w:line="240" w:lineRule="auto"/>
                    <w:rPr>
                      <w:rFonts w:hint="default" w:asci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cs="宋体"/>
                      <w:color w:val="000000" w:themeColor="text1"/>
                      <w:sz w:val="21"/>
                      <w:szCs w:val="21"/>
                      <w:highlight w:val="none"/>
                      <w:lang w:val="en-US" w:eastAsia="zh-CN"/>
                      <w14:textFill>
                        <w14:solidFill>
                          <w14:schemeClr w14:val="tx1"/>
                        </w14:solidFill>
                      </w14:textFill>
                    </w:rPr>
                    <w:t>2021年3月9日取得排污许可证登记回执，许可证编号为</w:t>
                  </w:r>
                  <w:r>
                    <w:rPr>
                      <w:rFonts w:hint="default" w:ascii="Times New Roman" w:cs="宋体"/>
                      <w:color w:val="000000" w:themeColor="text1"/>
                      <w:sz w:val="21"/>
                      <w:szCs w:val="21"/>
                      <w:highlight w:val="none"/>
                      <w:lang w:val="en-US" w:eastAsia="zh-CN"/>
                      <w14:textFill>
                        <w14:solidFill>
                          <w14:schemeClr w14:val="tx1"/>
                        </w14:solidFill>
                      </w14:textFill>
                    </w:rPr>
                    <w:t>91320413793809976N</w:t>
                  </w:r>
                </w:p>
              </w:tc>
            </w:tr>
            <w:tr w14:paraId="5F298D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9" w:type="pct"/>
                  <w:vMerge w:val="continue"/>
                  <w:vAlign w:val="center"/>
                </w:tcPr>
                <w:p w14:paraId="041799EB">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p>
              </w:tc>
              <w:tc>
                <w:tcPr>
                  <w:tcW w:w="447" w:type="pct"/>
                  <w:vAlign w:val="center"/>
                </w:tcPr>
                <w:p w14:paraId="4D4B344E">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14:textFill>
                        <w14:solidFill>
                          <w14:schemeClr w14:val="tx1"/>
                        </w14:solidFill>
                      </w14:textFill>
                    </w:rPr>
                    <w:t>审批机关</w:t>
                  </w:r>
                </w:p>
              </w:tc>
              <w:tc>
                <w:tcPr>
                  <w:tcW w:w="1479" w:type="pct"/>
                  <w:vAlign w:val="center"/>
                </w:tcPr>
                <w:p w14:paraId="3335FB25">
                  <w:pPr>
                    <w:pStyle w:val="39"/>
                    <w:adjustRightInd/>
                    <w:spacing w:beforeLines="0" w:afterLines="0" w:line="240" w:lineRule="auto"/>
                    <w:rPr>
                      <w:rFonts w:hint="eastAsia" w:ascii="Times New Roman" w:eastAsia="宋体" w:cs="宋体"/>
                      <w:color w:val="000000" w:themeColor="text1"/>
                      <w:sz w:val="21"/>
                      <w:szCs w:val="21"/>
                      <w:highlight w:val="none"/>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原</w:t>
                  </w:r>
                  <w:r>
                    <w:rPr>
                      <w:rFonts w:hint="eastAsia" w:ascii="Times New Roman" w:eastAsia="宋体" w:cs="宋体"/>
                      <w:color w:val="000000" w:themeColor="text1"/>
                      <w:sz w:val="21"/>
                      <w:szCs w:val="21"/>
                      <w:highlight w:val="none"/>
                      <w:lang w:val="en-US" w:eastAsia="zh-CN"/>
                      <w14:textFill>
                        <w14:solidFill>
                          <w14:schemeClr w14:val="tx1"/>
                        </w14:solidFill>
                      </w14:textFill>
                    </w:rPr>
                    <w:t>金坛市环境保护局</w:t>
                  </w:r>
                </w:p>
              </w:tc>
              <w:tc>
                <w:tcPr>
                  <w:tcW w:w="723" w:type="pct"/>
                  <w:vMerge w:val="continue"/>
                  <w:vAlign w:val="center"/>
                </w:tcPr>
                <w:p w14:paraId="21C82758">
                  <w:pPr>
                    <w:pStyle w:val="39"/>
                    <w:spacing w:before="45" w:after="45"/>
                    <w:rPr>
                      <w:rFonts w:ascii="Times New Roman" w:cs="宋体"/>
                      <w:color w:val="000000" w:themeColor="text1"/>
                      <w:sz w:val="21"/>
                      <w:szCs w:val="21"/>
                      <w:highlight w:val="none"/>
                      <w14:textFill>
                        <w14:solidFill>
                          <w14:schemeClr w14:val="tx1"/>
                        </w14:solidFill>
                      </w14:textFill>
                    </w:rPr>
                  </w:pPr>
                </w:p>
              </w:tc>
              <w:tc>
                <w:tcPr>
                  <w:tcW w:w="1271" w:type="pct"/>
                  <w:vMerge w:val="continue"/>
                  <w:vAlign w:val="center"/>
                </w:tcPr>
                <w:p w14:paraId="7AD53F96">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p>
              </w:tc>
            </w:tr>
            <w:tr w14:paraId="25BE62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79" w:type="pct"/>
                  <w:vMerge w:val="continue"/>
                  <w:vAlign w:val="center"/>
                </w:tcPr>
                <w:p w14:paraId="7F322A6F">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p>
              </w:tc>
              <w:tc>
                <w:tcPr>
                  <w:tcW w:w="447" w:type="pct"/>
                  <w:vAlign w:val="center"/>
                </w:tcPr>
                <w:p w14:paraId="62E640FC">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14:textFill>
                        <w14:solidFill>
                          <w14:schemeClr w14:val="tx1"/>
                        </w14:solidFill>
                      </w14:textFill>
                    </w:rPr>
                    <w:t>审批时间</w:t>
                  </w:r>
                </w:p>
              </w:tc>
              <w:tc>
                <w:tcPr>
                  <w:tcW w:w="1479" w:type="pct"/>
                  <w:vAlign w:val="center"/>
                </w:tcPr>
                <w:p w14:paraId="6F694FA3">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r>
                    <w:rPr>
                      <w:rFonts w:hint="eastAsia" w:ascii="Times New Roman" w:cs="宋体"/>
                      <w:color w:val="000000" w:themeColor="text1"/>
                      <w:sz w:val="21"/>
                      <w:szCs w:val="21"/>
                      <w:highlight w:val="none"/>
                      <w14:textFill>
                        <w14:solidFill>
                          <w14:schemeClr w14:val="tx1"/>
                        </w14:solidFill>
                      </w14:textFill>
                    </w:rPr>
                    <w:t>20</w:t>
                  </w:r>
                  <w:r>
                    <w:rPr>
                      <w:rFonts w:hint="eastAsia" w:ascii="Times New Roman" w:cs="宋体"/>
                      <w:color w:val="000000" w:themeColor="text1"/>
                      <w:sz w:val="21"/>
                      <w:szCs w:val="21"/>
                      <w:highlight w:val="none"/>
                      <w:lang w:val="en-US" w:eastAsia="zh-CN"/>
                      <w14:textFill>
                        <w14:solidFill>
                          <w14:schemeClr w14:val="tx1"/>
                        </w14:solidFill>
                      </w14:textFill>
                    </w:rPr>
                    <w:t>06</w:t>
                  </w:r>
                  <w:r>
                    <w:rPr>
                      <w:rFonts w:hint="eastAsia" w:ascii="Times New Roman" w:cs="宋体"/>
                      <w:color w:val="000000" w:themeColor="text1"/>
                      <w:sz w:val="21"/>
                      <w:szCs w:val="21"/>
                      <w:highlight w:val="none"/>
                      <w14:textFill>
                        <w14:solidFill>
                          <w14:schemeClr w14:val="tx1"/>
                        </w14:solidFill>
                      </w14:textFill>
                    </w:rPr>
                    <w:t>年</w:t>
                  </w:r>
                  <w:r>
                    <w:rPr>
                      <w:rFonts w:hint="eastAsia" w:ascii="Times New Roman" w:cs="宋体"/>
                      <w:color w:val="000000" w:themeColor="text1"/>
                      <w:sz w:val="21"/>
                      <w:szCs w:val="21"/>
                      <w:highlight w:val="none"/>
                      <w:lang w:val="en-US" w:eastAsia="zh-CN"/>
                      <w14:textFill>
                        <w14:solidFill>
                          <w14:schemeClr w14:val="tx1"/>
                        </w14:solidFill>
                      </w14:textFill>
                    </w:rPr>
                    <w:t>9</w:t>
                  </w:r>
                  <w:r>
                    <w:rPr>
                      <w:rFonts w:hint="eastAsia" w:ascii="Times New Roman" w:cs="宋体"/>
                      <w:color w:val="000000" w:themeColor="text1"/>
                      <w:sz w:val="21"/>
                      <w:szCs w:val="21"/>
                      <w:highlight w:val="none"/>
                      <w14:textFill>
                        <w14:solidFill>
                          <w14:schemeClr w14:val="tx1"/>
                        </w14:solidFill>
                      </w14:textFill>
                    </w:rPr>
                    <w:t>月</w:t>
                  </w:r>
                  <w:r>
                    <w:rPr>
                      <w:rFonts w:hint="eastAsia" w:ascii="Times New Roman" w:cs="宋体"/>
                      <w:color w:val="000000" w:themeColor="text1"/>
                      <w:sz w:val="21"/>
                      <w:szCs w:val="21"/>
                      <w:highlight w:val="none"/>
                      <w:lang w:val="en-US" w:eastAsia="zh-CN"/>
                      <w14:textFill>
                        <w14:solidFill>
                          <w14:schemeClr w14:val="tx1"/>
                        </w14:solidFill>
                      </w14:textFill>
                    </w:rPr>
                    <w:t>1</w:t>
                  </w:r>
                  <w:r>
                    <w:rPr>
                      <w:rFonts w:hint="eastAsia" w:ascii="Times New Roman" w:cs="宋体"/>
                      <w:color w:val="000000" w:themeColor="text1"/>
                      <w:sz w:val="21"/>
                      <w:szCs w:val="21"/>
                      <w:highlight w:val="none"/>
                      <w14:textFill>
                        <w14:solidFill>
                          <w14:schemeClr w14:val="tx1"/>
                        </w14:solidFill>
                      </w14:textFill>
                    </w:rPr>
                    <w:t>5日</w:t>
                  </w:r>
                </w:p>
              </w:tc>
              <w:tc>
                <w:tcPr>
                  <w:tcW w:w="723" w:type="pct"/>
                  <w:vMerge w:val="continue"/>
                  <w:vAlign w:val="center"/>
                </w:tcPr>
                <w:p w14:paraId="1EE571B9">
                  <w:pPr>
                    <w:pStyle w:val="39"/>
                    <w:spacing w:before="45" w:after="45"/>
                    <w:rPr>
                      <w:rFonts w:ascii="Times New Roman" w:cs="宋体"/>
                      <w:color w:val="000000" w:themeColor="text1"/>
                      <w:sz w:val="21"/>
                      <w:szCs w:val="21"/>
                      <w:highlight w:val="none"/>
                      <w14:textFill>
                        <w14:solidFill>
                          <w14:schemeClr w14:val="tx1"/>
                        </w14:solidFill>
                      </w14:textFill>
                    </w:rPr>
                  </w:pPr>
                </w:p>
              </w:tc>
              <w:tc>
                <w:tcPr>
                  <w:tcW w:w="1271" w:type="pct"/>
                  <w:vMerge w:val="continue"/>
                  <w:vAlign w:val="center"/>
                </w:tcPr>
                <w:p w14:paraId="7551D764">
                  <w:pPr>
                    <w:pStyle w:val="39"/>
                    <w:adjustRightInd/>
                    <w:spacing w:beforeLines="0" w:afterLines="0" w:line="240" w:lineRule="auto"/>
                    <w:rPr>
                      <w:rFonts w:ascii="Times New Roman" w:cs="宋体"/>
                      <w:color w:val="000000" w:themeColor="text1"/>
                      <w:sz w:val="21"/>
                      <w:szCs w:val="21"/>
                      <w:highlight w:val="none"/>
                      <w14:textFill>
                        <w14:solidFill>
                          <w14:schemeClr w14:val="tx1"/>
                        </w14:solidFill>
                      </w14:textFill>
                    </w:rPr>
                  </w:pPr>
                </w:p>
              </w:tc>
            </w:tr>
          </w:tbl>
          <w:p w14:paraId="6EA950ED">
            <w:pPr>
              <w:spacing w:line="360" w:lineRule="auto"/>
              <w:ind w:firstLine="422" w:firstLineChars="200"/>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2</w:t>
            </w:r>
            <w:r>
              <w:rPr>
                <w:rFonts w:cs="宋体"/>
                <w:b/>
                <w:color w:val="000000" w:themeColor="text1"/>
                <w:sz w:val="21"/>
                <w:szCs w:val="21"/>
                <w:highlight w:val="none"/>
                <w14:textFill>
                  <w14:solidFill>
                    <w14:schemeClr w14:val="tx1"/>
                  </w14:solidFill>
                </w14:textFill>
              </w:rPr>
              <w:t>、</w:t>
            </w:r>
            <w:r>
              <w:rPr>
                <w:rFonts w:hint="eastAsia" w:cs="宋体"/>
                <w:b/>
                <w:color w:val="000000" w:themeColor="text1"/>
                <w:sz w:val="21"/>
                <w:szCs w:val="21"/>
                <w:highlight w:val="none"/>
                <w14:textFill>
                  <w14:solidFill>
                    <w14:schemeClr w14:val="tx1"/>
                  </w14:solidFill>
                </w14:textFill>
              </w:rPr>
              <w:t>现有工程</w:t>
            </w:r>
            <w:r>
              <w:rPr>
                <w:rFonts w:cs="宋体"/>
                <w:b/>
                <w:color w:val="000000" w:themeColor="text1"/>
                <w:sz w:val="21"/>
                <w:szCs w:val="21"/>
                <w:highlight w:val="none"/>
                <w14:textFill>
                  <w14:solidFill>
                    <w14:schemeClr w14:val="tx1"/>
                  </w14:solidFill>
                </w14:textFill>
              </w:rPr>
              <w:t>污染物实际排放总量</w:t>
            </w:r>
          </w:p>
          <w:p w14:paraId="216C9439">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cs="宋体"/>
                <w:bCs/>
                <w:color w:val="000000" w:themeColor="text1"/>
                <w:sz w:val="21"/>
                <w:szCs w:val="21"/>
                <w:highlight w:val="none"/>
                <w14:textFill>
                  <w14:solidFill>
                    <w14:schemeClr w14:val="tx1"/>
                  </w14:solidFill>
                </w14:textFill>
              </w:rPr>
              <w:t>（</w:t>
            </w:r>
            <w:r>
              <w:rPr>
                <w:rFonts w:hint="eastAsia" w:cs="宋体"/>
                <w:bCs/>
                <w:color w:val="000000" w:themeColor="text1"/>
                <w:sz w:val="21"/>
                <w:szCs w:val="21"/>
                <w:highlight w:val="none"/>
                <w14:textFill>
                  <w14:solidFill>
                    <w14:schemeClr w14:val="tx1"/>
                  </w14:solidFill>
                </w14:textFill>
              </w:rPr>
              <w:t>1</w:t>
            </w:r>
            <w:r>
              <w:rPr>
                <w:rFonts w:cs="宋体"/>
                <w:bCs/>
                <w:color w:val="000000" w:themeColor="text1"/>
                <w:sz w:val="21"/>
                <w:szCs w:val="21"/>
                <w:highlight w:val="none"/>
                <w14:textFill>
                  <w14:solidFill>
                    <w14:schemeClr w14:val="tx1"/>
                  </w14:solidFill>
                </w14:textFill>
              </w:rPr>
              <w:t>）废气</w:t>
            </w:r>
          </w:p>
          <w:p w14:paraId="42B1A1C5">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14:textFill>
                  <w14:solidFill>
                    <w14:schemeClr w14:val="tx1"/>
                  </w14:solidFill>
                </w14:textFill>
              </w:rPr>
              <w:t>现有项目</w:t>
            </w:r>
            <w:r>
              <w:rPr>
                <w:rFonts w:hint="eastAsia" w:cs="宋体"/>
                <w:bCs/>
                <w:color w:val="000000" w:themeColor="text1"/>
                <w:sz w:val="21"/>
                <w:szCs w:val="21"/>
                <w:highlight w:val="none"/>
                <w:lang w:val="en-US" w:eastAsia="zh-CN"/>
                <w14:textFill>
                  <w14:solidFill>
                    <w14:schemeClr w14:val="tx1"/>
                  </w14:solidFill>
                </w14:textFill>
              </w:rPr>
              <w:t>卤牛肉是经过蒸煮加工，无油炸、炒工艺，因此基本无油烟产生，本次环评不再定量评价；现有项目污水处理工艺较为简单，废水经处理后吨桶密闭储存后转运至茶厂施肥，因此污水处理废气产生较低，本次环评不再定量评价。因此，现有项目废气主要为</w:t>
            </w:r>
            <w:r>
              <w:rPr>
                <w:rFonts w:hint="eastAsia" w:cs="宋体"/>
                <w:color w:val="000000" w:themeColor="text1"/>
                <w:sz w:val="21"/>
                <w:szCs w:val="21"/>
                <w:highlight w:val="none"/>
                <w:lang w:val="en-US" w:eastAsia="zh-CN"/>
                <w14:textFill>
                  <w14:solidFill>
                    <w14:schemeClr w14:val="tx1"/>
                  </w14:solidFill>
                </w14:textFill>
              </w:rPr>
              <w:t>圈养区域和屠宰车间产生的氨气和硫化氢。</w:t>
            </w:r>
          </w:p>
          <w:p w14:paraId="6AA7F878">
            <w:pPr>
              <w:spacing w:line="360" w:lineRule="auto"/>
              <w:ind w:firstLine="422"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圈养区废气：</w:t>
            </w:r>
            <w:r>
              <w:rPr>
                <w:rFonts w:hint="eastAsia" w:cs="宋体"/>
                <w:color w:val="000000" w:themeColor="text1"/>
                <w:sz w:val="21"/>
                <w:szCs w:val="21"/>
                <w:highlight w:val="none"/>
                <w:lang w:val="en-US" w:eastAsia="zh-CN"/>
                <w14:textFill>
                  <w14:solidFill>
                    <w14:schemeClr w14:val="tx1"/>
                  </w14:solidFill>
                </w14:textFill>
              </w:rPr>
              <w:t>根据《排污许可证申请与核发技术规范 畜禽养殖行业》（HJ1029-2019）表9各类畜禽污染物产生量-肉牛粪便产生量为10.88kg/d·头/只，现有项目存栏量为500头/a，粪便产生量为5.44t/a。氨产生量系数为3.89g/kg，硫化氢产生系数为0.32g/kg，则一期项目氨产生量为0.0212t/a，硫化氢产生量为0.0017t/a。废气在圈养区内无组织排放。</w:t>
            </w:r>
          </w:p>
          <w:p w14:paraId="1A6A1A3F">
            <w:pPr>
              <w:spacing w:line="360" w:lineRule="auto"/>
              <w:ind w:firstLine="422" w:firstLineChars="200"/>
              <w:rPr>
                <w:rFonts w:hint="eastAsia"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屠宰</w:t>
            </w:r>
            <w:r>
              <w:rPr>
                <w:rFonts w:hint="eastAsia" w:ascii="Times New Roman" w:hAnsi="Times New Roman" w:cs="宋体"/>
                <w:b/>
                <w:bCs/>
                <w:color w:val="000000" w:themeColor="text1"/>
                <w:sz w:val="21"/>
                <w:szCs w:val="21"/>
                <w:highlight w:val="none"/>
                <w:lang w:val="en-US" w:eastAsia="zh-CN"/>
                <w14:textFill>
                  <w14:solidFill>
                    <w14:schemeClr w14:val="tx1"/>
                  </w14:solidFill>
                </w14:textFill>
              </w:rPr>
              <w:t>圈废气：</w:t>
            </w:r>
            <w:r>
              <w:rPr>
                <w:rFonts w:hint="eastAsia" w:ascii="Times New Roman" w:hAnsi="Times New Roman" w:cs="宋体"/>
                <w:b w:val="0"/>
                <w:bCs w:val="0"/>
                <w:color w:val="000000" w:themeColor="text1"/>
                <w:sz w:val="21"/>
                <w:szCs w:val="21"/>
                <w:highlight w:val="none"/>
                <w:lang w:val="en-US" w:eastAsia="zh-CN"/>
                <w14:textFill>
                  <w14:solidFill>
                    <w14:schemeClr w14:val="tx1"/>
                  </w14:solidFill>
                </w14:textFill>
              </w:rPr>
              <w:t>类比《江苏富康食品有限公司生猪定点屠宰场改造提升环境影响报告书》可知，生猪屠宰车间屠宰100头生猪时恶臭污染物产生量为氨0.76kg、硫化氢0.07kg。</w:t>
            </w:r>
            <w:r>
              <w:rPr>
                <w:rFonts w:hint="eastAsia" w:cs="宋体"/>
                <w:color w:val="000000" w:themeColor="text1"/>
                <w:sz w:val="21"/>
                <w:szCs w:val="21"/>
                <w:highlight w:val="none"/>
                <w:lang w:val="en-US" w:eastAsia="zh-CN"/>
                <w14:textFill>
                  <w14:solidFill>
                    <w14:schemeClr w14:val="tx1"/>
                  </w14:solidFill>
                </w14:textFill>
              </w:rPr>
              <w:t>根据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《排污许可证申请与核发技术规范 农副食品加工工业</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屠宰及肉类加工工业》（</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HJ860.3-2018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，生猪的活屠重为110kg/头，肉牛的活屠重为500kg/头，则原有项目氨产生量为0.0173t/a，硫化氢产生量为0.0016t/a。</w:t>
            </w:r>
          </w:p>
          <w:p w14:paraId="10611765">
            <w:pPr>
              <w:spacing w:line="360" w:lineRule="auto"/>
              <w:ind w:firstLine="420" w:firstLineChars="200"/>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则原有项目废气氨实际排放量为0.0385t/a；硫化氢实际排放量0.0033t/a。</w:t>
            </w:r>
          </w:p>
          <w:p w14:paraId="11479764">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14:textFill>
                  <w14:solidFill>
                    <w14:schemeClr w14:val="tx1"/>
                  </w14:solidFill>
                </w14:textFill>
              </w:rPr>
              <w:t>（2）废水</w:t>
            </w:r>
          </w:p>
          <w:p w14:paraId="68A35E11">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14:textFill>
                  <w14:solidFill>
                    <w14:schemeClr w14:val="tx1"/>
                  </w14:solidFill>
                </w14:textFill>
              </w:rPr>
              <w:t>现</w:t>
            </w:r>
            <w:r>
              <w:rPr>
                <w:rFonts w:cs="宋体"/>
                <w:bCs/>
                <w:color w:val="000000" w:themeColor="text1"/>
                <w:sz w:val="21"/>
                <w:szCs w:val="21"/>
                <w:highlight w:val="none"/>
                <w14:textFill>
                  <w14:solidFill>
                    <w14:schemeClr w14:val="tx1"/>
                  </w14:solidFill>
                </w14:textFill>
              </w:rPr>
              <w:t>有项目</w:t>
            </w:r>
            <w:r>
              <w:rPr>
                <w:rFonts w:hint="eastAsia" w:cs="宋体"/>
                <w:bCs/>
                <w:color w:val="000000" w:themeColor="text1"/>
                <w:sz w:val="21"/>
                <w:szCs w:val="21"/>
                <w:highlight w:val="none"/>
                <w:lang w:val="en-US" w:eastAsia="zh-CN"/>
                <w14:textFill>
                  <w14:solidFill>
                    <w14:schemeClr w14:val="tx1"/>
                  </w14:solidFill>
                </w14:textFill>
              </w:rPr>
              <w:t>水牛临时饲养、屠宰、场地冲洗废水与生活用水经“</w:t>
            </w:r>
            <w:r>
              <w:rPr>
                <w:rFonts w:hint="eastAsia" w:ascii="Times New Roman" w:hAnsi="Times New Roman" w:eastAsia="宋体" w:cs="Times New Roman"/>
                <w:smallCaps w:val="0"/>
                <w:snapToGrid w:val="0"/>
                <w:color w:val="000000" w:themeColor="text1"/>
                <w:sz w:val="21"/>
                <w:szCs w:val="21"/>
                <w:lang w:val="en-US" w:eastAsia="zh-CN"/>
                <w14:textFill>
                  <w14:solidFill>
                    <w14:schemeClr w14:val="tx1"/>
                  </w14:solidFill>
                </w14:textFill>
              </w:rPr>
              <w:t>沼气池+絮凝沉淀</w:t>
            </w:r>
            <w:r>
              <w:rPr>
                <w:rFonts w:hint="eastAsia" w:cs="宋体"/>
                <w:bCs/>
                <w:color w:val="000000" w:themeColor="text1"/>
                <w:sz w:val="21"/>
                <w:szCs w:val="21"/>
                <w:highlight w:val="none"/>
                <w:lang w:val="en-US" w:eastAsia="zh-CN"/>
                <w14:textFill>
                  <w14:solidFill>
                    <w14:schemeClr w14:val="tx1"/>
                  </w14:solidFill>
                </w14:textFill>
              </w:rPr>
              <w:t>”后全部综合利用（用于茶厂施肥）及绿化灌溉，零排放</w:t>
            </w:r>
            <w:r>
              <w:rPr>
                <w:rFonts w:cs="宋体"/>
                <w:bCs/>
                <w:color w:val="000000" w:themeColor="text1"/>
                <w:sz w:val="21"/>
                <w:szCs w:val="21"/>
                <w:highlight w:val="none"/>
                <w14:textFill>
                  <w14:solidFill>
                    <w14:schemeClr w14:val="tx1"/>
                  </w14:solidFill>
                </w14:textFill>
              </w:rPr>
              <w:t>。</w:t>
            </w:r>
          </w:p>
          <w:p w14:paraId="5A071C2B">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14:textFill>
                  <w14:solidFill>
                    <w14:schemeClr w14:val="tx1"/>
                  </w14:solidFill>
                </w14:textFill>
              </w:rPr>
              <w:t>（3）噪声</w:t>
            </w:r>
          </w:p>
          <w:p w14:paraId="2BB81437">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cs="宋体"/>
                <w:bCs/>
                <w:color w:val="000000" w:themeColor="text1"/>
                <w:sz w:val="21"/>
                <w:szCs w:val="21"/>
                <w:highlight w:val="none"/>
                <w14:textFill>
                  <w14:solidFill>
                    <w14:schemeClr w14:val="tx1"/>
                  </w14:solidFill>
                </w14:textFill>
              </w:rPr>
              <w:t>现有项目噪声源主要为</w:t>
            </w:r>
            <w:r>
              <w:rPr>
                <w:rFonts w:hint="eastAsia" w:cs="宋体"/>
                <w:bCs/>
                <w:color w:val="000000" w:themeColor="text1"/>
                <w:sz w:val="21"/>
                <w:szCs w:val="21"/>
                <w:highlight w:val="none"/>
                <w:lang w:val="en-US" w:eastAsia="zh-CN"/>
                <w14:textFill>
                  <w14:solidFill>
                    <w14:schemeClr w14:val="tx1"/>
                  </w14:solidFill>
                </w14:textFill>
              </w:rPr>
              <w:t>设备噪声及动物叫声</w:t>
            </w:r>
            <w:r>
              <w:rPr>
                <w:rFonts w:cs="宋体"/>
                <w:bCs/>
                <w:color w:val="000000" w:themeColor="text1"/>
                <w:sz w:val="21"/>
                <w:szCs w:val="21"/>
                <w:highlight w:val="none"/>
                <w14:textFill>
                  <w14:solidFill>
                    <w14:schemeClr w14:val="tx1"/>
                  </w14:solidFill>
                </w14:textFill>
              </w:rPr>
              <w:t>。生产时车间密闭，设备安装采取有效的防震、降噪措施，并加强生产管理。</w:t>
            </w:r>
          </w:p>
          <w:p w14:paraId="153B3C7B">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hint="eastAsia" w:cs="宋体"/>
                <w:bCs/>
                <w:color w:val="000000" w:themeColor="text1"/>
                <w:sz w:val="21"/>
                <w:szCs w:val="21"/>
                <w:highlight w:val="none"/>
                <w14:textFill>
                  <w14:solidFill>
                    <w14:schemeClr w14:val="tx1"/>
                  </w14:solidFill>
                </w14:textFill>
              </w:rPr>
              <w:t>（4）固废</w:t>
            </w:r>
          </w:p>
          <w:p w14:paraId="4F8D747B">
            <w:pPr>
              <w:spacing w:line="360" w:lineRule="auto"/>
              <w:ind w:firstLine="420" w:firstLineChars="200"/>
              <w:rPr>
                <w:rFonts w:cs="宋体"/>
                <w:bCs/>
                <w:color w:val="000000" w:themeColor="text1"/>
                <w:sz w:val="21"/>
                <w:szCs w:val="21"/>
                <w:highlight w:val="none"/>
                <w14:textFill>
                  <w14:solidFill>
                    <w14:schemeClr w14:val="tx1"/>
                  </w14:solidFill>
                </w14:textFill>
              </w:rPr>
            </w:pPr>
            <w:r>
              <w:rPr>
                <w:rFonts w:cs="宋体"/>
                <w:bCs/>
                <w:color w:val="000000" w:themeColor="text1"/>
                <w:sz w:val="21"/>
                <w:szCs w:val="21"/>
                <w:highlight w:val="none"/>
                <w14:textFill>
                  <w14:solidFill>
                    <w14:schemeClr w14:val="tx1"/>
                  </w14:solidFill>
                </w14:textFill>
              </w:rPr>
              <w:t>现有项目</w:t>
            </w:r>
            <w:r>
              <w:rPr>
                <w:rFonts w:hint="eastAsia" w:cs="宋体"/>
                <w:bCs/>
                <w:color w:val="000000" w:themeColor="text1"/>
                <w:sz w:val="21"/>
                <w:szCs w:val="21"/>
                <w:highlight w:val="none"/>
                <w:lang w:val="en-US" w:eastAsia="zh-CN"/>
                <w14:textFill>
                  <w14:solidFill>
                    <w14:schemeClr w14:val="tx1"/>
                  </w14:solidFill>
                </w14:textFill>
              </w:rPr>
              <w:t>屠宰废渣</w:t>
            </w:r>
            <w:r>
              <w:rPr>
                <w:rFonts w:hint="eastAsia" w:cs="宋体"/>
                <w:bCs/>
                <w:color w:val="000000" w:themeColor="text1"/>
                <w:sz w:val="21"/>
                <w:szCs w:val="21"/>
                <w:highlight w:val="none"/>
                <w14:textFill>
                  <w14:solidFill>
                    <w14:schemeClr w14:val="tx1"/>
                  </w14:solidFill>
                </w14:textFill>
              </w:rPr>
              <w:t>综合利用，生活垃圾由环卫部门统一清运</w:t>
            </w:r>
            <w:r>
              <w:rPr>
                <w:rFonts w:cs="宋体"/>
                <w:bCs/>
                <w:color w:val="000000" w:themeColor="text1"/>
                <w:sz w:val="21"/>
                <w:szCs w:val="21"/>
                <w:highlight w:val="none"/>
                <w14:textFill>
                  <w14:solidFill>
                    <w14:schemeClr w14:val="tx1"/>
                  </w14:solidFill>
                </w14:textFill>
              </w:rPr>
              <w:t>。固体废物综合处置率100%，不直接排放，对周围环境无直接</w:t>
            </w:r>
            <w:r>
              <w:rPr>
                <w:rFonts w:hint="eastAsia" w:cs="宋体"/>
                <w:bCs/>
                <w:color w:val="000000" w:themeColor="text1"/>
                <w:sz w:val="21"/>
                <w:szCs w:val="21"/>
                <w:highlight w:val="none"/>
                <w14:textFill>
                  <w14:solidFill>
                    <w14:schemeClr w14:val="tx1"/>
                  </w14:solidFill>
                </w14:textFill>
              </w:rPr>
              <w:t>影响。</w:t>
            </w:r>
          </w:p>
          <w:p w14:paraId="4716AF0C">
            <w:pPr>
              <w:spacing w:line="360" w:lineRule="auto"/>
              <w:ind w:firstLine="422" w:firstLineChars="200"/>
              <w:rPr>
                <w:rFonts w:cs="宋体"/>
                <w:b/>
                <w:color w:val="000000" w:themeColor="text1"/>
                <w:sz w:val="21"/>
                <w:szCs w:val="21"/>
                <w:highlight w:val="none"/>
                <w14:textFill>
                  <w14:solidFill>
                    <w14:schemeClr w14:val="tx1"/>
                  </w14:solidFill>
                </w14:textFill>
              </w:rPr>
            </w:pPr>
            <w:r>
              <w:rPr>
                <w:rFonts w:hint="eastAsia" w:cs="宋体"/>
                <w:b/>
                <w:color w:val="000000" w:themeColor="text1"/>
                <w:sz w:val="21"/>
                <w:szCs w:val="21"/>
                <w:highlight w:val="none"/>
                <w14:textFill>
                  <w14:solidFill>
                    <w14:schemeClr w14:val="tx1"/>
                  </w14:solidFill>
                </w14:textFill>
              </w:rPr>
              <w:t>3</w:t>
            </w:r>
            <w:r>
              <w:rPr>
                <w:rFonts w:cs="宋体"/>
                <w:b/>
                <w:color w:val="000000" w:themeColor="text1"/>
                <w:sz w:val="21"/>
                <w:szCs w:val="21"/>
                <w:highlight w:val="none"/>
                <w14:textFill>
                  <w14:solidFill>
                    <w14:schemeClr w14:val="tx1"/>
                  </w14:solidFill>
                </w14:textFill>
              </w:rPr>
              <w:t>、</w:t>
            </w:r>
            <w:r>
              <w:rPr>
                <w:rFonts w:hint="eastAsia" w:cs="宋体"/>
                <w:b/>
                <w:color w:val="000000" w:themeColor="text1"/>
                <w:sz w:val="21"/>
                <w:szCs w:val="21"/>
                <w:highlight w:val="none"/>
                <w14:textFill>
                  <w14:solidFill>
                    <w14:schemeClr w14:val="tx1"/>
                  </w14:solidFill>
                </w14:textFill>
              </w:rPr>
              <w:t>主要环境问题及整改措施</w:t>
            </w:r>
          </w:p>
          <w:p w14:paraId="0A4DD4E8">
            <w:pPr>
              <w:spacing w:line="360" w:lineRule="auto"/>
              <w:ind w:firstLine="420" w:firstLineChars="2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现有项目已按照环评批复建成且完成验收，各项环保手续完整；</w:t>
            </w:r>
            <w:r>
              <w:rPr>
                <w:rFonts w:hint="eastAsia"/>
                <w:color w:val="000000" w:themeColor="text1"/>
                <w:szCs w:val="21"/>
                <w:lang w:val="en-US" w:eastAsia="zh-CN"/>
                <w14:textFill>
                  <w14:solidFill>
                    <w14:schemeClr w14:val="tx1"/>
                  </w14:solidFill>
                </w14:textFill>
              </w:rPr>
              <w:t>屠宰量较低，废气产生量较少。</w:t>
            </w:r>
          </w:p>
          <w:p w14:paraId="2C6DF76E">
            <w:pPr>
              <w:spacing w:line="360" w:lineRule="auto"/>
              <w:ind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主要环境问题：现有项目环评编制较早，屠宰、肉类加工污染环节污染物产生分析不全面。现有项目主要环境问题：</w:t>
            </w:r>
          </w:p>
          <w:p w14:paraId="48307D6B">
            <w:pPr>
              <w:numPr>
                <w:ilvl w:val="0"/>
                <w:numId w:val="5"/>
              </w:numPr>
              <w:spacing w:line="360" w:lineRule="auto"/>
              <w:ind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圈养区废气以及</w:t>
            </w:r>
            <w:r>
              <w:rPr>
                <w:rFonts w:hint="eastAsia" w:ascii="Times New Roman" w:hAnsi="Times New Roman" w:eastAsia="宋体" w:cs="宋体"/>
                <w:b/>
                <w:bCs/>
                <w:color w:val="000000" w:themeColor="text1"/>
                <w:sz w:val="21"/>
                <w:szCs w:val="21"/>
                <w:highlight w:val="none"/>
                <w14:textFill>
                  <w14:solidFill>
                    <w14:schemeClr w14:val="tx1"/>
                  </w14:solidFill>
                </w14:textFill>
              </w:rPr>
              <w:t>屠宰</w:t>
            </w:r>
            <w:r>
              <w:rPr>
                <w:rFonts w:hint="eastAsia" w:ascii="Times New Roman" w:hAnsi="Times New Roman" w:cs="宋体"/>
                <w:b/>
                <w:bCs/>
                <w:color w:val="000000" w:themeColor="text1"/>
                <w:sz w:val="21"/>
                <w:szCs w:val="21"/>
                <w:highlight w:val="none"/>
                <w:lang w:val="en-US" w:eastAsia="zh-CN"/>
                <w14:textFill>
                  <w14:solidFill>
                    <w14:schemeClr w14:val="tx1"/>
                  </w14:solidFill>
                </w14:textFill>
              </w:rPr>
              <w:t>圈废气</w:t>
            </w:r>
            <w:r>
              <w:rPr>
                <w:rFonts w:hint="eastAsia" w:cs="宋体"/>
                <w:bCs/>
                <w:color w:val="000000" w:themeColor="text1"/>
                <w:sz w:val="21"/>
                <w:szCs w:val="21"/>
                <w:highlight w:val="none"/>
                <w:lang w:val="en-US" w:eastAsia="zh-CN"/>
                <w14:textFill>
                  <w14:solidFill>
                    <w14:schemeClr w14:val="tx1"/>
                  </w14:solidFill>
                </w14:textFill>
              </w:rPr>
              <w:t>未设置有效的废气收集、处理设施。</w:t>
            </w:r>
          </w:p>
          <w:p w14:paraId="56C49E7D">
            <w:pPr>
              <w:numPr>
                <w:ilvl w:val="0"/>
                <w:numId w:val="5"/>
              </w:numPr>
              <w:spacing w:line="360" w:lineRule="auto"/>
              <w:ind w:firstLine="420" w:firstLineChars="200"/>
              <w:rPr>
                <w:rFonts w:hint="default"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原环评固废识别不全，牛粪处置不规范，现有项目产生少量的牛粪由厂区以及周边农户施肥。</w:t>
            </w:r>
          </w:p>
          <w:p w14:paraId="39BA0485">
            <w:pPr>
              <w:numPr>
                <w:ilvl w:val="0"/>
                <w:numId w:val="5"/>
              </w:numPr>
              <w:spacing w:line="360" w:lineRule="auto"/>
              <w:ind w:firstLine="420" w:firstLineChars="200"/>
              <w:rPr>
                <w:rFonts w:hint="default"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污水处理工艺较为简单，茶厂施肥以及绿化过程中消化不充分时可能会污染周边地表水环境以及地下水环境。</w:t>
            </w:r>
          </w:p>
          <w:p w14:paraId="425E9F2E">
            <w:pPr>
              <w:spacing w:line="360" w:lineRule="auto"/>
              <w:ind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整改措施：</w:t>
            </w:r>
          </w:p>
          <w:p w14:paraId="767F081C">
            <w:pPr>
              <w:numPr>
                <w:ilvl w:val="0"/>
                <w:numId w:val="6"/>
              </w:numPr>
              <w:spacing w:line="360" w:lineRule="auto"/>
              <w:ind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通过本次扩建项目，完善现有项目工艺链，补充分析各环节产排污，在屠宰、肉类加工环节设置有效的废气收集措施，通过生物除臭装置处理，15m高排气筒FQ-1排放。</w:t>
            </w:r>
          </w:p>
          <w:p w14:paraId="3658909E">
            <w:pPr>
              <w:numPr>
                <w:ilvl w:val="0"/>
                <w:numId w:val="6"/>
              </w:numPr>
              <w:spacing w:line="360" w:lineRule="auto"/>
              <w:ind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新建牛粪储存间，牛粪委托常州市宏宝生物科技有限公司无害化处置。</w:t>
            </w:r>
          </w:p>
          <w:p w14:paraId="3A34AFDF">
            <w:pPr>
              <w:numPr>
                <w:ilvl w:val="0"/>
                <w:numId w:val="6"/>
              </w:numPr>
              <w:spacing w:line="360" w:lineRule="auto"/>
              <w:ind w:left="0" w:leftChars="0" w:firstLine="420" w:firstLineChars="200"/>
              <w:rPr>
                <w:rFonts w:hint="eastAsia"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提升改造现有废水处理设施，生产废水与生活污水经预处理后与生活污水一并接管至指前污水处理厂。</w:t>
            </w:r>
          </w:p>
          <w:p w14:paraId="6CDFF634">
            <w:pPr>
              <w:numPr>
                <w:ilvl w:val="0"/>
                <w:numId w:val="0"/>
              </w:numPr>
              <w:spacing w:line="360" w:lineRule="auto"/>
              <w:ind w:leftChars="200"/>
              <w:rPr>
                <w:rFonts w:hint="default" w:cs="宋体"/>
                <w:bCs/>
                <w:color w:val="000000" w:themeColor="text1"/>
                <w:sz w:val="21"/>
                <w:szCs w:val="21"/>
                <w:highlight w:val="none"/>
                <w:lang w:val="en-US" w:eastAsia="zh-CN"/>
                <w14:textFill>
                  <w14:solidFill>
                    <w14:schemeClr w14:val="tx1"/>
                  </w14:solidFill>
                </w14:textFill>
              </w:rPr>
            </w:pPr>
          </w:p>
        </w:tc>
      </w:tr>
    </w:tbl>
    <w:p w14:paraId="59EB5F1F">
      <w:pPr>
        <w:pStyle w:val="22"/>
        <w:widowControl w:val="0"/>
        <w:jc w:val="center"/>
        <w:rPr>
          <w:rFonts w:ascii="Times New Roman" w:hAnsi="Times New Roman" w:eastAsia="宋体" w:cs="宋体"/>
          <w:snapToGrid w:val="0"/>
          <w:color w:val="000000" w:themeColor="text1"/>
          <w:sz w:val="36"/>
          <w:szCs w:val="36"/>
          <w:highlight w:val="none"/>
          <w14:textFill>
            <w14:solidFill>
              <w14:schemeClr w14:val="tx1"/>
            </w14:solidFill>
          </w14:textFill>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14:paraId="432F81B1">
      <w:pPr>
        <w:pStyle w:val="22"/>
        <w:widowControl w:val="0"/>
        <w:jc w:val="center"/>
        <w:outlineLvl w:val="0"/>
        <w:rPr>
          <w:rFonts w:ascii="Times New Roman" w:hAnsi="Times New Roman" w:eastAsia="宋体" w:cs="宋体"/>
          <w:b/>
          <w:bCs/>
          <w:snapToGrid w:val="0"/>
          <w:color w:val="000000" w:themeColor="text1"/>
          <w:sz w:val="30"/>
          <w:szCs w:val="30"/>
          <w:highlight w:val="none"/>
          <w14:textFill>
            <w14:solidFill>
              <w14:schemeClr w14:val="tx1"/>
            </w14:solidFill>
          </w14:textFill>
        </w:rPr>
      </w:pPr>
      <w:bookmarkStart w:id="6" w:name="_Toc25308"/>
      <w:r>
        <w:rPr>
          <w:rFonts w:hint="eastAsia" w:ascii="Times New Roman" w:hAnsi="Times New Roman" w:eastAsia="宋体" w:cs="宋体"/>
          <w:b/>
          <w:bCs/>
          <w:snapToGrid w:val="0"/>
          <w:color w:val="000000" w:themeColor="text1"/>
          <w:sz w:val="30"/>
          <w:szCs w:val="30"/>
          <w:highlight w:val="none"/>
          <w14:textFill>
            <w14:solidFill>
              <w14:schemeClr w14:val="tx1"/>
            </w14:solidFill>
          </w14:textFill>
        </w:rPr>
        <w:t>三、区域环境质量现状、环境保护目标及评价标准</w:t>
      </w:r>
      <w:bookmarkEnd w:id="6"/>
    </w:p>
    <w:tbl>
      <w:tblPr>
        <w:tblStyle w:val="25"/>
        <w:tblW w:w="0" w:type="auto"/>
        <w:tblInd w:w="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8629"/>
      </w:tblGrid>
      <w:tr w14:paraId="51812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16" w:type="dxa"/>
            <w:tcBorders>
              <w:tl2br w:val="nil"/>
              <w:tr2bl w:val="nil"/>
            </w:tcBorders>
            <w:vAlign w:val="center"/>
          </w:tcPr>
          <w:p w14:paraId="5AF75250">
            <w:pPr>
              <w:pStyle w:val="22"/>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t>区域环境质量现状</w:t>
            </w:r>
          </w:p>
        </w:tc>
        <w:tc>
          <w:tcPr>
            <w:tcW w:w="8639" w:type="dxa"/>
            <w:tcBorders>
              <w:tl2br w:val="nil"/>
              <w:tr2bl w:val="nil"/>
            </w:tcBorders>
          </w:tcPr>
          <w:p w14:paraId="3D569855">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1</w:t>
            </w:r>
            <w:r>
              <w:rPr>
                <w:rFonts w:ascii="Times New Roman" w:hAnsi="Times New Roman" w:eastAsia="宋体" w:cs="宋体"/>
                <w:b/>
                <w:bCs/>
                <w:color w:val="000000" w:themeColor="text1"/>
                <w:sz w:val="21"/>
                <w:szCs w:val="21"/>
                <w:highlight w:val="none"/>
                <w14:textFill>
                  <w14:solidFill>
                    <w14:schemeClr w14:val="tx1"/>
                  </w14:solidFill>
                </w14:textFill>
              </w:rPr>
              <w:t>、大气环境质量现状</w:t>
            </w:r>
          </w:p>
          <w:p w14:paraId="3736C529">
            <w:pPr>
              <w:autoSpaceDE w:val="0"/>
              <w:autoSpaceDN w:val="0"/>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w:t>
            </w:r>
            <w:r>
              <w:rPr>
                <w:rFonts w:ascii="Times New Roman" w:hAnsi="Times New Roman" w:eastAsia="宋体" w:cs="宋体"/>
                <w:color w:val="000000" w:themeColor="text1"/>
                <w:spacing w:val="6"/>
                <w:sz w:val="21"/>
                <w:szCs w:val="21"/>
                <w:highlight w:val="none"/>
                <w14:textFill>
                  <w14:solidFill>
                    <w14:schemeClr w14:val="tx1"/>
                  </w14:solidFill>
                </w14:textFill>
              </w:rPr>
              <w:t>空气质量达标区域判定</w:t>
            </w:r>
          </w:p>
          <w:p w14:paraId="7FD88BBC">
            <w:pPr>
              <w:pStyle w:val="51"/>
              <w:adjustRightInd/>
              <w:snapToGrid/>
              <w:spacing w:beforeLines="0" w:line="360" w:lineRule="auto"/>
              <w:ind w:firstLine="504"/>
              <w:rPr>
                <w:rFonts w:ascii="Times New Roman" w:hAnsi="Times New Roman" w:eastAsia="宋体" w:cs="宋体"/>
                <w:color w:val="000000" w:themeColor="text1"/>
                <w:spacing w:val="6"/>
                <w:sz w:val="21"/>
                <w:szCs w:val="21"/>
                <w:highlight w:val="none"/>
                <w14:textFill>
                  <w14:solidFill>
                    <w14:schemeClr w14:val="tx1"/>
                  </w14:solidFill>
                </w14:textFill>
              </w:rPr>
            </w:pPr>
            <w:r>
              <w:rPr>
                <w:rFonts w:ascii="Times New Roman" w:hAnsi="Times New Roman" w:eastAsia="宋体" w:cs="宋体"/>
                <w:color w:val="000000" w:themeColor="text1"/>
                <w:spacing w:val="6"/>
                <w:sz w:val="21"/>
                <w:szCs w:val="21"/>
                <w:highlight w:val="none"/>
                <w14:textFill>
                  <w14:solidFill>
                    <w14:schemeClr w14:val="tx1"/>
                  </w14:solidFill>
                </w14:textFill>
              </w:rPr>
              <w:t>根据《</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20</w:t>
            </w:r>
            <w:r>
              <w:rPr>
                <w:rFonts w:hint="eastAsia" w:ascii="Times New Roman" w:hAnsi="Times New Roman" w:cs="宋体"/>
                <w:color w:val="000000" w:themeColor="text1"/>
                <w:spacing w:val="6"/>
                <w:sz w:val="21"/>
                <w:szCs w:val="21"/>
                <w:highlight w:val="none"/>
                <w:lang w:val="en-US" w:eastAsia="zh-CN"/>
                <w14:textFill>
                  <w14:solidFill>
                    <w14:schemeClr w14:val="tx1"/>
                  </w14:solidFill>
                </w14:textFill>
              </w:rPr>
              <w:t>24</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年常州市生态环境状况公报</w:t>
            </w:r>
            <w:r>
              <w:rPr>
                <w:rFonts w:ascii="Times New Roman" w:hAnsi="Times New Roman" w:eastAsia="宋体" w:cs="宋体"/>
                <w:color w:val="000000" w:themeColor="text1"/>
                <w:spacing w:val="6"/>
                <w:sz w:val="21"/>
                <w:szCs w:val="21"/>
                <w:highlight w:val="none"/>
                <w14:textFill>
                  <w14:solidFill>
                    <w14:schemeClr w14:val="tx1"/>
                  </w14:solidFill>
                </w14:textFill>
              </w:rPr>
              <w:t>》，项目所在区域</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常州</w:t>
            </w:r>
            <w:r>
              <w:rPr>
                <w:rFonts w:ascii="Times New Roman" w:hAnsi="Times New Roman" w:eastAsia="宋体" w:cs="宋体"/>
                <w:color w:val="000000" w:themeColor="text1"/>
                <w:spacing w:val="6"/>
                <w:sz w:val="21"/>
                <w:szCs w:val="21"/>
                <w:highlight w:val="none"/>
                <w14:textFill>
                  <w14:solidFill>
                    <w14:schemeClr w14:val="tx1"/>
                  </w14:solidFill>
                </w14:textFill>
              </w:rPr>
              <w:t>市各评价因子数据见</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下表</w:t>
            </w:r>
            <w:r>
              <w:rPr>
                <w:rFonts w:ascii="Times New Roman" w:hAnsi="Times New Roman" w:eastAsia="宋体" w:cs="宋体"/>
                <w:color w:val="000000" w:themeColor="text1"/>
                <w:spacing w:val="6"/>
                <w:sz w:val="21"/>
                <w:szCs w:val="21"/>
                <w:highlight w:val="none"/>
                <w14:textFill>
                  <w14:solidFill>
                    <w14:schemeClr w14:val="tx1"/>
                  </w14:solidFill>
                </w14:textFill>
              </w:rPr>
              <w:t>。</w:t>
            </w:r>
          </w:p>
          <w:p w14:paraId="679EFC66">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表3-</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1</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20</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w:t>
            </w:r>
            <w:r>
              <w:rPr>
                <w:rFonts w:hint="eastAsia" w:cs="宋体"/>
                <w:b/>
                <w:bCs/>
                <w:color w:val="000000" w:themeColor="text1"/>
                <w:spacing w:val="-4"/>
                <w:sz w:val="21"/>
                <w:szCs w:val="21"/>
                <w:highlight w:val="none"/>
                <w:lang w:val="en-US" w:eastAsia="zh-CN"/>
                <w14:textFill>
                  <w14:solidFill>
                    <w14:schemeClr w14:val="tx1"/>
                  </w14:solidFill>
                </w14:textFill>
              </w:rPr>
              <w:t>4</w:t>
            </w:r>
            <w:r>
              <w:rPr>
                <w:rFonts w:ascii="Times New Roman" w:hAnsi="Times New Roman" w:eastAsia="宋体" w:cs="宋体"/>
                <w:b/>
                <w:bCs/>
                <w:color w:val="000000" w:themeColor="text1"/>
                <w:spacing w:val="-4"/>
                <w:sz w:val="21"/>
                <w:szCs w:val="21"/>
                <w:highlight w:val="none"/>
                <w14:textFill>
                  <w14:solidFill>
                    <w14:schemeClr w14:val="tx1"/>
                  </w14:solidFill>
                </w14:textFill>
              </w:rPr>
              <w:t>年度</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常州</w:t>
            </w:r>
            <w:r>
              <w:rPr>
                <w:rFonts w:hint="eastAsia" w:cs="宋体"/>
                <w:b/>
                <w:bCs/>
                <w:color w:val="000000" w:themeColor="text1"/>
                <w:spacing w:val="-4"/>
                <w:sz w:val="21"/>
                <w:szCs w:val="21"/>
                <w:highlight w:val="none"/>
                <w:lang w:val="en-US" w:eastAsia="zh-CN"/>
                <w14:textFill>
                  <w14:solidFill>
                    <w14:schemeClr w14:val="tx1"/>
                  </w14:solidFill>
                </w14:textFill>
              </w:rPr>
              <w:t>市</w:t>
            </w:r>
            <w:r>
              <w:rPr>
                <w:rFonts w:ascii="Times New Roman" w:hAnsi="Times New Roman" w:eastAsia="宋体" w:cs="宋体"/>
                <w:b/>
                <w:bCs/>
                <w:color w:val="000000" w:themeColor="text1"/>
                <w:spacing w:val="-4"/>
                <w:sz w:val="21"/>
                <w:szCs w:val="21"/>
                <w:highlight w:val="none"/>
                <w14:textFill>
                  <w14:solidFill>
                    <w14:schemeClr w14:val="tx1"/>
                  </w14:solidFill>
                </w14:textFill>
              </w:rPr>
              <w:t>空气质量现状评价表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693"/>
              <w:gridCol w:w="4010"/>
              <w:gridCol w:w="1044"/>
              <w:gridCol w:w="1044"/>
              <w:gridCol w:w="699"/>
              <w:gridCol w:w="923"/>
            </w:tblGrid>
            <w:tr w14:paraId="1DF1CDF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shd w:val="clear" w:color="auto" w:fill="auto"/>
                  <w:vAlign w:val="center"/>
                </w:tcPr>
                <w:p w14:paraId="1414FD03">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污染物</w:t>
                  </w:r>
                </w:p>
              </w:tc>
              <w:tc>
                <w:tcPr>
                  <w:tcW w:w="2382" w:type="pct"/>
                  <w:shd w:val="clear" w:color="auto" w:fill="auto"/>
                  <w:vAlign w:val="center"/>
                </w:tcPr>
                <w:p w14:paraId="09420BCC">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年评价指标</w:t>
                  </w:r>
                </w:p>
              </w:tc>
              <w:tc>
                <w:tcPr>
                  <w:tcW w:w="620" w:type="pct"/>
                  <w:shd w:val="clear" w:color="auto" w:fill="auto"/>
                  <w:vAlign w:val="center"/>
                </w:tcPr>
                <w:p w14:paraId="1E6912F5">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现状浓度</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p>
                <w:p w14:paraId="1F600C38">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r>
                    <w:rPr>
                      <w:rFonts w:ascii="Times New Roman" w:hAnsi="Times New Roman" w:eastAsia="宋体" w:cs="宋体"/>
                      <w:b/>
                      <w:color w:val="000000" w:themeColor="text1"/>
                      <w:sz w:val="21"/>
                      <w:szCs w:val="21"/>
                      <w:highlight w:val="none"/>
                      <w14:textFill>
                        <w14:solidFill>
                          <w14:schemeClr w14:val="tx1"/>
                        </w14:solidFill>
                      </w14:textFill>
                    </w:rPr>
                    <w:t>μg</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/m</w:t>
                  </w:r>
                  <w:r>
                    <w:rPr>
                      <w:rFonts w:hint="eastAsia" w:ascii="Times New Roman" w:hAnsi="Times New Roman" w:eastAsia="宋体" w:cs="宋体"/>
                      <w:b/>
                      <w:color w:val="000000" w:themeColor="text1"/>
                      <w:kern w:val="0"/>
                      <w:sz w:val="21"/>
                      <w:szCs w:val="21"/>
                      <w:highlight w:val="none"/>
                      <w:vertAlign w:val="superscript"/>
                      <w14:textFill>
                        <w14:solidFill>
                          <w14:schemeClr w14:val="tx1"/>
                        </w14:solidFill>
                      </w14:textFill>
                    </w:rPr>
                    <w:t>3</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p>
              </w:tc>
              <w:tc>
                <w:tcPr>
                  <w:tcW w:w="620" w:type="pct"/>
                  <w:shd w:val="clear" w:color="auto" w:fill="auto"/>
                  <w:vAlign w:val="center"/>
                </w:tcPr>
                <w:p w14:paraId="5DCBBB6C">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标准值</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p>
                <w:p w14:paraId="12CF5F37">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r>
                    <w:rPr>
                      <w:rFonts w:ascii="Times New Roman" w:hAnsi="Times New Roman" w:eastAsia="宋体" w:cs="宋体"/>
                      <w:b/>
                      <w:color w:val="000000" w:themeColor="text1"/>
                      <w:sz w:val="21"/>
                      <w:szCs w:val="21"/>
                      <w:highlight w:val="none"/>
                      <w14:textFill>
                        <w14:solidFill>
                          <w14:schemeClr w14:val="tx1"/>
                        </w14:solidFill>
                      </w14:textFill>
                    </w:rPr>
                    <w:t>μg</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/m</w:t>
                  </w:r>
                  <w:r>
                    <w:rPr>
                      <w:rFonts w:hint="eastAsia" w:ascii="Times New Roman" w:hAnsi="Times New Roman" w:eastAsia="宋体" w:cs="宋体"/>
                      <w:b/>
                      <w:color w:val="000000" w:themeColor="text1"/>
                      <w:kern w:val="0"/>
                      <w:sz w:val="21"/>
                      <w:szCs w:val="21"/>
                      <w:highlight w:val="none"/>
                      <w:vertAlign w:val="superscript"/>
                      <w14:textFill>
                        <w14:solidFill>
                          <w14:schemeClr w14:val="tx1"/>
                        </w14:solidFill>
                      </w14:textFill>
                    </w:rPr>
                    <w:t>3</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p>
              </w:tc>
              <w:tc>
                <w:tcPr>
                  <w:tcW w:w="415" w:type="pct"/>
                  <w:shd w:val="clear" w:color="auto" w:fill="auto"/>
                  <w:vAlign w:val="center"/>
                </w:tcPr>
                <w:p w14:paraId="7D57401D">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14:textFill>
                        <w14:solidFill>
                          <w14:schemeClr w14:val="tx1"/>
                        </w14:solidFill>
                      </w14:textFill>
                    </w:rPr>
                    <w:t>达</w:t>
                  </w:r>
                  <w:r>
                    <w:rPr>
                      <w:rFonts w:ascii="Times New Roman" w:hAnsi="Times New Roman" w:eastAsia="宋体" w:cs="宋体"/>
                      <w:b/>
                      <w:color w:val="000000" w:themeColor="text1"/>
                      <w:kern w:val="0"/>
                      <w:sz w:val="21"/>
                      <w:szCs w:val="21"/>
                      <w:highlight w:val="none"/>
                      <w14:textFill>
                        <w14:solidFill>
                          <w14:schemeClr w14:val="tx1"/>
                        </w14:solidFill>
                      </w14:textFill>
                    </w:rPr>
                    <w:t>标率</w:t>
                  </w:r>
                </w:p>
                <w:p w14:paraId="7D278096">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14:textFill>
                        <w14:solidFill>
                          <w14:schemeClr w14:val="tx1"/>
                        </w14:solidFill>
                      </w14:textFill>
                    </w:rPr>
                    <w:t>/</w:t>
                  </w:r>
                  <w:r>
                    <w:rPr>
                      <w:rFonts w:ascii="Times New Roman" w:hAnsi="Times New Roman" w:eastAsia="宋体" w:cs="宋体"/>
                      <w:b/>
                      <w:color w:val="000000" w:themeColor="text1"/>
                      <w:kern w:val="0"/>
                      <w:sz w:val="21"/>
                      <w:szCs w:val="21"/>
                      <w:highlight w:val="none"/>
                      <w14:textFill>
                        <w14:solidFill>
                          <w14:schemeClr w14:val="tx1"/>
                        </w14:solidFill>
                      </w14:textFill>
                    </w:rPr>
                    <w:t>%</w:t>
                  </w:r>
                </w:p>
              </w:tc>
              <w:tc>
                <w:tcPr>
                  <w:tcW w:w="548" w:type="pct"/>
                  <w:shd w:val="clear" w:color="auto" w:fill="auto"/>
                  <w:vAlign w:val="center"/>
                </w:tcPr>
                <w:p w14:paraId="49E3693D">
                  <w:pPr>
                    <w:autoSpaceDE w:val="0"/>
                    <w:autoSpaceDN w:val="0"/>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达标情况</w:t>
                  </w:r>
                </w:p>
              </w:tc>
            </w:tr>
            <w:tr w14:paraId="58065E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restart"/>
                  <w:shd w:val="clear" w:color="auto" w:fill="auto"/>
                  <w:vAlign w:val="center"/>
                </w:tcPr>
                <w:p w14:paraId="426D5BAA">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SO</w:t>
                  </w:r>
                  <w:r>
                    <w:rPr>
                      <w:rFonts w:ascii="Times New Roman" w:hAnsi="Times New Roman" w:eastAsia="宋体" w:cs="宋体"/>
                      <w:color w:val="000000" w:themeColor="text1"/>
                      <w:kern w:val="0"/>
                      <w:sz w:val="21"/>
                      <w:szCs w:val="21"/>
                      <w:highlight w:val="none"/>
                      <w:vertAlign w:val="subscript"/>
                      <w14:textFill>
                        <w14:solidFill>
                          <w14:schemeClr w14:val="tx1"/>
                        </w14:solidFill>
                      </w14:textFill>
                    </w:rPr>
                    <w:t>2</w:t>
                  </w:r>
                </w:p>
              </w:tc>
              <w:tc>
                <w:tcPr>
                  <w:tcW w:w="2382" w:type="pct"/>
                  <w:shd w:val="clear" w:color="auto" w:fill="auto"/>
                  <w:vAlign w:val="center"/>
                </w:tcPr>
                <w:p w14:paraId="6DD780CB">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年平均</w:t>
                  </w:r>
                </w:p>
              </w:tc>
              <w:tc>
                <w:tcPr>
                  <w:tcW w:w="620" w:type="pct"/>
                  <w:shd w:val="clear" w:color="auto" w:fill="auto"/>
                  <w:vAlign w:val="center"/>
                </w:tcPr>
                <w:p w14:paraId="256A40FA">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8</w:t>
                  </w:r>
                </w:p>
              </w:tc>
              <w:tc>
                <w:tcPr>
                  <w:tcW w:w="620" w:type="pct"/>
                  <w:shd w:val="clear" w:color="auto" w:fill="auto"/>
                  <w:vAlign w:val="center"/>
                </w:tcPr>
                <w:p w14:paraId="2D19309B">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60</w:t>
                  </w:r>
                </w:p>
              </w:tc>
              <w:tc>
                <w:tcPr>
                  <w:tcW w:w="415" w:type="pct"/>
                  <w:shd w:val="clear" w:color="auto" w:fill="auto"/>
                  <w:vAlign w:val="center"/>
                </w:tcPr>
                <w:p w14:paraId="3999CB47">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28FFE760">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6A8ABA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continue"/>
                  <w:shd w:val="clear" w:color="auto" w:fill="auto"/>
                  <w:vAlign w:val="center"/>
                </w:tcPr>
                <w:p w14:paraId="00381355">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p>
              </w:tc>
              <w:tc>
                <w:tcPr>
                  <w:tcW w:w="2382" w:type="pct"/>
                  <w:shd w:val="clear" w:color="auto" w:fill="auto"/>
                  <w:vAlign w:val="center"/>
                </w:tcPr>
                <w:p w14:paraId="62DB5CAF">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日平均</w:t>
                  </w:r>
                </w:p>
              </w:tc>
              <w:tc>
                <w:tcPr>
                  <w:tcW w:w="620" w:type="pct"/>
                  <w:shd w:val="clear" w:color="auto" w:fill="auto"/>
                  <w:vAlign w:val="center"/>
                </w:tcPr>
                <w:p w14:paraId="4ED3EB2B">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5~15</w:t>
                  </w:r>
                </w:p>
              </w:tc>
              <w:tc>
                <w:tcPr>
                  <w:tcW w:w="620" w:type="pct"/>
                  <w:shd w:val="clear" w:color="auto" w:fill="auto"/>
                  <w:vAlign w:val="center"/>
                </w:tcPr>
                <w:p w14:paraId="04FECADD">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150</w:t>
                  </w:r>
                </w:p>
              </w:tc>
              <w:tc>
                <w:tcPr>
                  <w:tcW w:w="415" w:type="pct"/>
                  <w:shd w:val="clear" w:color="auto" w:fill="auto"/>
                  <w:vAlign w:val="center"/>
                </w:tcPr>
                <w:p w14:paraId="3F8B0229">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2701A732">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4FA67E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restart"/>
                  <w:shd w:val="clear" w:color="auto" w:fill="auto"/>
                  <w:vAlign w:val="center"/>
                </w:tcPr>
                <w:p w14:paraId="40EFB576">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NO</w:t>
                  </w:r>
                  <w:r>
                    <w:rPr>
                      <w:rFonts w:ascii="Times New Roman" w:hAnsi="Times New Roman" w:eastAsia="宋体" w:cs="宋体"/>
                      <w:color w:val="000000" w:themeColor="text1"/>
                      <w:kern w:val="0"/>
                      <w:sz w:val="21"/>
                      <w:szCs w:val="21"/>
                      <w:highlight w:val="none"/>
                      <w:vertAlign w:val="subscript"/>
                      <w14:textFill>
                        <w14:solidFill>
                          <w14:schemeClr w14:val="tx1"/>
                        </w14:solidFill>
                      </w14:textFill>
                    </w:rPr>
                    <w:t>2</w:t>
                  </w:r>
                </w:p>
              </w:tc>
              <w:tc>
                <w:tcPr>
                  <w:tcW w:w="2382" w:type="pct"/>
                  <w:shd w:val="clear" w:color="auto" w:fill="auto"/>
                  <w:vAlign w:val="center"/>
                </w:tcPr>
                <w:p w14:paraId="16EB5943">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年平均</w:t>
                  </w:r>
                </w:p>
              </w:tc>
              <w:tc>
                <w:tcPr>
                  <w:tcW w:w="620" w:type="pct"/>
                  <w:shd w:val="clear" w:color="auto" w:fill="auto"/>
                  <w:vAlign w:val="center"/>
                </w:tcPr>
                <w:p w14:paraId="3AF82DA5">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26</w:t>
                  </w:r>
                </w:p>
              </w:tc>
              <w:tc>
                <w:tcPr>
                  <w:tcW w:w="620" w:type="pct"/>
                  <w:shd w:val="clear" w:color="auto" w:fill="auto"/>
                  <w:vAlign w:val="center"/>
                </w:tcPr>
                <w:p w14:paraId="604044C7">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40</w:t>
                  </w:r>
                </w:p>
              </w:tc>
              <w:tc>
                <w:tcPr>
                  <w:tcW w:w="415" w:type="pct"/>
                  <w:shd w:val="clear" w:color="auto" w:fill="auto"/>
                  <w:vAlign w:val="center"/>
                </w:tcPr>
                <w:p w14:paraId="60FF899D">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325CCA1D">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5B6528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continue"/>
                  <w:shd w:val="clear" w:color="auto" w:fill="auto"/>
                  <w:vAlign w:val="center"/>
                </w:tcPr>
                <w:p w14:paraId="0F54DA46">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p>
              </w:tc>
              <w:tc>
                <w:tcPr>
                  <w:tcW w:w="2382" w:type="pct"/>
                  <w:shd w:val="clear" w:color="auto" w:fill="auto"/>
                  <w:vAlign w:val="center"/>
                </w:tcPr>
                <w:p w14:paraId="4536A8C2">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日平均</w:t>
                  </w:r>
                </w:p>
              </w:tc>
              <w:tc>
                <w:tcPr>
                  <w:tcW w:w="620" w:type="pct"/>
                  <w:shd w:val="clear" w:color="auto" w:fill="auto"/>
                  <w:vAlign w:val="center"/>
                </w:tcPr>
                <w:p w14:paraId="6100F047">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5~92</w:t>
                  </w:r>
                </w:p>
              </w:tc>
              <w:tc>
                <w:tcPr>
                  <w:tcW w:w="620" w:type="pct"/>
                  <w:shd w:val="clear" w:color="auto" w:fill="auto"/>
                  <w:vAlign w:val="center"/>
                </w:tcPr>
                <w:p w14:paraId="2B3634A8">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80</w:t>
                  </w:r>
                </w:p>
              </w:tc>
              <w:tc>
                <w:tcPr>
                  <w:tcW w:w="415" w:type="pct"/>
                  <w:shd w:val="clear" w:color="auto" w:fill="auto"/>
                  <w:vAlign w:val="center"/>
                </w:tcPr>
                <w:p w14:paraId="2C4EC392">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99.2</w:t>
                  </w:r>
                </w:p>
              </w:tc>
              <w:tc>
                <w:tcPr>
                  <w:tcW w:w="548" w:type="pct"/>
                  <w:shd w:val="clear" w:color="auto" w:fill="auto"/>
                  <w:vAlign w:val="center"/>
                </w:tcPr>
                <w:p w14:paraId="6EDB5F14">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508618A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restart"/>
                  <w:shd w:val="clear" w:color="auto" w:fill="auto"/>
                  <w:vAlign w:val="center"/>
                </w:tcPr>
                <w:p w14:paraId="25E73A80">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PM</w:t>
                  </w:r>
                  <w:r>
                    <w:rPr>
                      <w:rFonts w:ascii="Times New Roman" w:hAnsi="Times New Roman" w:eastAsia="宋体" w:cs="宋体"/>
                      <w:color w:val="000000" w:themeColor="text1"/>
                      <w:kern w:val="0"/>
                      <w:sz w:val="21"/>
                      <w:szCs w:val="21"/>
                      <w:highlight w:val="none"/>
                      <w:vertAlign w:val="subscript"/>
                      <w14:textFill>
                        <w14:solidFill>
                          <w14:schemeClr w14:val="tx1"/>
                        </w14:solidFill>
                      </w14:textFill>
                    </w:rPr>
                    <w:t>10</w:t>
                  </w:r>
                </w:p>
              </w:tc>
              <w:tc>
                <w:tcPr>
                  <w:tcW w:w="2382" w:type="pct"/>
                  <w:shd w:val="clear" w:color="auto" w:fill="auto"/>
                  <w:vAlign w:val="center"/>
                </w:tcPr>
                <w:p w14:paraId="0B2F7018">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年平均</w:t>
                  </w:r>
                </w:p>
              </w:tc>
              <w:tc>
                <w:tcPr>
                  <w:tcW w:w="620" w:type="pct"/>
                  <w:shd w:val="clear" w:color="auto" w:fill="auto"/>
                  <w:vAlign w:val="center"/>
                </w:tcPr>
                <w:p w14:paraId="15268185">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52</w:t>
                  </w:r>
                </w:p>
              </w:tc>
              <w:tc>
                <w:tcPr>
                  <w:tcW w:w="620" w:type="pct"/>
                  <w:shd w:val="clear" w:color="auto" w:fill="auto"/>
                  <w:vAlign w:val="center"/>
                </w:tcPr>
                <w:p w14:paraId="2882B219">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70</w:t>
                  </w:r>
                </w:p>
              </w:tc>
              <w:tc>
                <w:tcPr>
                  <w:tcW w:w="415" w:type="pct"/>
                  <w:shd w:val="clear" w:color="auto" w:fill="auto"/>
                  <w:vAlign w:val="center"/>
                </w:tcPr>
                <w:p w14:paraId="7A254149">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47968A9F">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3A0318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continue"/>
                  <w:shd w:val="clear" w:color="auto" w:fill="auto"/>
                  <w:vAlign w:val="center"/>
                </w:tcPr>
                <w:p w14:paraId="726865CF">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p>
              </w:tc>
              <w:tc>
                <w:tcPr>
                  <w:tcW w:w="2382" w:type="pct"/>
                  <w:shd w:val="clear" w:color="auto" w:fill="auto"/>
                  <w:vAlign w:val="center"/>
                </w:tcPr>
                <w:p w14:paraId="209CE137">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日平均</w:t>
                  </w:r>
                </w:p>
              </w:tc>
              <w:tc>
                <w:tcPr>
                  <w:tcW w:w="620" w:type="pct"/>
                  <w:shd w:val="clear" w:color="auto" w:fill="auto"/>
                  <w:vAlign w:val="center"/>
                </w:tcPr>
                <w:p w14:paraId="396FC8B5">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9~206</w:t>
                  </w:r>
                </w:p>
              </w:tc>
              <w:tc>
                <w:tcPr>
                  <w:tcW w:w="620" w:type="pct"/>
                  <w:shd w:val="clear" w:color="auto" w:fill="auto"/>
                  <w:vAlign w:val="center"/>
                </w:tcPr>
                <w:p w14:paraId="1781A108">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150</w:t>
                  </w:r>
                </w:p>
              </w:tc>
              <w:tc>
                <w:tcPr>
                  <w:tcW w:w="415" w:type="pct"/>
                  <w:shd w:val="clear" w:color="auto" w:fill="auto"/>
                  <w:vAlign w:val="center"/>
                </w:tcPr>
                <w:p w14:paraId="715B30E2">
                  <w:pPr>
                    <w:autoSpaceDE w:val="0"/>
                    <w:autoSpaceDN w:val="0"/>
                    <w:snapToGrid w:val="0"/>
                    <w:jc w:val="cente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98.</w:t>
                  </w:r>
                  <w:r>
                    <w:rPr>
                      <w:rFonts w:hint="eastAsia" w:cs="宋体"/>
                      <w:color w:val="000000" w:themeColor="text1"/>
                      <w:kern w:val="0"/>
                      <w:sz w:val="21"/>
                      <w:szCs w:val="21"/>
                      <w:highlight w:val="none"/>
                      <w:lang w:val="en-US" w:eastAsia="zh-CN"/>
                      <w14:textFill>
                        <w14:solidFill>
                          <w14:schemeClr w14:val="tx1"/>
                        </w14:solidFill>
                      </w14:textFill>
                    </w:rPr>
                    <w:t>3</w:t>
                  </w:r>
                </w:p>
              </w:tc>
              <w:tc>
                <w:tcPr>
                  <w:tcW w:w="548" w:type="pct"/>
                  <w:shd w:val="clear" w:color="auto" w:fill="auto"/>
                  <w:vAlign w:val="center"/>
                </w:tcPr>
                <w:p w14:paraId="5E48EAC4">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6FC905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restart"/>
                  <w:shd w:val="clear" w:color="auto" w:fill="auto"/>
                  <w:vAlign w:val="center"/>
                </w:tcPr>
                <w:p w14:paraId="284A8C49">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PM</w:t>
                  </w:r>
                  <w:r>
                    <w:rPr>
                      <w:rFonts w:ascii="Times New Roman" w:hAnsi="Times New Roman" w:eastAsia="宋体" w:cs="宋体"/>
                      <w:color w:val="000000" w:themeColor="text1"/>
                      <w:kern w:val="0"/>
                      <w:sz w:val="21"/>
                      <w:szCs w:val="21"/>
                      <w:highlight w:val="none"/>
                      <w:vertAlign w:val="subscript"/>
                      <w14:textFill>
                        <w14:solidFill>
                          <w14:schemeClr w14:val="tx1"/>
                        </w14:solidFill>
                      </w14:textFill>
                    </w:rPr>
                    <w:t>2.5</w:t>
                  </w:r>
                </w:p>
              </w:tc>
              <w:tc>
                <w:tcPr>
                  <w:tcW w:w="2382" w:type="pct"/>
                  <w:shd w:val="clear" w:color="auto" w:fill="auto"/>
                  <w:vAlign w:val="center"/>
                </w:tcPr>
                <w:p w14:paraId="7EA4C80A">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年平均</w:t>
                  </w:r>
                </w:p>
              </w:tc>
              <w:tc>
                <w:tcPr>
                  <w:tcW w:w="620" w:type="pct"/>
                  <w:shd w:val="clear" w:color="auto" w:fill="auto"/>
                  <w:vAlign w:val="center"/>
                </w:tcPr>
                <w:p w14:paraId="612BB180">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32</w:t>
                  </w:r>
                </w:p>
              </w:tc>
              <w:tc>
                <w:tcPr>
                  <w:tcW w:w="620" w:type="pct"/>
                  <w:shd w:val="clear" w:color="auto" w:fill="auto"/>
                  <w:vAlign w:val="center"/>
                </w:tcPr>
                <w:p w14:paraId="44A643E2">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35</w:t>
                  </w:r>
                </w:p>
              </w:tc>
              <w:tc>
                <w:tcPr>
                  <w:tcW w:w="415" w:type="pct"/>
                  <w:shd w:val="clear" w:color="auto" w:fill="auto"/>
                  <w:vAlign w:val="center"/>
                </w:tcPr>
                <w:p w14:paraId="7E4889F8">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2B3F97DB">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16706A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vMerge w:val="continue"/>
                  <w:shd w:val="clear" w:color="auto" w:fill="auto"/>
                  <w:vAlign w:val="center"/>
                </w:tcPr>
                <w:p w14:paraId="64AD806E">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p>
              </w:tc>
              <w:tc>
                <w:tcPr>
                  <w:tcW w:w="2382" w:type="pct"/>
                  <w:shd w:val="clear" w:color="auto" w:fill="auto"/>
                  <w:vAlign w:val="center"/>
                </w:tcPr>
                <w:p w14:paraId="49DE29D8">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日平均</w:t>
                  </w:r>
                </w:p>
              </w:tc>
              <w:tc>
                <w:tcPr>
                  <w:tcW w:w="620" w:type="pct"/>
                  <w:shd w:val="clear" w:color="auto" w:fill="auto"/>
                  <w:vAlign w:val="center"/>
                </w:tcPr>
                <w:p w14:paraId="33B2C080">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5~157</w:t>
                  </w:r>
                </w:p>
              </w:tc>
              <w:tc>
                <w:tcPr>
                  <w:tcW w:w="620" w:type="pct"/>
                  <w:shd w:val="clear" w:color="auto" w:fill="auto"/>
                  <w:vAlign w:val="center"/>
                </w:tcPr>
                <w:p w14:paraId="29978F9D">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75</w:t>
                  </w:r>
                </w:p>
              </w:tc>
              <w:tc>
                <w:tcPr>
                  <w:tcW w:w="415" w:type="pct"/>
                  <w:shd w:val="clear" w:color="auto" w:fill="auto"/>
                  <w:vAlign w:val="center"/>
                </w:tcPr>
                <w:p w14:paraId="4981A8D9">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93.2</w:t>
                  </w:r>
                </w:p>
              </w:tc>
              <w:tc>
                <w:tcPr>
                  <w:tcW w:w="548" w:type="pct"/>
                  <w:shd w:val="clear" w:color="auto" w:fill="auto"/>
                  <w:vAlign w:val="center"/>
                </w:tcPr>
                <w:p w14:paraId="7670C15F">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不达标</w:t>
                  </w:r>
                </w:p>
              </w:tc>
            </w:tr>
            <w:tr w14:paraId="6F9B5D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shd w:val="clear" w:color="auto" w:fill="auto"/>
                  <w:vAlign w:val="center"/>
                </w:tcPr>
                <w:p w14:paraId="50E2571C">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CO</w:t>
                  </w:r>
                </w:p>
              </w:tc>
              <w:tc>
                <w:tcPr>
                  <w:tcW w:w="2382" w:type="pct"/>
                  <w:shd w:val="clear" w:color="auto" w:fill="auto"/>
                  <w:vAlign w:val="center"/>
                </w:tcPr>
                <w:p w14:paraId="741A1603">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24小时平均</w:t>
                  </w:r>
                  <w:r>
                    <w:rPr>
                      <w:rFonts w:hint="eastAsia" w:ascii="Times New Roman" w:hAnsi="Times New Roman" w:eastAsia="宋体" w:cs="宋体"/>
                      <w:color w:val="000000" w:themeColor="text1"/>
                      <w:kern w:val="0"/>
                      <w:sz w:val="21"/>
                      <w:szCs w:val="21"/>
                      <w:highlight w:val="none"/>
                      <w14:textFill>
                        <w14:solidFill>
                          <w14:schemeClr w14:val="tx1"/>
                        </w14:solidFill>
                      </w14:textFill>
                    </w:rPr>
                    <w:t>第95百分位数</w:t>
                  </w:r>
                </w:p>
              </w:tc>
              <w:tc>
                <w:tcPr>
                  <w:tcW w:w="620" w:type="pct"/>
                  <w:shd w:val="clear" w:color="auto" w:fill="auto"/>
                  <w:vAlign w:val="center"/>
                </w:tcPr>
                <w:p w14:paraId="5E989D7D">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1100</w:t>
                  </w:r>
                </w:p>
              </w:tc>
              <w:tc>
                <w:tcPr>
                  <w:tcW w:w="620" w:type="pct"/>
                  <w:shd w:val="clear" w:color="auto" w:fill="auto"/>
                  <w:vAlign w:val="center"/>
                </w:tcPr>
                <w:p w14:paraId="50C9C84E">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4000</w:t>
                  </w:r>
                </w:p>
              </w:tc>
              <w:tc>
                <w:tcPr>
                  <w:tcW w:w="415" w:type="pct"/>
                  <w:shd w:val="clear" w:color="auto" w:fill="auto"/>
                  <w:vAlign w:val="center"/>
                </w:tcPr>
                <w:p w14:paraId="0421389E">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100</w:t>
                  </w:r>
                </w:p>
              </w:tc>
              <w:tc>
                <w:tcPr>
                  <w:tcW w:w="548" w:type="pct"/>
                  <w:shd w:val="clear" w:color="auto" w:fill="auto"/>
                  <w:vAlign w:val="center"/>
                </w:tcPr>
                <w:p w14:paraId="6574B49E">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达标</w:t>
                  </w:r>
                </w:p>
              </w:tc>
            </w:tr>
            <w:tr w14:paraId="4D9D81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2" w:type="pct"/>
                  <w:shd w:val="clear" w:color="auto" w:fill="auto"/>
                  <w:vAlign w:val="center"/>
                </w:tcPr>
                <w:p w14:paraId="2E01BDC9">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O</w:t>
                  </w:r>
                  <w:r>
                    <w:rPr>
                      <w:rFonts w:hint="eastAsia" w:ascii="Times New Roman" w:hAnsi="Times New Roman" w:eastAsia="宋体" w:cs="宋体"/>
                      <w:color w:val="000000" w:themeColor="text1"/>
                      <w:kern w:val="0"/>
                      <w:sz w:val="21"/>
                      <w:szCs w:val="21"/>
                      <w:highlight w:val="none"/>
                      <w:vertAlign w:val="subscript"/>
                      <w14:textFill>
                        <w14:solidFill>
                          <w14:schemeClr w14:val="tx1"/>
                        </w14:solidFill>
                      </w14:textFill>
                    </w:rPr>
                    <w:t>3</w:t>
                  </w:r>
                </w:p>
              </w:tc>
              <w:tc>
                <w:tcPr>
                  <w:tcW w:w="2382" w:type="pct"/>
                  <w:shd w:val="clear" w:color="auto" w:fill="auto"/>
                  <w:vAlign w:val="center"/>
                </w:tcPr>
                <w:p w14:paraId="5DCA9974">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日最大8小时</w:t>
                  </w:r>
                  <w:r>
                    <w:rPr>
                      <w:rFonts w:hint="eastAsia" w:ascii="Times New Roman" w:hAnsi="Times New Roman" w:eastAsia="宋体" w:cs="宋体"/>
                      <w:color w:val="000000" w:themeColor="text1"/>
                      <w:kern w:val="0"/>
                      <w:sz w:val="21"/>
                      <w:szCs w:val="21"/>
                      <w:highlight w:val="none"/>
                      <w14:textFill>
                        <w14:solidFill>
                          <w14:schemeClr w14:val="tx1"/>
                        </w14:solidFill>
                      </w14:textFill>
                    </w:rPr>
                    <w:t>滑动平均值的第90百分位数</w:t>
                  </w:r>
                </w:p>
              </w:tc>
              <w:tc>
                <w:tcPr>
                  <w:tcW w:w="620" w:type="pct"/>
                  <w:shd w:val="clear" w:color="auto" w:fill="auto"/>
                  <w:vAlign w:val="center"/>
                </w:tcPr>
                <w:p w14:paraId="2CEE5DD4">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168</w:t>
                  </w:r>
                </w:p>
              </w:tc>
              <w:tc>
                <w:tcPr>
                  <w:tcW w:w="620" w:type="pct"/>
                  <w:shd w:val="clear" w:color="auto" w:fill="auto"/>
                  <w:vAlign w:val="center"/>
                </w:tcPr>
                <w:p w14:paraId="318783A2">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160</w:t>
                  </w:r>
                </w:p>
              </w:tc>
              <w:tc>
                <w:tcPr>
                  <w:tcW w:w="415" w:type="pct"/>
                  <w:shd w:val="clear" w:color="auto" w:fill="auto"/>
                  <w:vAlign w:val="center"/>
                </w:tcPr>
                <w:p w14:paraId="2B174DBB">
                  <w:pPr>
                    <w:autoSpaceDE w:val="0"/>
                    <w:autoSpaceDN w:val="0"/>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86.3</w:t>
                  </w:r>
                </w:p>
              </w:tc>
              <w:tc>
                <w:tcPr>
                  <w:tcW w:w="548" w:type="pct"/>
                  <w:shd w:val="clear" w:color="auto" w:fill="auto"/>
                  <w:vAlign w:val="center"/>
                </w:tcPr>
                <w:p w14:paraId="54D32217">
                  <w:pPr>
                    <w:autoSpaceDE w:val="0"/>
                    <w:autoSpaceDN w:val="0"/>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不达标</w:t>
                  </w:r>
                </w:p>
              </w:tc>
            </w:tr>
          </w:tbl>
          <w:p w14:paraId="041FAB21">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202</w:t>
            </w:r>
            <w:r>
              <w:rPr>
                <w:rFonts w:hint="eastAsia" w:cs="宋体"/>
                <w:color w:val="000000" w:themeColor="text1"/>
                <w:sz w:val="21"/>
                <w:szCs w:val="21"/>
                <w:highlight w:val="none"/>
                <w:lang w:val="en-US" w:eastAsia="zh-CN"/>
                <w14:textFill>
                  <w14:solidFill>
                    <w14:schemeClr w14:val="tx1"/>
                  </w14:solidFill>
                </w14:textFill>
              </w:rPr>
              <w:t>4</w:t>
            </w:r>
            <w:r>
              <w:rPr>
                <w:rFonts w:ascii="Times New Roman" w:hAnsi="Times New Roman" w:eastAsia="宋体" w:cs="宋体"/>
                <w:color w:val="000000" w:themeColor="text1"/>
                <w:sz w:val="21"/>
                <w:szCs w:val="21"/>
                <w:highlight w:val="none"/>
                <w14:textFill>
                  <w14:solidFill>
                    <w14:schemeClr w14:val="tx1"/>
                  </w14:solidFill>
                </w14:textFill>
              </w:rPr>
              <w:t>年</w:t>
            </w:r>
            <w:r>
              <w:rPr>
                <w:rFonts w:hint="eastAsia" w:ascii="Times New Roman" w:hAnsi="Times New Roman" w:eastAsia="宋体" w:cs="宋体"/>
                <w:color w:val="000000" w:themeColor="text1"/>
                <w:sz w:val="21"/>
                <w:szCs w:val="21"/>
                <w:highlight w:val="none"/>
                <w14:textFill>
                  <w14:solidFill>
                    <w14:schemeClr w14:val="tx1"/>
                  </w14:solidFill>
                </w14:textFill>
              </w:rPr>
              <w:t>常州</w:t>
            </w:r>
            <w:r>
              <w:rPr>
                <w:rFonts w:ascii="Times New Roman" w:hAnsi="Times New Roman" w:eastAsia="宋体" w:cs="宋体"/>
                <w:color w:val="000000" w:themeColor="text1"/>
                <w:sz w:val="21"/>
                <w:szCs w:val="21"/>
                <w:highlight w:val="none"/>
                <w14:textFill>
                  <w14:solidFill>
                    <w14:schemeClr w14:val="tx1"/>
                  </w14:solidFill>
                </w14:textFill>
              </w:rPr>
              <w:t>市环境空气中</w:t>
            </w:r>
            <w:r>
              <w:rPr>
                <w:rFonts w:hint="eastAsia" w:ascii="Times New Roman" w:hAnsi="Times New Roman" w:eastAsia="宋体" w:cs="宋体"/>
                <w:color w:val="000000" w:themeColor="text1"/>
                <w:sz w:val="21"/>
                <w:szCs w:val="21"/>
                <w:highlight w:val="none"/>
                <w14:textFill>
                  <w14:solidFill>
                    <w14:schemeClr w14:val="tx1"/>
                  </w14:solidFill>
                </w14:textFill>
              </w:rPr>
              <w:t>PM</w:t>
            </w:r>
            <w:r>
              <w:rPr>
                <w:rFonts w:hint="eastAsia" w:ascii="Times New Roman" w:hAnsi="Times New Roman" w:eastAsia="宋体" w:cs="宋体"/>
                <w:color w:val="000000" w:themeColor="text1"/>
                <w:sz w:val="21"/>
                <w:szCs w:val="21"/>
                <w:highlight w:val="none"/>
                <w:vertAlign w:val="subscript"/>
                <w14:textFill>
                  <w14:solidFill>
                    <w14:schemeClr w14:val="tx1"/>
                  </w14:solidFill>
                </w14:textFill>
              </w:rPr>
              <w:t>2.5</w:t>
            </w:r>
            <w:r>
              <w:rPr>
                <w:rFonts w:hint="eastAsia" w:ascii="Times New Roman" w:hAnsi="Times New Roman" w:eastAsia="宋体" w:cs="宋体"/>
                <w:color w:val="000000" w:themeColor="text1"/>
                <w:sz w:val="21"/>
                <w:szCs w:val="21"/>
                <w:highlight w:val="none"/>
                <w14:textFill>
                  <w14:solidFill>
                    <w14:schemeClr w14:val="tx1"/>
                  </w14:solidFill>
                </w14:textFill>
              </w:rPr>
              <w:t>日平均</w:t>
            </w:r>
            <w:r>
              <w:rPr>
                <w:rFonts w:ascii="Times New Roman" w:hAnsi="Times New Roman" w:eastAsia="宋体" w:cs="宋体"/>
                <w:color w:val="000000" w:themeColor="text1"/>
                <w:sz w:val="21"/>
                <w:szCs w:val="21"/>
                <w:highlight w:val="none"/>
                <w14:textFill>
                  <w14:solidFill>
                    <w14:schemeClr w14:val="tx1"/>
                  </w14:solidFill>
                </w14:textFill>
              </w:rPr>
              <w:t>第</w:t>
            </w:r>
            <w:r>
              <w:rPr>
                <w:rFonts w:hint="eastAsia" w:ascii="Times New Roman" w:hAnsi="Times New Roman" w:eastAsia="宋体" w:cs="宋体"/>
                <w:color w:val="000000" w:themeColor="text1"/>
                <w:sz w:val="21"/>
                <w:szCs w:val="21"/>
                <w:highlight w:val="none"/>
                <w14:textFill>
                  <w14:solidFill>
                    <w14:schemeClr w14:val="tx1"/>
                  </w14:solidFill>
                </w14:textFill>
              </w:rPr>
              <w:t>95百分位数</w:t>
            </w:r>
            <w:r>
              <w:rPr>
                <w:rFonts w:ascii="Times New Roman" w:hAnsi="Times New Roman" w:eastAsia="宋体" w:cs="宋体"/>
                <w:color w:val="000000" w:themeColor="text1"/>
                <w:sz w:val="21"/>
                <w:szCs w:val="21"/>
                <w:highlight w:val="none"/>
                <w14:textFill>
                  <w14:solidFill>
                    <w14:schemeClr w14:val="tx1"/>
                  </w14:solidFill>
                </w14:textFill>
              </w:rPr>
              <w:t>和</w:t>
            </w:r>
            <w:r>
              <w:rPr>
                <w:rFonts w:hint="eastAsia" w:ascii="Times New Roman" w:hAnsi="Times New Roman" w:eastAsia="宋体" w:cs="宋体"/>
                <w:color w:val="000000" w:themeColor="text1"/>
                <w:sz w:val="21"/>
                <w:szCs w:val="21"/>
                <w:highlight w:val="none"/>
                <w14:textFill>
                  <w14:solidFill>
                    <w14:schemeClr w14:val="tx1"/>
                  </w14:solidFill>
                </w14:textFill>
              </w:rPr>
              <w:t>O</w:t>
            </w:r>
            <w:r>
              <w:rPr>
                <w:rFonts w:hint="eastAsia" w:ascii="Times New Roman" w:hAnsi="Times New Roman" w:eastAsia="宋体" w:cs="宋体"/>
                <w:color w:val="000000" w:themeColor="text1"/>
                <w:sz w:val="21"/>
                <w:szCs w:val="21"/>
                <w:highlight w:val="none"/>
                <w:vertAlign w:val="subscript"/>
                <w14:textFill>
                  <w14:solidFill>
                    <w14:schemeClr w14:val="tx1"/>
                  </w14:solidFill>
                </w14:textFill>
              </w:rPr>
              <w:t>3</w:t>
            </w:r>
            <w:r>
              <w:rPr>
                <w:rFonts w:ascii="Times New Roman" w:hAnsi="Times New Roman" w:eastAsia="宋体" w:cs="宋体"/>
                <w:color w:val="000000" w:themeColor="text1"/>
                <w:sz w:val="21"/>
                <w:szCs w:val="21"/>
                <w:highlight w:val="none"/>
                <w14:textFill>
                  <w14:solidFill>
                    <w14:schemeClr w14:val="tx1"/>
                  </w14:solidFill>
                </w14:textFill>
              </w:rPr>
              <w:t>日最大8小时</w:t>
            </w:r>
            <w:r>
              <w:rPr>
                <w:rFonts w:hint="eastAsia" w:ascii="Times New Roman" w:hAnsi="Times New Roman" w:eastAsia="宋体" w:cs="宋体"/>
                <w:color w:val="000000" w:themeColor="text1"/>
                <w:sz w:val="21"/>
                <w:szCs w:val="21"/>
                <w:highlight w:val="none"/>
                <w14:textFill>
                  <w14:solidFill>
                    <w14:schemeClr w14:val="tx1"/>
                  </w14:solidFill>
                </w14:textFill>
              </w:rPr>
              <w:t>滑动平</w:t>
            </w:r>
            <w:r>
              <w:rPr>
                <w:rFonts w:ascii="Times New Roman" w:hAnsi="Times New Roman" w:eastAsia="宋体" w:cs="宋体"/>
                <w:color w:val="000000" w:themeColor="text1"/>
                <w:sz w:val="21"/>
                <w:szCs w:val="21"/>
                <w:highlight w:val="none"/>
                <w14:textFill>
                  <w14:solidFill>
                    <w14:schemeClr w14:val="tx1"/>
                  </w14:solidFill>
                </w14:textFill>
              </w:rPr>
              <w:t>均值</w:t>
            </w:r>
            <w:r>
              <w:rPr>
                <w:rFonts w:hint="eastAsia" w:ascii="Times New Roman" w:hAnsi="Times New Roman" w:eastAsia="宋体" w:cs="宋体"/>
                <w:color w:val="000000" w:themeColor="text1"/>
                <w:sz w:val="21"/>
                <w:szCs w:val="21"/>
                <w:highlight w:val="none"/>
                <w14:textFill>
                  <w14:solidFill>
                    <w14:schemeClr w14:val="tx1"/>
                  </w14:solidFill>
                </w14:textFill>
              </w:rPr>
              <w:t>的第90百分位数超标</w:t>
            </w:r>
            <w:r>
              <w:rPr>
                <w:rFonts w:ascii="Times New Roman" w:hAnsi="Times New Roman" w:eastAsia="宋体" w:cs="宋体"/>
                <w:color w:val="000000" w:themeColor="text1"/>
                <w:sz w:val="21"/>
                <w:szCs w:val="21"/>
                <w:highlight w:val="none"/>
                <w14:textFill>
                  <w14:solidFill>
                    <w14:schemeClr w14:val="tx1"/>
                  </w14:solidFill>
                </w14:textFill>
              </w:rPr>
              <w:t>，因此判定为非达标区域</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3ACC6B5D">
            <w:pPr>
              <w:autoSpaceDE w:val="0"/>
              <w:autoSpaceDN w:val="0"/>
              <w:spacing w:line="360" w:lineRule="auto"/>
              <w:ind w:firstLine="420" w:firstLineChars="200"/>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eastAsia="宋体" w:cs="宋体"/>
                <w:color w:val="000000" w:themeColor="text1"/>
                <w:kern w:val="0"/>
                <w:sz w:val="21"/>
                <w:szCs w:val="21"/>
                <w:highlight w:val="none"/>
                <w14:textFill>
                  <w14:solidFill>
                    <w14:schemeClr w14:val="tx1"/>
                  </w14:solidFill>
                </w14:textFill>
              </w:rPr>
              <w:t>）区域</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削减</w:t>
            </w:r>
          </w:p>
          <w:p w14:paraId="36BA9037">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为加快改善环境空气质量，常州市人民政府发布了《市政府关于印发&lt;常州市空气质量持续改善行动计划实施方案&gt;的通知》（常政发〔2024〕51号），进一步提出如下大气污染防治工作计划：</w:t>
            </w:r>
          </w:p>
          <w:p w14:paraId="7B96167C">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一、工作目标</w:t>
            </w:r>
          </w:p>
          <w:p w14:paraId="47C5E541">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以习近平新时代中国特色社会主义思想为指导，全面贯彻党的二十大及党的二十届三中全会精神，深入贯彻习近平生态文明思想，认真贯彻习近平总书记对江苏工作重要讲话重要指示精神，协同推进降碳、减污、扩绿、增长，以改善空气质量为核心，扎实推进产业、能源交通绿色低碳转型，推动常州高质量发展继续走在前列，奋力书写好中国式现代化常州答卷，主要目标是：到2025年，全市PM</w:t>
            </w:r>
            <w:r>
              <w:rPr>
                <w:rFonts w:hint="eastAsia" w:ascii="Times New Roman" w:hAnsi="Times New Roman" w:eastAsia="宋体" w:cs="宋体"/>
                <w:color w:val="000000" w:themeColor="text1"/>
                <w:kern w:val="0"/>
                <w:sz w:val="21"/>
                <w:szCs w:val="21"/>
                <w:highlight w:val="none"/>
                <w:vertAlign w:val="subscript"/>
                <w:lang w:val="en-US" w:eastAsia="zh-CN"/>
                <w14:textFill>
                  <w14:solidFill>
                    <w14:schemeClr w14:val="tx1"/>
                  </w14:solidFill>
                </w14:textFill>
              </w:rPr>
              <w:t>2.5</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浓度总体达标，PM</w:t>
            </w:r>
            <w:r>
              <w:rPr>
                <w:rFonts w:hint="eastAsia" w:ascii="Times New Roman" w:hAnsi="Times New Roman" w:eastAsia="宋体" w:cs="宋体"/>
                <w:color w:val="000000" w:themeColor="text1"/>
                <w:kern w:val="0"/>
                <w:sz w:val="21"/>
                <w:szCs w:val="21"/>
                <w:highlight w:val="none"/>
                <w:vertAlign w:val="subscript"/>
                <w:lang w:val="en-US" w:eastAsia="zh-CN"/>
                <w14:textFill>
                  <w14:solidFill>
                    <w14:schemeClr w14:val="tx1"/>
                  </w14:solidFill>
                </w14:textFill>
              </w:rPr>
              <w:t>2.5</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浓度比2020年下降10%，基本消除重度及以上污染天气，空气质量持续改善：氮氧化物和VOCs排放总量比2020年分别下降10%以上，完成省下达的减排目标。</w:t>
            </w:r>
          </w:p>
          <w:p w14:paraId="581866DA">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二、调整优化产业结构，推进产业绿色低碳发展</w:t>
            </w:r>
          </w:p>
          <w:p w14:paraId="53A0BDD8">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一）坚决遏制“两高”项目盲目发展。按照江苏省“两高”项目分类管理工作要求，严格执行国家、省有关钢铁</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炼钢、炼铁</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、焦化、电解铝、水泥</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熟料</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、平板玻璃</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不含光伏压延玻璃</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和炼化</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纳入国家产业规划除外</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等行业产业政策标准。到2025年，短流程炼钢产能占比力争达20%以上。</w:t>
            </w:r>
          </w:p>
          <w:p w14:paraId="0F3FCEF4">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二</w:t>
            </w:r>
            <w:r>
              <w:rPr>
                <w:rFonts w:hint="eastAsia" w:ascii="Times New Roman" w:hAnsi="Times New Roman" w:eastAsia="宋体" w:cs="宋体"/>
                <w:color w:val="000000" w:themeColor="text1"/>
                <w:kern w:val="0"/>
                <w:sz w:val="21"/>
                <w:szCs w:val="21"/>
                <w:highlight w:val="none"/>
                <w14:textFill>
                  <w14:solidFill>
                    <w14:schemeClr w14:val="tx1"/>
                  </w14:solidFill>
                </w14:textFill>
              </w:rPr>
              <w:t>）加快退出重点行业落后产能。落实《产业结构调整指导目录》，依法依规逐步退出限制类涉气行业工艺和装备、逐步淘汰步进式烧结机和球团竖炉以及半封闭式硅锰合金、镍铁、高碳铬铁、高碳锰铁电炉。</w:t>
            </w:r>
          </w:p>
          <w:p w14:paraId="20F97272">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三</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）推进产业集群、园区绿色转型升级。中小型传统制造企业集中的辖市</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区</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均要制定涉气产业集群发展规划，严格项目审批，严防污染下乡。针对现有产业集群制定专项整治方案，依法淘汰关停一批、搬迁入园一批，就地改造一批、做优做强一批。</w:t>
            </w:r>
          </w:p>
          <w:p w14:paraId="2D837D92">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四</w:t>
            </w:r>
            <w:r>
              <w:rPr>
                <w:rFonts w:hint="eastAsia" w:ascii="Times New Roman" w:hAnsi="Times New Roman" w:eastAsia="宋体" w:cs="宋体"/>
                <w:color w:val="000000" w:themeColor="text1"/>
                <w:kern w:val="0"/>
                <w:sz w:val="21"/>
                <w:szCs w:val="21"/>
                <w:highlight w:val="none"/>
                <w14:textFill>
                  <w14:solidFill>
                    <w14:schemeClr w14:val="tx1"/>
                  </w14:solidFill>
                </w14:textFill>
              </w:rPr>
              <w:t>）优化含VOCs原辅材料和产品结构。严格控制生产和使用高VOCs含量涂料油墨、胶黏剂、清洗剂等建设项目。加大工业涂装、包装印刷和电子行业清洁原料替代力度。鼓励和推进汽车4S店、大型汽修厂实施水性涂料替代。</w:t>
            </w:r>
          </w:p>
          <w:p w14:paraId="4E6B5C2B">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三、</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推进能源高效利用，加快能源清洁低碳转型</w:t>
            </w:r>
          </w:p>
          <w:p w14:paraId="59FAA7F9">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五</w:t>
            </w:r>
            <w:r>
              <w:rPr>
                <w:rFonts w:hint="eastAsia" w:ascii="Times New Roman" w:hAnsi="Times New Roman" w:eastAsia="宋体" w:cs="宋体"/>
                <w:color w:val="000000" w:themeColor="text1"/>
                <w:kern w:val="0"/>
                <w:sz w:val="21"/>
                <w:szCs w:val="21"/>
                <w:highlight w:val="none"/>
                <w14:textFill>
                  <w14:solidFill>
                    <w14:schemeClr w14:val="tx1"/>
                  </w14:solidFill>
                </w14:textFill>
              </w:rPr>
              <w:t>）大力发展新能源和清洁能源。加快推进光伏发电项目建设和公共机构光伏应用，提升全市公共机构光伏应用水平和示范表率功能，因地制宜发展风力发电，统筹发展生物质能，推广建设“光储充检换”一体化充电示范项目，通过光伏优先消纳、余量存入储能、充满之后上网以及储能夜充日放，实现存储就地消纳。到2025年，新能源发电装机规模达到430万千瓦，公共机构新建建筑可安装光伏屋顶面积力争实现光伏覆盖率达到50%。</w:t>
            </w:r>
          </w:p>
          <w:p w14:paraId="04B348E6">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六</w:t>
            </w:r>
            <w:r>
              <w:rPr>
                <w:rFonts w:hint="eastAsia" w:ascii="Times New Roman" w:hAnsi="Times New Roman" w:eastAsia="宋体" w:cs="宋体"/>
                <w:color w:val="000000" w:themeColor="text1"/>
                <w:kern w:val="0"/>
                <w:sz w:val="21"/>
                <w:szCs w:val="21"/>
                <w:highlight w:val="none"/>
                <w14:textFill>
                  <w14:solidFill>
                    <w14:schemeClr w14:val="tx1"/>
                  </w14:solidFill>
                </w14:textFill>
              </w:rPr>
              <w:t>）严格合理控制煤炭消费总量。原则上不再新增自备燃煤机组，支持自备燃煤机组实施清洁能源替代。未达到能耗强度降低基本目标进度要求的地区，在节能审查等环节对高耗能项目缓批限批。在保障能源安全供应的前提下，继续实施煤炭消费总量控制，鼓励发电向高效、清洁机组倾斜，到2025年全市煤炭消费量较2020年下降5%左右</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p>
          <w:p w14:paraId="026998AF">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七</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推进燃煤锅炉关停整合和工业炉窑清洁能源替代。充分发挥30万千瓦及以上热电联产电厂的供热能力，对其供热，半径30公里范围内的燃煤锅炉和落后燃煤小热电机组</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含自备电厂</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进行关停或整合。到2025年，淘汰35蒸吨/小时及以下燃煤锅炉，基本淘汰茶水炉、经营性炉灶、储粮烘干设备、农产品加工等燃煤设施。不再新增燃料类煤气发生炉，新改扩建加热炉、热处理炉、干燥炉、熔化炉原则上采用清洁低碳能源</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p>
          <w:p w14:paraId="3189F5C5">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八</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近零碳园区和近零碳工厂试点建设。重点选择绿色产业园区、外贸出口相对集中的园区、“危污乱散低”综合治理“绿岛”园区、科创产业园区等园区类型和市级及以上绿色工厂，推进近零碳园区、近零碳工厂试点。以近零碳园区为主阵地，同步开展近零碳工厂培育和新型智能微电网、虚拟电厂等新能源应用场景推广试点。鼓励企业参与绿电、绿证交易，打造高比例可再生能源消纳示范区，推广综合能源服务，推进能源梯级利用、余热余压回收、绿色供冷供热，推动园区内源网荷储深度融合。</w:t>
            </w:r>
          </w:p>
          <w:p w14:paraId="6E5DFF23">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四、优化调整交通结构，大力发展绿色运输体系</w:t>
            </w:r>
          </w:p>
          <w:p w14:paraId="1A957408">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九</w:t>
            </w:r>
            <w:r>
              <w:rPr>
                <w:rFonts w:hint="eastAsia" w:ascii="Times New Roman" w:hAnsi="Times New Roman" w:eastAsia="宋体" w:cs="宋体"/>
                <w:color w:val="000000" w:themeColor="text1"/>
                <w:kern w:val="0"/>
                <w:sz w:val="21"/>
                <w:szCs w:val="21"/>
                <w:highlight w:val="none"/>
                <w14:textFill>
                  <w14:solidFill>
                    <w14:schemeClr w14:val="tx1"/>
                  </w14:solidFill>
                </w14:textFill>
              </w:rPr>
              <w:t>）持续优化货物运输结构。到2025年，水路、铁路货运量比2020年分别增长12%和10%左右，铁路集装箱多式联运量年均增长10%以上。全市采取公铁联运等“外集内配”物流方式。</w:t>
            </w:r>
          </w:p>
          <w:p w14:paraId="0BFD5C1E">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w:t>
            </w:r>
            <w:r>
              <w:rPr>
                <w:rFonts w:hint="eastAsia" w:ascii="Times New Roman" w:hAnsi="Times New Roman" w:eastAsia="宋体" w:cs="宋体"/>
                <w:color w:val="000000" w:themeColor="text1"/>
                <w:kern w:val="0"/>
                <w:sz w:val="21"/>
                <w:szCs w:val="21"/>
                <w:highlight w:val="none"/>
                <w14:textFill>
                  <w14:solidFill>
                    <w14:schemeClr w14:val="tx1"/>
                  </w14:solidFill>
                </w14:textFill>
              </w:rPr>
              <w:t>）实施绿色车轮计划。公共领域新增或更新公交、出租、城市物流配送、轻型环卫等车辆中，新能源汽车或者清洁能源汽车比例不低于80%。加快提升新能源汽车配套基础设施服务保障能力</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新建住宅小区停车位立足新能源汽车安全特性100%预留充换电设施接入条件，老旧小区改造应因地制宜同步进行充换电设施改造，积极探索私共享模式。制定新能源汽车停车收费优惠政策，落实住宅小区新能源汽车充电电价优惠政策，对新能源汽车实行停车、充电收费优惠。力争提前一年在2024年底前基本淘汰国三及以下排放标准柴油货车。</w:t>
            </w:r>
          </w:p>
          <w:p w14:paraId="1782D79B">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十一</w:t>
            </w:r>
            <w:r>
              <w:rPr>
                <w:rFonts w:hint="eastAsia" w:ascii="Times New Roman" w:hAnsi="Times New Roman" w:eastAsia="宋体" w:cs="宋体"/>
                <w:color w:val="000000" w:themeColor="text1"/>
                <w:kern w:val="0"/>
                <w:sz w:val="21"/>
                <w:szCs w:val="21"/>
                <w:highlight w:val="none"/>
                <w14:textFill>
                  <w14:solidFill>
                    <w14:schemeClr w14:val="tx1"/>
                  </w14:solidFill>
                </w14:textFill>
              </w:rPr>
              <w:t>）强化非道路移动源综合治理。到2025年，基本淘汰第一阶段及以下排放标准的非道路移动机械，鼓励新增或更新的3吨以下叉车基本实现新能源化</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民航机场桥电使用率达95%以上，大力提高岸电使用率，到2025年，主要港口和排放控制区内靠港船舶的岸电使用电量较2020年翻一番。</w:t>
            </w:r>
          </w:p>
          <w:p w14:paraId="73E20BAC">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五、</w:t>
            </w:r>
            <w:r>
              <w:rPr>
                <w:rFonts w:hint="eastAsia" w:ascii="Times New Roman" w:hAnsi="Times New Roman" w:eastAsia="宋体" w:cs="宋体"/>
                <w:color w:val="000000" w:themeColor="text1"/>
                <w:kern w:val="0"/>
                <w:sz w:val="21"/>
                <w:szCs w:val="21"/>
                <w:highlight w:val="none"/>
                <w14:textFill>
                  <w14:solidFill>
                    <w14:schemeClr w14:val="tx1"/>
                  </w14:solidFill>
                </w14:textFill>
              </w:rPr>
              <w:t>加强面源污染治理，提高精细化管理水平</w:t>
            </w:r>
          </w:p>
          <w:p w14:paraId="4947C9C3">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十二</w:t>
            </w:r>
            <w:r>
              <w:rPr>
                <w:rFonts w:hint="eastAsia" w:ascii="Times New Roman" w:hAnsi="Times New Roman" w:eastAsia="宋体" w:cs="宋体"/>
                <w:color w:val="000000" w:themeColor="text1"/>
                <w:kern w:val="0"/>
                <w:sz w:val="21"/>
                <w:szCs w:val="21"/>
                <w:highlight w:val="none"/>
                <w14:textFill>
                  <w14:solidFill>
                    <w14:schemeClr w14:val="tx1"/>
                  </w14:solidFill>
                </w14:textFill>
              </w:rPr>
              <w:t>）实施扬尘精细化治理。积极实施“清洁城市行动”。全面取消全市范围内四级道路，进一步提升一、二级道路的比重，重点区域周边道路全部提升为一级道路作业标准。对于部分无法用大型车辆进行作业的区域，要配备一定数量的小型机械化冲洗车、洗扫车，实行人机结合的保洁模式，做到“机械保面、人工保点”。推进5000平方米及以上建筑工地安装视频监控并接入监管平台。鼓励推广使用新能源渣土运输车辆。推广装配式施工，推进“全电工地”试点。</w:t>
            </w:r>
          </w:p>
          <w:p w14:paraId="5A6A0387">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十三</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）推进矿山生态环境综合整治。新建矿山原则上要同步建设专用廊道或采用其他清洁运输方式。对限期整改仍不达标的矿山，根据安全生产、水土保持、生态环境等要求依法关闭停止生产。</w:t>
            </w:r>
          </w:p>
          <w:p w14:paraId="174E8661">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十四</w:t>
            </w:r>
            <w:r>
              <w:rPr>
                <w:rFonts w:hint="eastAsia" w:ascii="Times New Roman" w:hAnsi="Times New Roman" w:eastAsia="宋体" w:cs="宋体"/>
                <w:color w:val="000000" w:themeColor="text1"/>
                <w:kern w:val="0"/>
                <w:sz w:val="21"/>
                <w:szCs w:val="21"/>
                <w:highlight w:val="none"/>
                <w14:textFill>
                  <w14:solidFill>
                    <w14:schemeClr w14:val="tx1"/>
                  </w14:solidFill>
                </w14:textFill>
              </w:rPr>
              <w:t>）加强秸秆禁烧和综合利用。到2025年，全市农作物秸秆综合利用率稳定达95%以上。禁止露天焚烧秸秆。综合运用卫星遥感、高清视频监控、无人机等手段，提高秸秆焚烧火点监测及巡查精准度。采取以上措施后，常州市环境空气质量将得到持续改善。</w:t>
            </w:r>
          </w:p>
          <w:p w14:paraId="149EE6C1">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六、</w:t>
            </w:r>
            <w:r>
              <w:rPr>
                <w:rFonts w:hint="eastAsia" w:ascii="Times New Roman" w:hAnsi="Times New Roman" w:eastAsia="宋体" w:cs="宋体"/>
                <w:color w:val="000000" w:themeColor="text1"/>
                <w:kern w:val="0"/>
                <w:sz w:val="21"/>
                <w:szCs w:val="21"/>
                <w:highlight w:val="none"/>
                <w14:textFill>
                  <w14:solidFill>
                    <w14:schemeClr w14:val="tx1"/>
                  </w14:solidFill>
                </w14:textFill>
              </w:rPr>
              <w:t>强化协同减排，切实降低污染物排放强度</w:t>
            </w:r>
          </w:p>
          <w:p w14:paraId="300D046F">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十五</w:t>
            </w:r>
            <w:r>
              <w:rPr>
                <w:rFonts w:hint="eastAsia" w:ascii="Times New Roman" w:hAnsi="Times New Roman" w:eastAsia="宋体" w:cs="宋体"/>
                <w:color w:val="000000" w:themeColor="text1"/>
                <w:kern w:val="0"/>
                <w:sz w:val="21"/>
                <w:szCs w:val="21"/>
                <w:highlight w:val="none"/>
                <w14:textFill>
                  <w14:solidFill>
                    <w14:schemeClr w14:val="tx1"/>
                  </w14:solidFill>
                </w14:textFill>
              </w:rPr>
              <w:t>）强化VOCs全流程、全环节综合治理，鼓励使用低泄漏的呼吸阀、紧急泄压阀，定期开展密封性检测。重点工业园区建立分环节、分物种管控清单，实施高排放关键活性物种“指纹化”监测监控和靶向治理。到2025年，重点工业园区VOCs浓度力争比2021年下降20%。</w:t>
            </w:r>
          </w:p>
          <w:p w14:paraId="4E05AABB">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十六</w:t>
            </w:r>
            <w:r>
              <w:rPr>
                <w:rFonts w:hint="eastAsia" w:ascii="Times New Roman" w:hAnsi="Times New Roman" w:eastAsia="宋体" w:cs="宋体"/>
                <w:color w:val="000000" w:themeColor="text1"/>
                <w:kern w:val="0"/>
                <w:sz w:val="21"/>
                <w:szCs w:val="21"/>
                <w:highlight w:val="none"/>
                <w14:textFill>
                  <w14:solidFill>
                    <w14:schemeClr w14:val="tx1"/>
                  </w14:solidFill>
                </w14:textFill>
              </w:rPr>
              <w:t>）实施重点行业超低排放与深度治理，有序推进铸造、垃圾</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焚</w:t>
            </w:r>
            <w:r>
              <w:rPr>
                <w:rFonts w:hint="eastAsia" w:ascii="Times New Roman" w:hAnsi="Times New Roman" w:eastAsia="宋体" w:cs="宋体"/>
                <w:color w:val="000000" w:themeColor="text1"/>
                <w:kern w:val="0"/>
                <w:sz w:val="21"/>
                <w:szCs w:val="21"/>
                <w:highlight w:val="none"/>
                <w14:textFill>
                  <w14:solidFill>
                    <w14:schemeClr w14:val="tx1"/>
                  </w14:solidFill>
                </w14:textFill>
              </w:rPr>
              <w:t>烧发电、玻璃、有色、石灰、矿棉等行业深度治理，持续推进煤电机组深度脱硝改造，力争2024年底前完成单机10万千瓦及以上煤电机组深度脱硝改造任务。到</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2025</w:t>
            </w:r>
            <w:r>
              <w:rPr>
                <w:rFonts w:hint="eastAsia" w:ascii="Times New Roman" w:hAnsi="Times New Roman" w:eastAsia="宋体" w:cs="宋体"/>
                <w:color w:val="000000" w:themeColor="text1"/>
                <w:kern w:val="0"/>
                <w:sz w:val="21"/>
                <w:szCs w:val="21"/>
                <w:highlight w:val="none"/>
                <w14:textFill>
                  <w14:solidFill>
                    <w14:schemeClr w14:val="tx1"/>
                  </w14:solidFill>
                </w14:textFill>
              </w:rPr>
              <w:t>年底，全市水泥企业基本完成超低排放改造，实施重点行业绩效等级提升行动。</w:t>
            </w:r>
          </w:p>
          <w:p w14:paraId="24FC434F">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十七</w:t>
            </w:r>
            <w:r>
              <w:rPr>
                <w:rFonts w:hint="eastAsia" w:ascii="Times New Roman" w:hAnsi="Times New Roman" w:eastAsia="宋体" w:cs="宋体"/>
                <w:color w:val="000000" w:themeColor="text1"/>
                <w:kern w:val="0"/>
                <w:sz w:val="21"/>
                <w:szCs w:val="21"/>
                <w:highlight w:val="none"/>
                <w14:textFill>
                  <w14:solidFill>
                    <w14:schemeClr w14:val="tx1"/>
                  </w14:solidFill>
                </w14:textFill>
              </w:rPr>
              <w:t>）推进餐饮油烟、恶臭异味专项整治。加强部门联动，因地制宜解决人民群众反映集中的油烟和恶臭扰民问题。严格居民楼附近餐饮服务单位布局管理。拟开设餐饮服务单位的建筑应设计建设专用烟道。建立重点园区“嗅辨+监测”异味溯源机制。</w:t>
            </w:r>
          </w:p>
          <w:p w14:paraId="41F2F8D3">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十八）推动大气氨污染防控。推广氮肥机械深施和低蛋白日粮技术，到2025年全市主要农作物化肥施用量较2020年削减3%，畜禽粪污综合利用率稳定在95%左右。加强氮肥、纯碱等行业大气氨排放治理。强化工业源烟气脱硫脱硝氨逃逸防控。</w:t>
            </w:r>
          </w:p>
          <w:p w14:paraId="0734F03F">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采取以上措施后，常州市环境空气质量将得到持续改善</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5F6AE22A">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2</w:t>
            </w:r>
            <w:r>
              <w:rPr>
                <w:rFonts w:ascii="Times New Roman" w:hAnsi="Times New Roman" w:eastAsia="宋体" w:cs="宋体"/>
                <w:b/>
                <w:bCs/>
                <w:color w:val="000000" w:themeColor="text1"/>
                <w:sz w:val="21"/>
                <w:szCs w:val="21"/>
                <w:highlight w:val="none"/>
                <w14:textFill>
                  <w14:solidFill>
                    <w14:schemeClr w14:val="tx1"/>
                  </w14:solidFill>
                </w14:textFill>
              </w:rPr>
              <w:t>、地表水环境质量现状</w:t>
            </w:r>
          </w:p>
          <w:p w14:paraId="7AB2C132">
            <w:pPr>
              <w:autoSpaceDE w:val="0"/>
              <w:autoSpaceDN w:val="0"/>
              <w:spacing w:line="360" w:lineRule="auto"/>
              <w:ind w:firstLine="420" w:firstLineChars="200"/>
              <w:jc w:val="both"/>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根据</w:t>
            </w:r>
            <w:r>
              <w:rPr>
                <w:rFonts w:ascii="Times New Roman" w:hAnsi="Times New Roman" w:eastAsia="宋体" w:cs="宋体"/>
                <w:color w:val="000000" w:themeColor="text1"/>
                <w:spacing w:val="6"/>
                <w:sz w:val="21"/>
                <w:szCs w:val="21"/>
                <w:highlight w:val="none"/>
                <w14:textFill>
                  <w14:solidFill>
                    <w14:schemeClr w14:val="tx1"/>
                  </w14:solidFill>
                </w14:textFill>
              </w:rPr>
              <w:t>《</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202</w:t>
            </w:r>
            <w:r>
              <w:rPr>
                <w:rFonts w:hint="eastAsia" w:cs="宋体"/>
                <w:color w:val="000000" w:themeColor="text1"/>
                <w:spacing w:val="6"/>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年常州市生态环境状况公报</w:t>
            </w:r>
            <w:r>
              <w:rPr>
                <w:rFonts w:ascii="Times New Roman" w:hAnsi="Times New Roman" w:eastAsia="宋体" w:cs="宋体"/>
                <w:color w:val="000000" w:themeColor="text1"/>
                <w:spacing w:val="6"/>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，202</w:t>
            </w:r>
            <w:r>
              <w:rPr>
                <w:rFonts w:hint="eastAsia" w:cs="宋体"/>
                <w:color w:val="000000" w:themeColor="text1"/>
                <w:kern w:val="0"/>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kern w:val="0"/>
                <w:sz w:val="21"/>
                <w:szCs w:val="21"/>
                <w:highlight w:val="none"/>
                <w14:textFill>
                  <w14:solidFill>
                    <w14:schemeClr w14:val="tx1"/>
                  </w14:solidFill>
                </w14:textFill>
              </w:rPr>
              <w:t>年，常州市纳入“十四五”国家地表水环境质量考核的20个断面，年均水质达到或好于《地表水环境质量标准》（GB3838-2002）Ⅲ类标准的断面比例为85%，无劣Ⅴ类断面。纳入江苏省“十四五”水环境质量目标考核的51个断面，年均水质达到或好于Ⅲ类的比例为94.1%，无劣Ⅴ类断面。</w:t>
            </w:r>
          </w:p>
          <w:p w14:paraId="01CFC6A5">
            <w:pPr>
              <w:autoSpaceDE w:val="0"/>
              <w:autoSpaceDN w:val="0"/>
              <w:spacing w:line="360" w:lineRule="auto"/>
              <w:ind w:firstLine="444" w:firstLineChars="200"/>
              <w:rPr>
                <w:rFonts w:ascii="Times New Roman" w:hAnsi="Times New Roman" w:eastAsia="宋体" w:cs="宋体"/>
                <w:color w:val="000000" w:themeColor="text1"/>
                <w:spacing w:val="6"/>
                <w:sz w:val="21"/>
                <w:szCs w:val="21"/>
                <w:highlight w:val="none"/>
                <w14:textFill>
                  <w14:solidFill>
                    <w14:schemeClr w14:val="tx1"/>
                  </w14:solidFill>
                </w14:textFill>
              </w:rPr>
            </w:pPr>
            <w:r>
              <w:rPr>
                <w:rFonts w:hint="eastAsia" w:ascii="Times New Roman" w:hAnsi="Times New Roman" w:eastAsia="宋体" w:cs="宋体"/>
                <w:color w:val="000000" w:themeColor="text1"/>
                <w:spacing w:val="6"/>
                <w:sz w:val="21"/>
                <w:szCs w:val="21"/>
                <w:highlight w:val="none"/>
                <w14:textFill>
                  <w14:solidFill>
                    <w14:schemeClr w14:val="tx1"/>
                  </w14:solidFill>
                </w14:textFill>
              </w:rPr>
              <w:t>本项目污水最终受纳水体</w:t>
            </w:r>
            <w:r>
              <w:rPr>
                <w:rFonts w:hint="eastAsia" w:cs="宋体"/>
                <w:color w:val="000000" w:themeColor="text1"/>
                <w:spacing w:val="6"/>
                <w:sz w:val="21"/>
                <w:szCs w:val="21"/>
                <w:highlight w:val="none"/>
                <w:lang w:eastAsia="zh-CN"/>
                <w14:textFill>
                  <w14:solidFill>
                    <w14:schemeClr w14:val="tx1"/>
                  </w14:solidFill>
                </w14:textFill>
              </w:rPr>
              <w:t>丹金溧漕河</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水质现状引用</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常州市恒盈跃电子科技有限公司</w:t>
            </w:r>
            <w:r>
              <w:rPr>
                <w:rFonts w:hint="eastAsia" w:ascii="Times New Roman" w:hAnsi="Times New Roman" w:eastAsia="宋体" w:cs="宋体"/>
                <w:color w:val="000000" w:themeColor="text1"/>
                <w:kern w:val="0"/>
                <w:sz w:val="21"/>
                <w:szCs w:val="21"/>
                <w:highlight w:val="none"/>
                <w14:textFill>
                  <w14:solidFill>
                    <w14:schemeClr w14:val="tx1"/>
                  </w14:solidFill>
                </w14:textFill>
              </w:rPr>
              <w:t>》（编号：</w:t>
            </w:r>
            <w:r>
              <w:rPr>
                <w:rFonts w:hint="eastAsia" w:cs="宋体"/>
                <w:bCs/>
                <w:color w:val="000000" w:themeColor="text1"/>
                <w:kern w:val="0"/>
                <w:sz w:val="21"/>
                <w:szCs w:val="21"/>
                <w:highlight w:val="none"/>
                <w:lang w:val="en-US" w:eastAsia="zh-CN"/>
                <w14:textFill>
                  <w14:solidFill>
                    <w14:schemeClr w14:val="tx1"/>
                  </w14:solidFill>
                </w14:textFill>
              </w:rPr>
              <w:t>YJH25040701</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引用W1断面为</w:t>
            </w:r>
            <w:r>
              <w:rPr>
                <w:rFonts w:hint="eastAsia"/>
                <w:bCs/>
                <w:smallCaps w:val="0"/>
                <w:color w:val="000000" w:themeColor="text1"/>
                <w:sz w:val="21"/>
                <w:szCs w:val="21"/>
                <w:highlight w:val="none"/>
                <w:lang w:eastAsia="zh-CN"/>
                <w14:textFill>
                  <w14:solidFill>
                    <w14:schemeClr w14:val="tx1"/>
                  </w14:solidFill>
                </w14:textFill>
              </w:rPr>
              <w:t>指前污水处理厂</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排放口上游500m，</w:t>
            </w:r>
            <w:r>
              <w:rPr>
                <w:rFonts w:hint="eastAsia" w:ascii="Times New Roman" w:hAnsi="Times New Roman" w:eastAsia="宋体"/>
                <w:smallCaps w:val="0"/>
                <w:color w:val="000000" w:themeColor="text1"/>
                <w:spacing w:val="6"/>
                <w:sz w:val="21"/>
                <w:szCs w:val="21"/>
                <w:highlight w:val="none"/>
                <w:lang w:val="en-US" w:eastAsia="zh-CN"/>
                <w14:textFill>
                  <w14:solidFill>
                    <w14:schemeClr w14:val="tx1"/>
                  </w14:solidFill>
                </w14:textFill>
              </w:rPr>
              <w:t>W</w:t>
            </w:r>
            <w:r>
              <w:rPr>
                <w:rFonts w:hint="eastAsia"/>
                <w:smallCaps w:val="0"/>
                <w:color w:val="000000" w:themeColor="text1"/>
                <w:spacing w:val="6"/>
                <w:sz w:val="21"/>
                <w:szCs w:val="21"/>
                <w:highlight w:val="none"/>
                <w:lang w:val="en-US" w:eastAsia="zh-CN"/>
                <w14:textFill>
                  <w14:solidFill>
                    <w14:schemeClr w14:val="tx1"/>
                  </w14:solidFill>
                </w14:textFill>
              </w:rPr>
              <w:t>2</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断面为</w:t>
            </w:r>
            <w:r>
              <w:rPr>
                <w:rFonts w:hint="eastAsia"/>
                <w:bCs/>
                <w:smallCaps w:val="0"/>
                <w:color w:val="000000" w:themeColor="text1"/>
                <w:sz w:val="21"/>
                <w:szCs w:val="21"/>
                <w:highlight w:val="none"/>
                <w:lang w:eastAsia="zh-CN"/>
                <w14:textFill>
                  <w14:solidFill>
                    <w14:schemeClr w14:val="tx1"/>
                  </w14:solidFill>
                </w14:textFill>
              </w:rPr>
              <w:t>指前污水处理厂</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排放口下游</w:t>
            </w:r>
            <w:r>
              <w:rPr>
                <w:rFonts w:hint="eastAsia"/>
                <w:smallCaps w:val="0"/>
                <w:color w:val="000000" w:themeColor="text1"/>
                <w:spacing w:val="6"/>
                <w:sz w:val="21"/>
                <w:szCs w:val="21"/>
                <w:highlight w:val="none"/>
                <w:lang w:val="en-US" w:eastAsia="zh-CN"/>
                <w14:textFill>
                  <w14:solidFill>
                    <w14:schemeClr w14:val="tx1"/>
                  </w14:solidFill>
                </w14:textFill>
              </w:rPr>
              <w:t>500m</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，引用因子为pH</w:t>
            </w:r>
            <w:r>
              <w:rPr>
                <w:rFonts w:hint="eastAsia" w:ascii="Times New Roman" w:hAnsi="Times New Roman" w:eastAsia="宋体"/>
                <w:smallCaps w:val="0"/>
                <w:color w:val="000000" w:themeColor="text1"/>
                <w:spacing w:val="6"/>
                <w:sz w:val="21"/>
                <w:szCs w:val="21"/>
                <w:highlight w:val="none"/>
                <w:lang w:val="en-US" w:eastAsia="zh-CN"/>
                <w14:textFill>
                  <w14:solidFill>
                    <w14:schemeClr w14:val="tx1"/>
                  </w14:solidFill>
                </w14:textFill>
              </w:rPr>
              <w:t>值</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、COD、</w:t>
            </w:r>
            <w:r>
              <w:rPr>
                <w:rFonts w:hint="eastAsia"/>
                <w:smallCaps w:val="0"/>
                <w:color w:val="000000" w:themeColor="text1"/>
                <w:spacing w:val="6"/>
                <w:sz w:val="21"/>
                <w:szCs w:val="21"/>
                <w:highlight w:val="none"/>
                <w:lang w:val="en-US" w:eastAsia="zh-CN"/>
                <w14:textFill>
                  <w14:solidFill>
                    <w14:schemeClr w14:val="tx1"/>
                  </w14:solidFill>
                </w14:textFill>
              </w:rPr>
              <w:t>SS、</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NH</w:t>
            </w:r>
            <w:r>
              <w:rPr>
                <w:rFonts w:hint="eastAsia" w:ascii="Times New Roman" w:hAnsi="Times New Roman" w:eastAsia="宋体"/>
                <w:smallCaps w:val="0"/>
                <w:color w:val="000000" w:themeColor="text1"/>
                <w:spacing w:val="6"/>
                <w:sz w:val="21"/>
                <w:szCs w:val="21"/>
                <w:highlight w:val="none"/>
                <w:vertAlign w:val="subscript"/>
                <w14:textFill>
                  <w14:solidFill>
                    <w14:schemeClr w14:val="tx1"/>
                  </w14:solidFill>
                </w14:textFill>
              </w:rPr>
              <w:t>3</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-N、TP</w:t>
            </w:r>
            <w:r>
              <w:rPr>
                <w:rFonts w:hint="eastAsia"/>
                <w:smallCaps w:val="0"/>
                <w:color w:val="000000" w:themeColor="text1"/>
                <w:spacing w:val="6"/>
                <w:sz w:val="21"/>
                <w:szCs w:val="21"/>
                <w:highlight w:val="none"/>
                <w:lang w:eastAsia="zh-CN"/>
                <w14:textFill>
                  <w14:solidFill>
                    <w14:schemeClr w14:val="tx1"/>
                  </w14:solidFill>
                </w14:textFill>
              </w:rPr>
              <w:t>、</w:t>
            </w:r>
            <w:r>
              <w:rPr>
                <w:rFonts w:hint="eastAsia"/>
                <w:smallCaps w:val="0"/>
                <w:color w:val="000000" w:themeColor="text1"/>
                <w:spacing w:val="6"/>
                <w:sz w:val="21"/>
                <w:szCs w:val="21"/>
                <w:highlight w:val="none"/>
                <w:lang w:val="en-US" w:eastAsia="zh-CN"/>
                <w14:textFill>
                  <w14:solidFill>
                    <w14:schemeClr w14:val="tx1"/>
                  </w14:solidFill>
                </w14:textFill>
              </w:rPr>
              <w:t>TN</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，时间为202</w:t>
            </w:r>
            <w:r>
              <w:rPr>
                <w:rFonts w:hint="eastAsia"/>
                <w:smallCaps w:val="0"/>
                <w:color w:val="000000" w:themeColor="text1"/>
                <w:spacing w:val="6"/>
                <w:sz w:val="21"/>
                <w:szCs w:val="21"/>
                <w:highlight w:val="none"/>
                <w:lang w:val="en-US" w:eastAsia="zh-CN"/>
                <w14:textFill>
                  <w14:solidFill>
                    <w14:schemeClr w14:val="tx1"/>
                  </w14:solidFill>
                </w14:textFill>
              </w:rPr>
              <w:t>5</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年</w:t>
            </w:r>
            <w:r>
              <w:rPr>
                <w:rFonts w:hint="eastAsia"/>
                <w:smallCaps w:val="0"/>
                <w:color w:val="000000" w:themeColor="text1"/>
                <w:spacing w:val="6"/>
                <w:sz w:val="21"/>
                <w:szCs w:val="21"/>
                <w:highlight w:val="none"/>
                <w:lang w:val="en-US" w:eastAsia="zh-CN"/>
                <w14:textFill>
                  <w14:solidFill>
                    <w14:schemeClr w14:val="tx1"/>
                  </w14:solidFill>
                </w14:textFill>
              </w:rPr>
              <w:t>4</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月</w:t>
            </w:r>
            <w:r>
              <w:rPr>
                <w:rFonts w:hint="eastAsia"/>
                <w:smallCaps w:val="0"/>
                <w:color w:val="000000" w:themeColor="text1"/>
                <w:spacing w:val="6"/>
                <w:sz w:val="21"/>
                <w:szCs w:val="21"/>
                <w:highlight w:val="none"/>
                <w:lang w:val="en-US" w:eastAsia="zh-CN"/>
                <w14:textFill>
                  <w14:solidFill>
                    <w14:schemeClr w14:val="tx1"/>
                  </w14:solidFill>
                </w14:textFill>
              </w:rPr>
              <w:t>9</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日</w:t>
            </w:r>
            <w:r>
              <w:rPr>
                <w:rFonts w:hint="eastAsia" w:ascii="Times New Roman" w:hAnsi="Times New Roman" w:eastAsia="宋体"/>
                <w:smallCaps w:val="0"/>
                <w:color w:val="000000" w:themeColor="text1"/>
                <w:spacing w:val="6"/>
                <w:sz w:val="21"/>
                <w:szCs w:val="21"/>
                <w:highlight w:val="none"/>
                <w:lang w:eastAsia="zh-CN"/>
                <w14:textFill>
                  <w14:solidFill>
                    <w14:schemeClr w14:val="tx1"/>
                  </w14:solidFill>
                </w14:textFill>
              </w:rPr>
              <w:t>~</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202</w:t>
            </w:r>
            <w:r>
              <w:rPr>
                <w:rFonts w:hint="eastAsia"/>
                <w:smallCaps w:val="0"/>
                <w:color w:val="000000" w:themeColor="text1"/>
                <w:spacing w:val="6"/>
                <w:sz w:val="21"/>
                <w:szCs w:val="21"/>
                <w:highlight w:val="none"/>
                <w:lang w:val="en-US" w:eastAsia="zh-CN"/>
                <w14:textFill>
                  <w14:solidFill>
                    <w14:schemeClr w14:val="tx1"/>
                  </w14:solidFill>
                </w14:textFill>
              </w:rPr>
              <w:t>5</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年</w:t>
            </w:r>
            <w:r>
              <w:rPr>
                <w:rFonts w:hint="eastAsia"/>
                <w:smallCaps w:val="0"/>
                <w:color w:val="000000" w:themeColor="text1"/>
                <w:spacing w:val="6"/>
                <w:sz w:val="21"/>
                <w:szCs w:val="21"/>
                <w:highlight w:val="none"/>
                <w:lang w:val="en-US" w:eastAsia="zh-CN"/>
                <w14:textFill>
                  <w14:solidFill>
                    <w14:schemeClr w14:val="tx1"/>
                  </w14:solidFill>
                </w14:textFill>
              </w:rPr>
              <w:t>4</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月</w:t>
            </w:r>
            <w:r>
              <w:rPr>
                <w:rFonts w:hint="eastAsia"/>
                <w:smallCaps w:val="0"/>
                <w:color w:val="000000" w:themeColor="text1"/>
                <w:spacing w:val="6"/>
                <w:sz w:val="21"/>
                <w:szCs w:val="21"/>
                <w:highlight w:val="none"/>
                <w:lang w:val="en-US" w:eastAsia="zh-CN"/>
                <w14:textFill>
                  <w14:solidFill>
                    <w14:schemeClr w14:val="tx1"/>
                  </w14:solidFill>
                </w14:textFill>
              </w:rPr>
              <w:t>11</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日，引用可行性分析：监测数据距今尚在</w:t>
            </w:r>
            <w:r>
              <w:rPr>
                <w:rFonts w:ascii="Times New Roman" w:hAnsi="Times New Roman" w:eastAsia="宋体"/>
                <w:smallCaps w:val="0"/>
                <w:color w:val="000000" w:themeColor="text1"/>
                <w:spacing w:val="6"/>
                <w:sz w:val="21"/>
                <w:szCs w:val="21"/>
                <w:highlight w:val="none"/>
                <w14:textFill>
                  <w14:solidFill>
                    <w14:schemeClr w14:val="tx1"/>
                  </w14:solidFill>
                </w14:textFill>
              </w:rPr>
              <w:t>3</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年有效期内，引用断面位于本项目地表水评价范围内</w:t>
            </w:r>
            <w:r>
              <w:rPr>
                <w:rFonts w:hint="eastAsia" w:ascii="Times New Roman" w:hAnsi="Times New Roman" w:eastAsia="宋体" w:cs="宋体"/>
                <w:color w:val="000000" w:themeColor="text1"/>
                <w:spacing w:val="6"/>
                <w:sz w:val="21"/>
                <w:szCs w:val="21"/>
                <w:highlight w:val="none"/>
                <w14:textFill>
                  <w14:solidFill>
                    <w14:schemeClr w14:val="tx1"/>
                  </w14:solidFill>
                </w14:textFill>
              </w:rPr>
              <w:t>。</w:t>
            </w:r>
          </w:p>
          <w:p w14:paraId="27845591">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表3</w:t>
            </w:r>
            <w:r>
              <w:rPr>
                <w:rFonts w:hint="eastAsia" w:cs="宋体"/>
                <w:b/>
                <w:bCs/>
                <w:color w:val="000000" w:themeColor="text1"/>
                <w:spacing w:val="-4"/>
                <w:sz w:val="21"/>
                <w:szCs w:val="21"/>
                <w:highlight w:val="none"/>
                <w:lang w:val="en-US" w:eastAsia="zh-CN"/>
                <w14:textFill>
                  <w14:solidFill>
                    <w14:schemeClr w14:val="tx1"/>
                  </w14:solidFill>
                </w14:textFill>
              </w:rPr>
              <w:t>-2</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地表水</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环境质量现状  </w:t>
            </w:r>
            <w:r>
              <w:rPr>
                <w:rFonts w:ascii="Times New Roman" w:hAnsi="Times New Roman" w:eastAsia="宋体" w:cs="宋体"/>
                <w:b/>
                <w:bCs/>
                <w:color w:val="000000" w:themeColor="text1"/>
                <w:spacing w:val="-4"/>
                <w:sz w:val="21"/>
                <w:szCs w:val="21"/>
                <w:highlight w:val="none"/>
                <w14:textFill>
                  <w14:solidFill>
                    <w14:schemeClr w14:val="tx1"/>
                  </w14:solidFill>
                </w14:textFill>
              </w:rPr>
              <w:t>单位：mg/L，pH无量纲</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27"/>
              <w:gridCol w:w="2447"/>
              <w:gridCol w:w="1550"/>
              <w:gridCol w:w="1629"/>
              <w:gridCol w:w="645"/>
              <w:gridCol w:w="915"/>
            </w:tblGrid>
            <w:tr w14:paraId="5AE00B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Align w:val="center"/>
                </w:tcPr>
                <w:p w14:paraId="098321D9">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测点编号</w:t>
                  </w:r>
                </w:p>
              </w:tc>
              <w:tc>
                <w:tcPr>
                  <w:tcW w:w="1454" w:type="pct"/>
                  <w:vAlign w:val="center"/>
                </w:tcPr>
                <w:p w14:paraId="4164686C">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测点名称</w:t>
                  </w:r>
                </w:p>
              </w:tc>
              <w:tc>
                <w:tcPr>
                  <w:tcW w:w="921" w:type="pct"/>
                  <w:vAlign w:val="center"/>
                </w:tcPr>
                <w:p w14:paraId="04076800">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污染物名称</w:t>
                  </w:r>
                </w:p>
              </w:tc>
              <w:tc>
                <w:tcPr>
                  <w:tcW w:w="968" w:type="pct"/>
                  <w:vAlign w:val="center"/>
                </w:tcPr>
                <w:p w14:paraId="79FB0E37">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浓度范围</w:t>
                  </w:r>
                </w:p>
              </w:tc>
              <w:tc>
                <w:tcPr>
                  <w:tcW w:w="383" w:type="pct"/>
                  <w:vAlign w:val="center"/>
                </w:tcPr>
                <w:p w14:paraId="2770155B">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标准</w:t>
                  </w:r>
                </w:p>
              </w:tc>
              <w:tc>
                <w:tcPr>
                  <w:tcW w:w="543" w:type="pct"/>
                  <w:vAlign w:val="center"/>
                </w:tcPr>
                <w:p w14:paraId="5E781CF2">
                  <w:pPr>
                    <w:snapToGrid w:val="0"/>
                    <w:jc w:val="center"/>
                    <w:rPr>
                      <w:rFonts w:ascii="Times New Roman" w:hAnsi="Times New Roman" w:eastAsia="宋体"/>
                      <w:b/>
                      <w:bCs/>
                      <w:smallCaps w:val="0"/>
                      <w:color w:val="000000" w:themeColor="text1"/>
                      <w:sz w:val="21"/>
                      <w:szCs w:val="21"/>
                      <w:highlight w:val="none"/>
                      <w14:textFill>
                        <w14:solidFill>
                          <w14:schemeClr w14:val="tx1"/>
                        </w14:solidFill>
                      </w14:textFill>
                    </w:rPr>
                  </w:pPr>
                  <w:r>
                    <w:rPr>
                      <w:rFonts w:ascii="Times New Roman" w:hAnsi="Times New Roman" w:eastAsia="宋体"/>
                      <w:b/>
                      <w:bCs/>
                      <w:smallCaps w:val="0"/>
                      <w:color w:val="000000" w:themeColor="text1"/>
                      <w:sz w:val="21"/>
                      <w:szCs w:val="21"/>
                      <w:highlight w:val="none"/>
                      <w14:textFill>
                        <w14:solidFill>
                          <w14:schemeClr w14:val="tx1"/>
                        </w14:solidFill>
                      </w14:textFill>
                    </w:rPr>
                    <w:t>超标率</w:t>
                  </w:r>
                </w:p>
              </w:tc>
            </w:tr>
            <w:tr w14:paraId="475EB8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restart"/>
                  <w:vAlign w:val="center"/>
                </w:tcPr>
                <w:p w14:paraId="2C8A1CEA">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hint="eastAsia" w:ascii="Times New Roman" w:hAnsi="Times New Roman" w:eastAsia="宋体"/>
                      <w:smallCaps w:val="0"/>
                      <w:color w:val="000000" w:themeColor="text1"/>
                      <w:sz w:val="21"/>
                      <w:szCs w:val="21"/>
                      <w:highlight w:val="none"/>
                      <w14:textFill>
                        <w14:solidFill>
                          <w14:schemeClr w14:val="tx1"/>
                        </w14:solidFill>
                      </w14:textFill>
                    </w:rPr>
                    <w:t>W1</w:t>
                  </w:r>
                </w:p>
              </w:tc>
              <w:tc>
                <w:tcPr>
                  <w:tcW w:w="1454" w:type="pct"/>
                  <w:vMerge w:val="restart"/>
                  <w:vAlign w:val="center"/>
                </w:tcPr>
                <w:p w14:paraId="4CD9C5CE">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hint="eastAsia"/>
                      <w:smallCaps w:val="0"/>
                      <w:color w:val="000000" w:themeColor="text1"/>
                      <w:spacing w:val="6"/>
                      <w:sz w:val="21"/>
                      <w:szCs w:val="21"/>
                      <w:highlight w:val="none"/>
                      <w:lang w:eastAsia="zh-CN"/>
                      <w14:textFill>
                        <w14:solidFill>
                          <w14:schemeClr w14:val="tx1"/>
                        </w14:solidFill>
                      </w14:textFill>
                    </w:rPr>
                    <w:t>指前污水处理厂</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排放口上游500m</w:t>
                  </w:r>
                </w:p>
              </w:tc>
              <w:tc>
                <w:tcPr>
                  <w:tcW w:w="921" w:type="pct"/>
                  <w:vAlign w:val="center"/>
                </w:tcPr>
                <w:p w14:paraId="0859219C">
                  <w:pPr>
                    <w:snapToGrid w:val="0"/>
                    <w:jc w:val="cente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smallCaps w:val="0"/>
                      <w:color w:val="000000" w:themeColor="text1"/>
                      <w:sz w:val="21"/>
                      <w:szCs w:val="21"/>
                      <w:highlight w:val="none"/>
                      <w14:textFill>
                        <w14:solidFill>
                          <w14:schemeClr w14:val="tx1"/>
                        </w14:solidFill>
                      </w14:textFill>
                    </w:rPr>
                    <w:t>pH</w:t>
                  </w:r>
                  <w: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t>值</w:t>
                  </w:r>
                </w:p>
              </w:tc>
              <w:tc>
                <w:tcPr>
                  <w:tcW w:w="968" w:type="pct"/>
                  <w:vAlign w:val="center"/>
                </w:tcPr>
                <w:p w14:paraId="15AD87DB">
                  <w:pPr>
                    <w:snapToGrid w:val="0"/>
                    <w:jc w:val="center"/>
                    <w:rPr>
                      <w:rFonts w:hint="default" w:ascii="Times New Roman" w:hAnsi="Times New Roman" w:eastAsia="宋体"/>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7.3~7.5</w:t>
                  </w:r>
                </w:p>
              </w:tc>
              <w:tc>
                <w:tcPr>
                  <w:tcW w:w="383" w:type="pct"/>
                  <w:vAlign w:val="center"/>
                </w:tcPr>
                <w:p w14:paraId="526BA71D">
                  <w:pPr>
                    <w:snapToGrid w:val="0"/>
                    <w:jc w:val="center"/>
                    <w:textAlignment w:val="center"/>
                    <w:rPr>
                      <w:rFonts w:ascii="Times New Roman" w:hAnsi="Times New Roman" w:eastAsia="宋体"/>
                      <w:smallCaps w:val="0"/>
                      <w:color w:val="000000" w:themeColor="text1"/>
                      <w:kern w:val="11"/>
                      <w:sz w:val="21"/>
                      <w:szCs w:val="21"/>
                      <w:highlight w:val="none"/>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6~9</w:t>
                  </w:r>
                </w:p>
              </w:tc>
              <w:tc>
                <w:tcPr>
                  <w:tcW w:w="543" w:type="pct"/>
                  <w:vAlign w:val="center"/>
                </w:tcPr>
                <w:p w14:paraId="36185949">
                  <w:pPr>
                    <w:snapToGrid w:val="0"/>
                    <w:jc w:val="center"/>
                    <w:textAlignment w:val="center"/>
                    <w:rPr>
                      <w:rFonts w:ascii="Times New Roman" w:hAnsi="Times New Roman" w:eastAsia="宋体"/>
                      <w:smallCaps w:val="0"/>
                      <w:color w:val="000000" w:themeColor="text1"/>
                      <w:kern w:val="11"/>
                      <w:sz w:val="21"/>
                      <w:szCs w:val="21"/>
                      <w:highlight w:val="none"/>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30B5E5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58857991">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4DA87BB9">
                  <w:pPr>
                    <w:snapToGrid w:val="0"/>
                    <w:jc w:val="center"/>
                    <w:rPr>
                      <w:rFonts w:ascii="Times New Roman" w:hAnsi="Times New Roman" w:eastAsia="宋体"/>
                      <w:smallCaps w:val="0"/>
                      <w:color w:val="000000" w:themeColor="text1"/>
                      <w:spacing w:val="6"/>
                      <w:sz w:val="21"/>
                      <w:szCs w:val="21"/>
                      <w:highlight w:val="none"/>
                      <w14:textFill>
                        <w14:solidFill>
                          <w14:schemeClr w14:val="tx1"/>
                        </w14:solidFill>
                      </w14:textFill>
                    </w:rPr>
                  </w:pPr>
                </w:p>
              </w:tc>
              <w:tc>
                <w:tcPr>
                  <w:tcW w:w="921" w:type="pct"/>
                  <w:vAlign w:val="center"/>
                </w:tcPr>
                <w:p w14:paraId="516B6FF0">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COD</w:t>
                  </w:r>
                </w:p>
              </w:tc>
              <w:tc>
                <w:tcPr>
                  <w:tcW w:w="968" w:type="pct"/>
                  <w:vAlign w:val="center"/>
                </w:tcPr>
                <w:p w14:paraId="013B71A6">
                  <w:pPr>
                    <w:snapToGrid w:val="0"/>
                    <w:jc w:val="center"/>
                    <w:rPr>
                      <w:rFonts w:hint="default" w:ascii="Times New Roman" w:hAnsi="Times New Roman" w:eastAsia="宋体"/>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14~15</w:t>
                  </w:r>
                </w:p>
              </w:tc>
              <w:tc>
                <w:tcPr>
                  <w:tcW w:w="645" w:type="dxa"/>
                  <w:vAlign w:val="center"/>
                </w:tcPr>
                <w:p w14:paraId="511485D6">
                  <w:pPr>
                    <w:snapToGrid w:val="0"/>
                    <w:jc w:val="center"/>
                    <w:textAlignment w:val="center"/>
                    <w:rPr>
                      <w:rFonts w:hint="default" w:ascii="Times New Roman" w:hAnsi="Times New Roman" w:eastAsia="宋体"/>
                      <w:smallCaps w:val="0"/>
                      <w:color w:val="000000" w:themeColor="text1"/>
                      <w:kern w:val="11"/>
                      <w:sz w:val="21"/>
                      <w:szCs w:val="21"/>
                      <w:highlight w:val="none"/>
                      <w:lang w:val="en-US" w:eastAsia="zh-CN"/>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20</w:t>
                  </w:r>
                </w:p>
              </w:tc>
              <w:tc>
                <w:tcPr>
                  <w:tcW w:w="543" w:type="pct"/>
                  <w:vAlign w:val="center"/>
                </w:tcPr>
                <w:p w14:paraId="004C0E82">
                  <w:pPr>
                    <w:snapToGrid w:val="0"/>
                    <w:jc w:val="center"/>
                    <w:textAlignment w:val="center"/>
                    <w:rPr>
                      <w:rFonts w:ascii="Times New Roman" w:hAnsi="Times New Roman" w:eastAsia="宋体"/>
                      <w:smallCaps w:val="0"/>
                      <w:color w:val="000000" w:themeColor="text1"/>
                      <w:kern w:val="11"/>
                      <w:sz w:val="21"/>
                      <w:szCs w:val="21"/>
                      <w:highlight w:val="none"/>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7780E05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461410B0">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327A66AE">
                  <w:pPr>
                    <w:snapToGrid w:val="0"/>
                    <w:jc w:val="center"/>
                    <w:rPr>
                      <w:rFonts w:ascii="Times New Roman" w:hAnsi="Times New Roman" w:eastAsia="宋体"/>
                      <w:smallCaps w:val="0"/>
                      <w:color w:val="000000" w:themeColor="text1"/>
                      <w:spacing w:val="6"/>
                      <w:sz w:val="21"/>
                      <w:szCs w:val="21"/>
                      <w:highlight w:val="none"/>
                      <w14:textFill>
                        <w14:solidFill>
                          <w14:schemeClr w14:val="tx1"/>
                        </w14:solidFill>
                      </w14:textFill>
                    </w:rPr>
                  </w:pPr>
                </w:p>
              </w:tc>
              <w:tc>
                <w:tcPr>
                  <w:tcW w:w="921" w:type="pct"/>
                  <w:vAlign w:val="center"/>
                </w:tcPr>
                <w:p w14:paraId="2F04EAB7">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NH</w:t>
                  </w:r>
                  <w:r>
                    <w:rPr>
                      <w:rFonts w:hint="eastAsia" w:ascii="Times New Roman" w:hAnsi="Times New Roman" w:eastAsia="宋体"/>
                      <w:smallCaps w:val="0"/>
                      <w:color w:val="000000" w:themeColor="text1"/>
                      <w:spacing w:val="6"/>
                      <w:sz w:val="21"/>
                      <w:szCs w:val="21"/>
                      <w:highlight w:val="none"/>
                      <w:vertAlign w:val="subscript"/>
                      <w14:textFill>
                        <w14:solidFill>
                          <w14:schemeClr w14:val="tx1"/>
                        </w14:solidFill>
                      </w14:textFill>
                    </w:rPr>
                    <w:t>3</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w:t>
                  </w:r>
                </w:p>
              </w:tc>
              <w:tc>
                <w:tcPr>
                  <w:tcW w:w="968" w:type="pct"/>
                  <w:vAlign w:val="center"/>
                </w:tcPr>
                <w:p w14:paraId="57387212">
                  <w:pPr>
                    <w:snapToGrid w:val="0"/>
                    <w:jc w:val="center"/>
                    <w:rPr>
                      <w:rFonts w:hint="default" w:ascii="Times New Roman" w:hAnsi="Times New Roman" w:eastAsia="宋体"/>
                      <w:smallCaps w:val="0"/>
                      <w:color w:val="000000" w:themeColor="text1"/>
                      <w:sz w:val="21"/>
                      <w:szCs w:val="21"/>
                      <w:highlight w:val="none"/>
                      <w:lang w:val="en-US" w:eastAsia="zh-CN"/>
                      <w14:textFill>
                        <w14:solidFill>
                          <w14:schemeClr w14:val="tx1"/>
                        </w14:solidFill>
                      </w14:textFill>
                    </w:rPr>
                  </w:pPr>
                  <w:r>
                    <w:rPr>
                      <w:rFonts w:hint="eastAsia"/>
                      <w:smallCaps w:val="0"/>
                      <w:color w:val="000000" w:themeColor="text1"/>
                      <w:sz w:val="21"/>
                      <w:szCs w:val="21"/>
                      <w:highlight w:val="none"/>
                      <w:lang w:val="en-US" w:eastAsia="zh-CN"/>
                      <w14:textFill>
                        <w14:solidFill>
                          <w14:schemeClr w14:val="tx1"/>
                        </w14:solidFill>
                      </w14:textFill>
                    </w:rPr>
                    <w:t>0.258~0.322</w:t>
                  </w:r>
                </w:p>
              </w:tc>
              <w:tc>
                <w:tcPr>
                  <w:tcW w:w="645" w:type="dxa"/>
                  <w:vAlign w:val="center"/>
                </w:tcPr>
                <w:p w14:paraId="3ACE8858">
                  <w:pPr>
                    <w:snapToGrid w:val="0"/>
                    <w:jc w:val="center"/>
                    <w:textAlignment w:val="center"/>
                    <w:rPr>
                      <w:rFonts w:hint="default" w:ascii="Times New Roman" w:hAnsi="Times New Roman" w:eastAsia="宋体"/>
                      <w:smallCaps w:val="0"/>
                      <w:color w:val="000000" w:themeColor="text1"/>
                      <w:kern w:val="11"/>
                      <w:sz w:val="21"/>
                      <w:szCs w:val="21"/>
                      <w:highlight w:val="none"/>
                      <w:lang w:val="en-US" w:eastAsia="zh-CN"/>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1</w:t>
                  </w:r>
                </w:p>
              </w:tc>
              <w:tc>
                <w:tcPr>
                  <w:tcW w:w="543" w:type="pct"/>
                  <w:vAlign w:val="center"/>
                </w:tcPr>
                <w:p w14:paraId="2E589664">
                  <w:pPr>
                    <w:snapToGrid w:val="0"/>
                    <w:jc w:val="center"/>
                    <w:textAlignment w:val="center"/>
                    <w:rPr>
                      <w:rFonts w:ascii="Times New Roman" w:hAnsi="Times New Roman" w:eastAsia="宋体"/>
                      <w:smallCaps w:val="0"/>
                      <w:color w:val="000000" w:themeColor="text1"/>
                      <w:kern w:val="11"/>
                      <w:sz w:val="21"/>
                      <w:szCs w:val="21"/>
                      <w:highlight w:val="none"/>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3150FF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6017B1A7">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4B1EB655">
                  <w:pPr>
                    <w:snapToGrid w:val="0"/>
                    <w:jc w:val="center"/>
                    <w:rPr>
                      <w:rFonts w:ascii="Times New Roman" w:hAnsi="Times New Roman" w:eastAsia="宋体"/>
                      <w:smallCaps w:val="0"/>
                      <w:color w:val="000000" w:themeColor="text1"/>
                      <w:spacing w:val="6"/>
                      <w:sz w:val="21"/>
                      <w:szCs w:val="21"/>
                      <w:highlight w:val="none"/>
                      <w14:textFill>
                        <w14:solidFill>
                          <w14:schemeClr w14:val="tx1"/>
                        </w14:solidFill>
                      </w14:textFill>
                    </w:rPr>
                  </w:pPr>
                </w:p>
              </w:tc>
              <w:tc>
                <w:tcPr>
                  <w:tcW w:w="921" w:type="pct"/>
                  <w:shd w:val="clear" w:color="auto" w:fill="auto"/>
                  <w:vAlign w:val="center"/>
                </w:tcPr>
                <w:p w14:paraId="199D6FD2">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TP</w:t>
                  </w:r>
                </w:p>
              </w:tc>
              <w:tc>
                <w:tcPr>
                  <w:tcW w:w="968" w:type="pct"/>
                  <w:shd w:val="clear" w:color="auto" w:fill="auto"/>
                  <w:vAlign w:val="center"/>
                </w:tcPr>
                <w:p w14:paraId="698391C9">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0.05~0.12</w:t>
                  </w:r>
                </w:p>
              </w:tc>
              <w:tc>
                <w:tcPr>
                  <w:tcW w:w="645" w:type="dxa"/>
                  <w:shd w:val="clear" w:color="auto" w:fill="auto"/>
                  <w:vAlign w:val="center"/>
                </w:tcPr>
                <w:p w14:paraId="65370B27">
                  <w:pPr>
                    <w:snapToGrid w:val="0"/>
                    <w:jc w:val="center"/>
                    <w:textAlignment w:val="center"/>
                    <w:rPr>
                      <w:rFonts w:hint="default"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0.2</w:t>
                  </w:r>
                </w:p>
              </w:tc>
              <w:tc>
                <w:tcPr>
                  <w:tcW w:w="543" w:type="pct"/>
                  <w:shd w:val="clear" w:color="auto" w:fill="auto"/>
                  <w:vAlign w:val="center"/>
                </w:tcPr>
                <w:p w14:paraId="7AA21058">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1AB66C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042C5816">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379FA405">
                  <w:pPr>
                    <w:snapToGrid w:val="0"/>
                    <w:jc w:val="center"/>
                    <w:rPr>
                      <w:rFonts w:ascii="Times New Roman" w:hAnsi="Times New Roman" w:eastAsia="宋体"/>
                      <w:smallCaps w:val="0"/>
                      <w:color w:val="000000" w:themeColor="text1"/>
                      <w:spacing w:val="6"/>
                      <w:sz w:val="21"/>
                      <w:szCs w:val="21"/>
                      <w:highlight w:val="none"/>
                      <w14:textFill>
                        <w14:solidFill>
                          <w14:schemeClr w14:val="tx1"/>
                        </w14:solidFill>
                      </w14:textFill>
                    </w:rPr>
                  </w:pPr>
                </w:p>
              </w:tc>
              <w:tc>
                <w:tcPr>
                  <w:tcW w:w="921" w:type="pct"/>
                  <w:shd w:val="clear" w:color="auto" w:fill="auto"/>
                  <w:vAlign w:val="center"/>
                </w:tcPr>
                <w:p w14:paraId="194FAAB4">
                  <w:pPr>
                    <w:snapToGrid w:val="0"/>
                    <w:jc w:val="center"/>
                    <w:rPr>
                      <w:rFonts w:hint="default"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spacing w:val="6"/>
                      <w:kern w:val="2"/>
                      <w:sz w:val="21"/>
                      <w:szCs w:val="21"/>
                      <w:highlight w:val="none"/>
                      <w:lang w:val="en-US" w:eastAsia="zh-CN" w:bidi="ar-SA"/>
                      <w14:textFill>
                        <w14:solidFill>
                          <w14:schemeClr w14:val="tx1"/>
                        </w14:solidFill>
                      </w14:textFill>
                    </w:rPr>
                    <w:t>TN</w:t>
                  </w:r>
                </w:p>
              </w:tc>
              <w:tc>
                <w:tcPr>
                  <w:tcW w:w="968" w:type="pct"/>
                  <w:shd w:val="clear" w:color="auto" w:fill="auto"/>
                  <w:vAlign w:val="center"/>
                </w:tcPr>
                <w:p w14:paraId="6A0769DC">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0.586~0.684</w:t>
                  </w:r>
                </w:p>
              </w:tc>
              <w:tc>
                <w:tcPr>
                  <w:tcW w:w="645" w:type="dxa"/>
                  <w:shd w:val="clear" w:color="auto" w:fill="auto"/>
                  <w:vAlign w:val="center"/>
                </w:tcPr>
                <w:p w14:paraId="562B91EF">
                  <w:pPr>
                    <w:snapToGrid w:val="0"/>
                    <w:jc w:val="center"/>
                    <w:textAlignment w:val="center"/>
                    <w:rPr>
                      <w:rFonts w:hint="default"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t>1</w:t>
                  </w:r>
                </w:p>
              </w:tc>
              <w:tc>
                <w:tcPr>
                  <w:tcW w:w="543" w:type="pct"/>
                  <w:shd w:val="clear" w:color="auto" w:fill="auto"/>
                  <w:vAlign w:val="center"/>
                </w:tcPr>
                <w:p w14:paraId="6E0012BE">
                  <w:pPr>
                    <w:snapToGrid w:val="0"/>
                    <w:jc w:val="center"/>
                    <w:textAlignment w:val="center"/>
                    <w:rPr>
                      <w:rFonts w:hint="default"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0</w:t>
                  </w:r>
                </w:p>
              </w:tc>
            </w:tr>
            <w:tr w14:paraId="0E2E57F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541CE437">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4C273D62">
                  <w:pPr>
                    <w:snapToGrid w:val="0"/>
                    <w:jc w:val="center"/>
                    <w:rPr>
                      <w:rFonts w:ascii="Times New Roman" w:hAnsi="Times New Roman" w:eastAsia="宋体"/>
                      <w:smallCaps w:val="0"/>
                      <w:color w:val="000000" w:themeColor="text1"/>
                      <w:spacing w:val="6"/>
                      <w:sz w:val="21"/>
                      <w:szCs w:val="21"/>
                      <w:highlight w:val="none"/>
                      <w14:textFill>
                        <w14:solidFill>
                          <w14:schemeClr w14:val="tx1"/>
                        </w14:solidFill>
                      </w14:textFill>
                    </w:rPr>
                  </w:pPr>
                </w:p>
              </w:tc>
              <w:tc>
                <w:tcPr>
                  <w:tcW w:w="921" w:type="pct"/>
                  <w:shd w:val="clear" w:color="auto" w:fill="auto"/>
                  <w:vAlign w:val="center"/>
                </w:tcPr>
                <w:p w14:paraId="160D0CF0">
                  <w:pPr>
                    <w:snapToGrid w:val="0"/>
                    <w:jc w:val="center"/>
                    <w:rPr>
                      <w:rFonts w:hint="default"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spacing w:val="6"/>
                      <w:kern w:val="2"/>
                      <w:sz w:val="21"/>
                      <w:szCs w:val="21"/>
                      <w:highlight w:val="none"/>
                      <w:lang w:val="en-US" w:eastAsia="zh-CN" w:bidi="ar-SA"/>
                      <w14:textFill>
                        <w14:solidFill>
                          <w14:schemeClr w14:val="tx1"/>
                        </w14:solidFill>
                      </w14:textFill>
                    </w:rPr>
                    <w:t>SS</w:t>
                  </w:r>
                </w:p>
              </w:tc>
              <w:tc>
                <w:tcPr>
                  <w:tcW w:w="968" w:type="pct"/>
                  <w:shd w:val="clear" w:color="auto" w:fill="auto"/>
                  <w:vAlign w:val="center"/>
                </w:tcPr>
                <w:p w14:paraId="2489F565">
                  <w:pPr>
                    <w:snapToGrid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11~14</w:t>
                  </w:r>
                </w:p>
              </w:tc>
              <w:tc>
                <w:tcPr>
                  <w:tcW w:w="383" w:type="pct"/>
                  <w:shd w:val="clear" w:color="auto" w:fill="auto"/>
                  <w:vAlign w:val="center"/>
                </w:tcPr>
                <w:p w14:paraId="7C755A01">
                  <w:pPr>
                    <w:snapToGrid w:val="0"/>
                    <w:jc w:val="center"/>
                    <w:textAlignment w:val="center"/>
                    <w:rPr>
                      <w:rFonts w:hint="default"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w:t>
                  </w:r>
                </w:p>
              </w:tc>
              <w:tc>
                <w:tcPr>
                  <w:tcW w:w="543" w:type="pct"/>
                  <w:shd w:val="clear" w:color="auto" w:fill="auto"/>
                  <w:vAlign w:val="center"/>
                </w:tcPr>
                <w:p w14:paraId="0ECF0B7A">
                  <w:pPr>
                    <w:snapToGrid w:val="0"/>
                    <w:jc w:val="center"/>
                    <w:textAlignment w:val="center"/>
                    <w:rPr>
                      <w:rFonts w:hint="default"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w:t>
                  </w:r>
                </w:p>
              </w:tc>
            </w:tr>
            <w:tr w14:paraId="033BD15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restart"/>
                  <w:shd w:val="clear" w:color="auto" w:fill="auto"/>
                  <w:vAlign w:val="center"/>
                </w:tcPr>
                <w:p w14:paraId="76D62AF0">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t>W</w:t>
                  </w:r>
                  <w:r>
                    <w:rPr>
                      <w:rFonts w:hint="eastAsia"/>
                      <w:smallCaps w:val="0"/>
                      <w:color w:val="000000" w:themeColor="text1"/>
                      <w:sz w:val="21"/>
                      <w:szCs w:val="21"/>
                      <w:highlight w:val="none"/>
                      <w:lang w:val="en-US" w:eastAsia="zh-CN"/>
                      <w14:textFill>
                        <w14:solidFill>
                          <w14:schemeClr w14:val="tx1"/>
                        </w14:solidFill>
                      </w14:textFill>
                    </w:rPr>
                    <w:t>2</w:t>
                  </w:r>
                </w:p>
              </w:tc>
              <w:tc>
                <w:tcPr>
                  <w:tcW w:w="1454" w:type="pct"/>
                  <w:vMerge w:val="restart"/>
                  <w:shd w:val="clear" w:color="auto" w:fill="auto"/>
                  <w:vAlign w:val="center"/>
                </w:tcPr>
                <w:p w14:paraId="10700496">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smallCaps w:val="0"/>
                      <w:color w:val="000000" w:themeColor="text1"/>
                      <w:spacing w:val="6"/>
                      <w:sz w:val="21"/>
                      <w:szCs w:val="21"/>
                      <w:highlight w:val="none"/>
                      <w:lang w:eastAsia="zh-CN"/>
                      <w14:textFill>
                        <w14:solidFill>
                          <w14:schemeClr w14:val="tx1"/>
                        </w14:solidFill>
                      </w14:textFill>
                    </w:rPr>
                    <w:t>指前污水处理厂</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排放口下游</w:t>
                  </w:r>
                  <w:r>
                    <w:rPr>
                      <w:rFonts w:hint="eastAsia"/>
                      <w:smallCaps w:val="0"/>
                      <w:color w:val="000000" w:themeColor="text1"/>
                      <w:spacing w:val="6"/>
                      <w:sz w:val="21"/>
                      <w:szCs w:val="21"/>
                      <w:highlight w:val="none"/>
                      <w:lang w:val="en-US" w:eastAsia="zh-CN"/>
                      <w14:textFill>
                        <w14:solidFill>
                          <w14:schemeClr w14:val="tx1"/>
                        </w14:solidFill>
                      </w14:textFill>
                    </w:rPr>
                    <w:t>500m</w:t>
                  </w:r>
                </w:p>
              </w:tc>
              <w:tc>
                <w:tcPr>
                  <w:tcW w:w="921" w:type="pct"/>
                  <w:shd w:val="clear" w:color="auto" w:fill="auto"/>
                  <w:vAlign w:val="center"/>
                </w:tcPr>
                <w:p w14:paraId="44E31920">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t>p</w:t>
                  </w:r>
                  <w:r>
                    <w:rPr>
                      <w:rFonts w:hint="eastAsia" w:ascii="Times New Roman" w:hAnsi="Times New Roman" w:eastAsia="宋体"/>
                      <w:smallCaps w:val="0"/>
                      <w:color w:val="000000" w:themeColor="text1"/>
                      <w:sz w:val="21"/>
                      <w:szCs w:val="21"/>
                      <w:highlight w:val="none"/>
                      <w14:textFill>
                        <w14:solidFill>
                          <w14:schemeClr w14:val="tx1"/>
                        </w14:solidFill>
                      </w14:textFill>
                    </w:rPr>
                    <w:t>H</w:t>
                  </w:r>
                  <w:r>
                    <w:rPr>
                      <w:rFonts w:hint="eastAsia" w:ascii="Times New Roman" w:hAnsi="Times New Roman" w:eastAsia="宋体"/>
                      <w:smallCaps w:val="0"/>
                      <w:color w:val="000000" w:themeColor="text1"/>
                      <w:sz w:val="21"/>
                      <w:szCs w:val="21"/>
                      <w:highlight w:val="none"/>
                      <w:lang w:val="en-US" w:eastAsia="zh-CN"/>
                      <w14:textFill>
                        <w14:solidFill>
                          <w14:schemeClr w14:val="tx1"/>
                        </w14:solidFill>
                      </w14:textFill>
                    </w:rPr>
                    <w:t>值</w:t>
                  </w:r>
                </w:p>
              </w:tc>
              <w:tc>
                <w:tcPr>
                  <w:tcW w:w="968" w:type="pct"/>
                  <w:shd w:val="clear" w:color="auto" w:fill="auto"/>
                  <w:vAlign w:val="center"/>
                </w:tcPr>
                <w:p w14:paraId="0393AEB3">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7.2~7.5</w:t>
                  </w:r>
                </w:p>
              </w:tc>
              <w:tc>
                <w:tcPr>
                  <w:tcW w:w="383" w:type="pct"/>
                  <w:shd w:val="clear" w:color="auto" w:fill="auto"/>
                  <w:vAlign w:val="center"/>
                </w:tcPr>
                <w:p w14:paraId="5038878B">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6~9</w:t>
                  </w:r>
                </w:p>
              </w:tc>
              <w:tc>
                <w:tcPr>
                  <w:tcW w:w="543" w:type="pct"/>
                  <w:shd w:val="clear" w:color="auto" w:fill="auto"/>
                  <w:vAlign w:val="center"/>
                </w:tcPr>
                <w:p w14:paraId="6090B8CA">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6F1EE78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7998AFA6">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41AABE55">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921" w:type="pct"/>
                  <w:shd w:val="clear" w:color="auto" w:fill="auto"/>
                  <w:vAlign w:val="center"/>
                </w:tcPr>
                <w:p w14:paraId="1D724C66">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COD</w:t>
                  </w:r>
                </w:p>
              </w:tc>
              <w:tc>
                <w:tcPr>
                  <w:tcW w:w="968" w:type="pct"/>
                  <w:shd w:val="clear" w:color="auto" w:fill="auto"/>
                  <w:vAlign w:val="center"/>
                </w:tcPr>
                <w:p w14:paraId="19879669">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16~19</w:t>
                  </w:r>
                </w:p>
              </w:tc>
              <w:tc>
                <w:tcPr>
                  <w:tcW w:w="645" w:type="dxa"/>
                  <w:shd w:val="clear" w:color="auto" w:fill="auto"/>
                  <w:vAlign w:val="center"/>
                </w:tcPr>
                <w:p w14:paraId="4763D251">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20</w:t>
                  </w:r>
                </w:p>
              </w:tc>
              <w:tc>
                <w:tcPr>
                  <w:tcW w:w="543" w:type="pct"/>
                  <w:shd w:val="clear" w:color="auto" w:fill="auto"/>
                  <w:vAlign w:val="center"/>
                </w:tcPr>
                <w:p w14:paraId="7212AE08">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130BB0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722A019C">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38D99F9A">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921" w:type="pct"/>
                  <w:shd w:val="clear" w:color="auto" w:fill="auto"/>
                  <w:vAlign w:val="center"/>
                </w:tcPr>
                <w:p w14:paraId="34DC275E">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NH</w:t>
                  </w:r>
                  <w:r>
                    <w:rPr>
                      <w:rFonts w:hint="eastAsia" w:ascii="Times New Roman" w:hAnsi="Times New Roman" w:eastAsia="宋体"/>
                      <w:smallCaps w:val="0"/>
                      <w:color w:val="000000" w:themeColor="text1"/>
                      <w:spacing w:val="6"/>
                      <w:sz w:val="21"/>
                      <w:szCs w:val="21"/>
                      <w:highlight w:val="none"/>
                      <w:vertAlign w:val="subscript"/>
                      <w14:textFill>
                        <w14:solidFill>
                          <w14:schemeClr w14:val="tx1"/>
                        </w14:solidFill>
                      </w14:textFill>
                    </w:rPr>
                    <w:t>3</w:t>
                  </w: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-N</w:t>
                  </w:r>
                </w:p>
              </w:tc>
              <w:tc>
                <w:tcPr>
                  <w:tcW w:w="968" w:type="pct"/>
                  <w:shd w:val="clear" w:color="auto" w:fill="auto"/>
                  <w:vAlign w:val="center"/>
                </w:tcPr>
                <w:p w14:paraId="079BC6CA">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0.375~0.401</w:t>
                  </w:r>
                </w:p>
              </w:tc>
              <w:tc>
                <w:tcPr>
                  <w:tcW w:w="645" w:type="dxa"/>
                  <w:shd w:val="clear" w:color="auto" w:fill="auto"/>
                  <w:vAlign w:val="center"/>
                </w:tcPr>
                <w:p w14:paraId="1947B8B8">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1</w:t>
                  </w:r>
                </w:p>
              </w:tc>
              <w:tc>
                <w:tcPr>
                  <w:tcW w:w="543" w:type="pct"/>
                  <w:shd w:val="clear" w:color="auto" w:fill="auto"/>
                  <w:vAlign w:val="center"/>
                </w:tcPr>
                <w:p w14:paraId="73719448">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3DBDD2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7F993702">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20FD945E">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921" w:type="pct"/>
                  <w:shd w:val="clear" w:color="auto" w:fill="auto"/>
                  <w:vAlign w:val="center"/>
                </w:tcPr>
                <w:p w14:paraId="13926FF9">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spacing w:val="6"/>
                      <w:sz w:val="21"/>
                      <w:szCs w:val="21"/>
                      <w:highlight w:val="none"/>
                      <w14:textFill>
                        <w14:solidFill>
                          <w14:schemeClr w14:val="tx1"/>
                        </w14:solidFill>
                      </w14:textFill>
                    </w:rPr>
                    <w:t>TP</w:t>
                  </w:r>
                </w:p>
              </w:tc>
              <w:tc>
                <w:tcPr>
                  <w:tcW w:w="968" w:type="pct"/>
                  <w:shd w:val="clear" w:color="auto" w:fill="auto"/>
                  <w:vAlign w:val="center"/>
                </w:tcPr>
                <w:p w14:paraId="35F95046">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0.09~0.18</w:t>
                  </w:r>
                </w:p>
              </w:tc>
              <w:tc>
                <w:tcPr>
                  <w:tcW w:w="645" w:type="dxa"/>
                  <w:shd w:val="clear" w:color="auto" w:fill="auto"/>
                  <w:vAlign w:val="center"/>
                </w:tcPr>
                <w:p w14:paraId="6F3C3D7E">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lang w:val="en-US" w:eastAsia="zh-CN"/>
                      <w14:textFill>
                        <w14:solidFill>
                          <w14:schemeClr w14:val="tx1"/>
                        </w14:solidFill>
                      </w14:textFill>
                    </w:rPr>
                    <w:t>0.2</w:t>
                  </w:r>
                </w:p>
              </w:tc>
              <w:tc>
                <w:tcPr>
                  <w:tcW w:w="543" w:type="pct"/>
                  <w:shd w:val="clear" w:color="auto" w:fill="auto"/>
                  <w:vAlign w:val="center"/>
                </w:tcPr>
                <w:p w14:paraId="4CB6B45A">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smallCaps w:val="0"/>
                      <w:color w:val="000000" w:themeColor="text1"/>
                      <w:kern w:val="11"/>
                      <w:sz w:val="21"/>
                      <w:szCs w:val="21"/>
                      <w:highlight w:val="none"/>
                      <w14:textFill>
                        <w14:solidFill>
                          <w14:schemeClr w14:val="tx1"/>
                        </w14:solidFill>
                      </w14:textFill>
                    </w:rPr>
                    <w:t>0</w:t>
                  </w:r>
                </w:p>
              </w:tc>
            </w:tr>
            <w:tr w14:paraId="30A2B4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7CBC26D9">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4BA67B3C">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921" w:type="pct"/>
                  <w:shd w:val="clear" w:color="auto" w:fill="auto"/>
                  <w:vAlign w:val="center"/>
                </w:tcPr>
                <w:p w14:paraId="150B0D99">
                  <w:pPr>
                    <w:snapToGrid w:val="0"/>
                    <w:jc w:val="center"/>
                    <w:rPr>
                      <w:rFonts w:hint="eastAsia" w:ascii="Times New Roman" w:hAnsi="Times New Roman" w:eastAsia="宋体"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spacing w:val="6"/>
                      <w:kern w:val="2"/>
                      <w:sz w:val="21"/>
                      <w:szCs w:val="21"/>
                      <w:highlight w:val="none"/>
                      <w:lang w:val="en-US" w:eastAsia="zh-CN" w:bidi="ar-SA"/>
                      <w14:textFill>
                        <w14:solidFill>
                          <w14:schemeClr w14:val="tx1"/>
                        </w14:solidFill>
                      </w14:textFill>
                    </w:rPr>
                    <w:t>TN</w:t>
                  </w:r>
                </w:p>
              </w:tc>
              <w:tc>
                <w:tcPr>
                  <w:tcW w:w="968" w:type="pct"/>
                  <w:shd w:val="clear" w:color="auto" w:fill="auto"/>
                  <w:vAlign w:val="center"/>
                </w:tcPr>
                <w:p w14:paraId="4210AB27">
                  <w:pPr>
                    <w:snapToGrid w:val="0"/>
                    <w:jc w:val="center"/>
                    <w:rPr>
                      <w:rFonts w:hint="default" w:ascii="Times New Roman" w:hAnsi="Times New Roman" w:eastAsia="宋体" w:cs="Times New Roman"/>
                      <w:smallCaps w:val="0"/>
                      <w:color w:val="000000" w:themeColor="text1"/>
                      <w:kern w:val="2"/>
                      <w:sz w:val="21"/>
                      <w:szCs w:val="21"/>
                      <w:highlight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0.822~0.938</w:t>
                  </w:r>
                </w:p>
              </w:tc>
              <w:tc>
                <w:tcPr>
                  <w:tcW w:w="645" w:type="dxa"/>
                  <w:shd w:val="clear" w:color="auto" w:fill="auto"/>
                  <w:vAlign w:val="center"/>
                </w:tcPr>
                <w:p w14:paraId="63757037">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t>1</w:t>
                  </w:r>
                </w:p>
              </w:tc>
              <w:tc>
                <w:tcPr>
                  <w:tcW w:w="543" w:type="pct"/>
                  <w:shd w:val="clear" w:color="auto" w:fill="auto"/>
                  <w:vAlign w:val="center"/>
                </w:tcPr>
                <w:p w14:paraId="1D56BDBB">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0</w:t>
                  </w:r>
                </w:p>
              </w:tc>
            </w:tr>
            <w:tr w14:paraId="6AE318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9" w:type="pct"/>
                  <w:vMerge w:val="continue"/>
                  <w:vAlign w:val="center"/>
                </w:tcPr>
                <w:p w14:paraId="1CFD917D">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1454" w:type="pct"/>
                  <w:vMerge w:val="continue"/>
                  <w:vAlign w:val="center"/>
                </w:tcPr>
                <w:p w14:paraId="7F87CE84">
                  <w:pPr>
                    <w:snapToGrid w:val="0"/>
                    <w:jc w:val="center"/>
                    <w:rPr>
                      <w:rFonts w:ascii="Times New Roman" w:hAnsi="Times New Roman" w:eastAsia="宋体"/>
                      <w:smallCaps w:val="0"/>
                      <w:color w:val="000000" w:themeColor="text1"/>
                      <w:sz w:val="21"/>
                      <w:szCs w:val="21"/>
                      <w:highlight w:val="none"/>
                      <w14:textFill>
                        <w14:solidFill>
                          <w14:schemeClr w14:val="tx1"/>
                        </w14:solidFill>
                      </w14:textFill>
                    </w:rPr>
                  </w:pPr>
                </w:p>
              </w:tc>
              <w:tc>
                <w:tcPr>
                  <w:tcW w:w="921" w:type="pct"/>
                  <w:shd w:val="clear" w:color="auto" w:fill="auto"/>
                  <w:vAlign w:val="center"/>
                </w:tcPr>
                <w:p w14:paraId="301FC830">
                  <w:pPr>
                    <w:snapToGrid w:val="0"/>
                    <w:jc w:val="center"/>
                    <w:rPr>
                      <w:rFonts w:hint="default" w:cs="Times New Roman"/>
                      <w:smallCaps w:val="0"/>
                      <w:color w:val="000000" w:themeColor="text1"/>
                      <w:spacing w:val="6"/>
                      <w:kern w:val="2"/>
                      <w:sz w:val="21"/>
                      <w:szCs w:val="21"/>
                      <w:highlight w:val="none"/>
                      <w:lang w:val="en-US" w:eastAsia="zh-CN" w:bidi="ar-SA"/>
                      <w14:textFill>
                        <w14:solidFill>
                          <w14:schemeClr w14:val="tx1"/>
                        </w14:solidFill>
                      </w14:textFill>
                    </w:rPr>
                  </w:pPr>
                  <w:r>
                    <w:rPr>
                      <w:rFonts w:hint="eastAsia" w:cs="Times New Roman"/>
                      <w:smallCaps w:val="0"/>
                      <w:color w:val="000000" w:themeColor="text1"/>
                      <w:spacing w:val="6"/>
                      <w:kern w:val="2"/>
                      <w:sz w:val="21"/>
                      <w:szCs w:val="21"/>
                      <w:highlight w:val="none"/>
                      <w:lang w:val="en-US" w:eastAsia="zh-CN" w:bidi="ar-SA"/>
                      <w14:textFill>
                        <w14:solidFill>
                          <w14:schemeClr w14:val="tx1"/>
                        </w14:solidFill>
                      </w14:textFill>
                    </w:rPr>
                    <w:t>SS</w:t>
                  </w:r>
                </w:p>
              </w:tc>
              <w:tc>
                <w:tcPr>
                  <w:tcW w:w="968" w:type="pct"/>
                  <w:shd w:val="clear" w:color="auto" w:fill="auto"/>
                  <w:vAlign w:val="center"/>
                </w:tcPr>
                <w:p w14:paraId="2CA412D2">
                  <w:pPr>
                    <w:snapToGrid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16~18</w:t>
                  </w:r>
                </w:p>
              </w:tc>
              <w:tc>
                <w:tcPr>
                  <w:tcW w:w="383" w:type="pct"/>
                  <w:shd w:val="clear" w:color="auto" w:fill="auto"/>
                  <w:vAlign w:val="center"/>
                </w:tcPr>
                <w:p w14:paraId="7C1F08BE">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w:t>
                  </w:r>
                </w:p>
              </w:tc>
              <w:tc>
                <w:tcPr>
                  <w:tcW w:w="543" w:type="pct"/>
                  <w:shd w:val="clear" w:color="auto" w:fill="auto"/>
                  <w:vAlign w:val="center"/>
                </w:tcPr>
                <w:p w14:paraId="2425E31B">
                  <w:pPr>
                    <w:snapToGrid w:val="0"/>
                    <w:jc w:val="center"/>
                    <w:textAlignment w:val="center"/>
                    <w:rPr>
                      <w:rFonts w:hint="eastAsia" w:ascii="Times New Roman" w:hAnsi="Times New Roman" w:eastAsia="宋体" w:cs="Times New Roman"/>
                      <w:smallCaps w:val="0"/>
                      <w:color w:val="000000" w:themeColor="text1"/>
                      <w:kern w:val="11"/>
                      <w:sz w:val="21"/>
                      <w:szCs w:val="21"/>
                      <w:highlight w:val="none"/>
                      <w:lang w:val="en-US" w:eastAsia="zh-CN" w:bidi="ar-SA"/>
                      <w14:textFill>
                        <w14:solidFill>
                          <w14:schemeClr w14:val="tx1"/>
                        </w14:solidFill>
                      </w14:textFill>
                    </w:rPr>
                  </w:pPr>
                  <w:r>
                    <w:rPr>
                      <w:rFonts w:hint="eastAsia" w:cs="Times New Roman"/>
                      <w:smallCaps w:val="0"/>
                      <w:color w:val="000000" w:themeColor="text1"/>
                      <w:kern w:val="11"/>
                      <w:sz w:val="21"/>
                      <w:szCs w:val="21"/>
                      <w:highlight w:val="none"/>
                      <w:lang w:val="en-US" w:eastAsia="zh-CN" w:bidi="ar-SA"/>
                      <w14:textFill>
                        <w14:solidFill>
                          <w14:schemeClr w14:val="tx1"/>
                        </w14:solidFill>
                      </w14:textFill>
                    </w:rPr>
                    <w:t>/</w:t>
                  </w:r>
                </w:p>
              </w:tc>
            </w:tr>
          </w:tbl>
          <w:p w14:paraId="3E25435D">
            <w:pPr>
              <w:spacing w:line="360" w:lineRule="auto"/>
              <w:ind w:firstLine="444" w:firstLineChars="200"/>
              <w:rPr>
                <w:rFonts w:hint="default" w:ascii="Times New Roman" w:hAnsi="Times New Roman" w:eastAsia="宋体" w:cs="Times New Roman"/>
                <w:color w:val="000000" w:themeColor="text1"/>
                <w:spacing w:val="6"/>
                <w:sz w:val="21"/>
                <w:szCs w:val="21"/>
                <w:highlight w:val="none"/>
                <w14:textFill>
                  <w14:solidFill>
                    <w14:schemeClr w14:val="tx1"/>
                  </w14:solidFill>
                </w14:textFill>
              </w:rPr>
            </w:pP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监测结果表明，监测时段内</w:t>
            </w:r>
            <w:r>
              <w:rPr>
                <w:rFonts w:hint="default" w:ascii="Times New Roman" w:hAnsi="Times New Roman" w:cs="Times New Roman"/>
                <w:color w:val="000000" w:themeColor="text1"/>
                <w:spacing w:val="6"/>
                <w:sz w:val="21"/>
                <w:szCs w:val="21"/>
                <w:highlight w:val="none"/>
                <w:lang w:eastAsia="zh-CN"/>
                <w14:textFill>
                  <w14:solidFill>
                    <w14:schemeClr w14:val="tx1"/>
                  </w14:solidFill>
                </w14:textFill>
              </w:rPr>
              <w:t>丹金溧漕河</w:t>
            </w: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各监测断面</w:t>
            </w: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pH值、</w:t>
            </w: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COD、NH</w:t>
            </w:r>
            <w:r>
              <w:rPr>
                <w:rFonts w:hint="default" w:ascii="Times New Roman" w:hAnsi="Times New Roman" w:eastAsia="宋体" w:cs="Times New Roman"/>
                <w:color w:val="000000" w:themeColor="text1"/>
                <w:spacing w:val="6"/>
                <w:sz w:val="21"/>
                <w:szCs w:val="21"/>
                <w:highlight w:val="none"/>
                <w:vertAlign w:val="subscript"/>
                <w14:textFill>
                  <w14:solidFill>
                    <w14:schemeClr w14:val="tx1"/>
                  </w14:solidFill>
                </w14:textFill>
              </w:rPr>
              <w:t>3</w:t>
            </w: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-N、TP</w:t>
            </w:r>
            <w:r>
              <w:rPr>
                <w:rFonts w:hint="default" w:ascii="Times New Roman" w:hAnsi="Times New Roman" w:cs="Times New Roman"/>
                <w:color w:val="000000" w:themeColor="text1"/>
                <w:spacing w:val="6"/>
                <w:sz w:val="21"/>
                <w:szCs w:val="21"/>
                <w:highlight w:val="none"/>
                <w:lang w:val="en-US" w:eastAsia="zh-CN"/>
                <w14:textFill>
                  <w14:solidFill>
                    <w14:schemeClr w14:val="tx1"/>
                  </w14:solidFill>
                </w14:textFill>
              </w:rPr>
              <w:t>、TN</w:t>
            </w: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均达到《地表水环境质量标准》（GB3838-2002）中的</w:t>
            </w:r>
            <w:r>
              <w:rPr>
                <w:rFonts w:hint="default" w:ascii="Times New Roman" w:hAnsi="Times New Roman" w:cs="Times New Roman"/>
                <w:color w:val="000000" w:themeColor="text1"/>
                <w:spacing w:val="6"/>
                <w:sz w:val="21"/>
                <w:szCs w:val="21"/>
                <w:highlight w:val="none"/>
                <w:lang w:eastAsia="zh-CN"/>
                <w14:textFill>
                  <w14:solidFill>
                    <w14:schemeClr w14:val="tx1"/>
                  </w14:solidFill>
                </w14:textFill>
              </w:rPr>
              <w:t>Ⅲ</w:t>
            </w:r>
            <w:r>
              <w:rPr>
                <w:rFonts w:hint="default" w:ascii="Times New Roman" w:hAnsi="Times New Roman" w:eastAsia="宋体" w:cs="Times New Roman"/>
                <w:color w:val="000000" w:themeColor="text1"/>
                <w:spacing w:val="6"/>
                <w:sz w:val="21"/>
                <w:szCs w:val="21"/>
                <w:highlight w:val="none"/>
                <w14:textFill>
                  <w14:solidFill>
                    <w14:schemeClr w14:val="tx1"/>
                  </w14:solidFill>
                </w14:textFill>
              </w:rPr>
              <w:t>类水质标准限值。</w:t>
            </w:r>
          </w:p>
          <w:p w14:paraId="0472B027">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3、</w:t>
            </w:r>
            <w:r>
              <w:rPr>
                <w:rFonts w:hint="eastAsia" w:ascii="Times New Roman" w:hAnsi="Times New Roman" w:eastAsia="宋体" w:cs="宋体"/>
                <w:b/>
                <w:bCs/>
                <w:color w:val="000000" w:themeColor="text1"/>
                <w:sz w:val="21"/>
                <w:szCs w:val="21"/>
                <w:highlight w:val="none"/>
                <w14:textFill>
                  <w14:solidFill>
                    <w14:schemeClr w14:val="tx1"/>
                  </w14:solidFill>
                </w14:textFill>
              </w:rPr>
              <w:t>声环境</w:t>
            </w:r>
            <w:r>
              <w:rPr>
                <w:rFonts w:ascii="Times New Roman" w:hAnsi="Times New Roman" w:eastAsia="宋体" w:cs="宋体"/>
                <w:b/>
                <w:bCs/>
                <w:color w:val="000000" w:themeColor="text1"/>
                <w:sz w:val="21"/>
                <w:szCs w:val="21"/>
                <w:highlight w:val="none"/>
                <w14:textFill>
                  <w14:solidFill>
                    <w14:schemeClr w14:val="tx1"/>
                  </w14:solidFill>
                </w14:textFill>
              </w:rPr>
              <w:t>质量现状</w:t>
            </w:r>
          </w:p>
          <w:p w14:paraId="726BBC1D">
            <w:pPr>
              <w:keepNext/>
              <w:keepLines/>
              <w:widowControl/>
              <w:wordWrap w:val="0"/>
              <w:adjustRightInd w:val="0"/>
              <w:snapToGrid w:val="0"/>
              <w:spacing w:line="360" w:lineRule="auto"/>
              <w:ind w:firstLine="420" w:firstLineChars="200"/>
              <w:jc w:val="left"/>
              <w:rPr>
                <w:b/>
                <w:bCs/>
                <w:color w:val="000000" w:themeColor="text1"/>
                <w:kern w:val="0"/>
                <w:sz w:val="21"/>
                <w:szCs w:val="21"/>
                <w14:textFill>
                  <w14:solidFill>
                    <w14:schemeClr w14:val="tx1"/>
                  </w14:solidFill>
                </w14:textFill>
              </w:rPr>
            </w:pPr>
            <w:r>
              <w:rPr>
                <w:rFonts w:hint="eastAsia"/>
                <w:color w:val="000000" w:themeColor="text1"/>
                <w:sz w:val="21"/>
                <w:szCs w:val="21"/>
                <w14:textFill>
                  <w14:solidFill>
                    <w14:schemeClr w14:val="tx1"/>
                  </w14:solidFill>
                </w14:textFill>
              </w:rPr>
              <w:t>建设单位委托</w:t>
            </w:r>
            <w:r>
              <w:rPr>
                <w:rFonts w:hint="eastAsia"/>
                <w:color w:val="000000" w:themeColor="text1"/>
                <w:sz w:val="21"/>
                <w:szCs w:val="21"/>
                <w:lang w:val="en-US" w:eastAsia="zh-CN"/>
                <w14:textFill>
                  <w14:solidFill>
                    <w14:schemeClr w14:val="tx1"/>
                  </w14:solidFill>
                </w14:textFill>
              </w:rPr>
              <w:t>特斯特(江苏)检测科技有限公司</w:t>
            </w:r>
            <w:r>
              <w:rPr>
                <w:rFonts w:hint="eastAsia"/>
                <w:color w:val="000000" w:themeColor="text1"/>
                <w:sz w:val="21"/>
                <w:szCs w:val="21"/>
                <w14:textFill>
                  <w14:solidFill>
                    <w14:schemeClr w14:val="tx1"/>
                  </w14:solidFill>
                </w14:textFill>
              </w:rPr>
              <w:t>于</w:t>
            </w:r>
            <w:r>
              <w:rPr>
                <w:rFonts w:hint="eastAsia"/>
                <w:color w:val="000000" w:themeColor="text1"/>
                <w:sz w:val="21"/>
                <w:szCs w:val="21"/>
                <w:lang w:val="en-US" w:eastAsia="zh-CN"/>
                <w14:textFill>
                  <w14:solidFill>
                    <w14:schemeClr w14:val="tx1"/>
                  </w14:solidFill>
                </w14:textFill>
              </w:rPr>
              <w:t>2025</w:t>
            </w:r>
            <w:r>
              <w:rPr>
                <w:rFonts w:hint="eastAsia"/>
                <w:color w:val="000000" w:themeColor="text1"/>
                <w:sz w:val="21"/>
                <w:szCs w:val="21"/>
                <w14:textFill>
                  <w14:solidFill>
                    <w14:schemeClr w14:val="tx1"/>
                  </w14:solidFill>
                </w14:textFill>
              </w:rPr>
              <w:t>年</w:t>
            </w:r>
            <w:r>
              <w:rPr>
                <w:rFonts w:hint="eastAsia"/>
                <w:color w:val="000000" w:themeColor="text1"/>
                <w:sz w:val="21"/>
                <w:szCs w:val="21"/>
                <w:lang w:val="en-US" w:eastAsia="zh-CN"/>
                <w14:textFill>
                  <w14:solidFill>
                    <w14:schemeClr w14:val="tx1"/>
                  </w14:solidFill>
                </w14:textFill>
              </w:rPr>
              <w:t>10</w:t>
            </w:r>
            <w:r>
              <w:rPr>
                <w:rFonts w:hint="eastAsia"/>
                <w:color w:val="000000" w:themeColor="text1"/>
                <w:sz w:val="21"/>
                <w:szCs w:val="21"/>
                <w14:textFill>
                  <w14:solidFill>
                    <w14:schemeClr w14:val="tx1"/>
                  </w14:solidFill>
                </w14:textFill>
              </w:rPr>
              <w:t>月</w:t>
            </w:r>
            <w:r>
              <w:rPr>
                <w:rFonts w:hint="eastAsia"/>
                <w:color w:val="000000" w:themeColor="text1"/>
                <w:sz w:val="21"/>
                <w:szCs w:val="21"/>
                <w:lang w:val="en-US" w:eastAsia="zh-CN"/>
                <w14:textFill>
                  <w14:solidFill>
                    <w14:schemeClr w14:val="tx1"/>
                  </w14:solidFill>
                </w14:textFill>
              </w:rPr>
              <w:t>16</w:t>
            </w:r>
            <w:r>
              <w:rPr>
                <w:rFonts w:hint="eastAsia"/>
                <w:color w:val="000000" w:themeColor="text1"/>
                <w:sz w:val="21"/>
                <w:szCs w:val="21"/>
                <w14:textFill>
                  <w14:solidFill>
                    <w14:schemeClr w14:val="tx1"/>
                  </w14:solidFill>
                </w14:textFill>
              </w:rPr>
              <w:t>日</w:t>
            </w:r>
            <w:r>
              <w:rPr>
                <w:rFonts w:hint="eastAsia"/>
                <w:color w:val="000000" w:themeColor="text1"/>
                <w:sz w:val="21"/>
                <w:szCs w:val="21"/>
                <w:lang w:val="en-US" w:eastAsia="zh-CN"/>
                <w14:textFill>
                  <w14:solidFill>
                    <w14:schemeClr w14:val="tx1"/>
                  </w14:solidFill>
                </w14:textFill>
              </w:rPr>
              <w:t>~17日</w:t>
            </w:r>
            <w:r>
              <w:rPr>
                <w:rFonts w:hint="eastAsia"/>
                <w:color w:val="000000" w:themeColor="text1"/>
                <w:sz w:val="21"/>
                <w:szCs w:val="21"/>
                <w14:textFill>
                  <w14:solidFill>
                    <w14:schemeClr w14:val="tx1"/>
                  </w14:solidFill>
                </w14:textFill>
              </w:rPr>
              <w:t>对企业厂界声</w:t>
            </w:r>
            <w:r>
              <w:rPr>
                <w:rFonts w:hint="eastAsia"/>
                <w:color w:val="000000" w:themeColor="text1"/>
                <w:sz w:val="21"/>
                <w:szCs w:val="21"/>
                <w:lang w:val="en-US" w:eastAsia="zh-CN"/>
                <w14:textFill>
                  <w14:solidFill>
                    <w14:schemeClr w14:val="tx1"/>
                  </w14:solidFill>
                </w14:textFill>
              </w:rPr>
              <w:t>环境</w:t>
            </w:r>
            <w:r>
              <w:rPr>
                <w:rFonts w:hint="eastAsia"/>
                <w:color w:val="000000" w:themeColor="text1"/>
                <w:sz w:val="21"/>
                <w:szCs w:val="21"/>
                <w14:textFill>
                  <w14:solidFill>
                    <w14:schemeClr w14:val="tx1"/>
                  </w14:solidFill>
                </w14:textFill>
              </w:rPr>
              <w:t>进行监测，</w:t>
            </w:r>
            <w:r>
              <w:rPr>
                <w:rFonts w:hint="eastAsia"/>
                <w:color w:val="000000" w:themeColor="text1"/>
                <w:sz w:val="21"/>
                <w:szCs w:val="21"/>
                <w:lang w:val="en-US" w:eastAsia="zh-CN"/>
                <w14:textFill>
                  <w14:solidFill>
                    <w14:schemeClr w14:val="tx1"/>
                  </w14:solidFill>
                </w14:textFill>
              </w:rPr>
              <w:t>2025年10月24日~25日对南侧社头零散居民处声环境进行检测，</w:t>
            </w:r>
            <w:r>
              <w:rPr>
                <w:color w:val="000000" w:themeColor="text1"/>
                <w:sz w:val="21"/>
                <w:szCs w:val="21"/>
                <w14:textFill>
                  <w14:solidFill>
                    <w14:schemeClr w14:val="tx1"/>
                  </w14:solidFill>
                </w14:textFill>
              </w:rPr>
              <w:t>噪声监测结果见</w:t>
            </w:r>
            <w:r>
              <w:rPr>
                <w:rFonts w:hint="eastAsia"/>
                <w:color w:val="000000" w:themeColor="text1"/>
                <w:sz w:val="21"/>
                <w:szCs w:val="21"/>
                <w:lang w:val="en-US" w:eastAsia="zh-CN"/>
                <w14:textFill>
                  <w14:solidFill>
                    <w14:schemeClr w14:val="tx1"/>
                  </w14:solidFill>
                </w14:textFill>
              </w:rPr>
              <w:t>下表</w:t>
            </w:r>
            <w:r>
              <w:rPr>
                <w:color w:val="000000" w:themeColor="text1"/>
                <w:sz w:val="21"/>
                <w:szCs w:val="21"/>
                <w14:textFill>
                  <w14:solidFill>
                    <w14:schemeClr w14:val="tx1"/>
                  </w14:solidFill>
                </w14:textFill>
              </w:rPr>
              <w:t>。</w:t>
            </w:r>
          </w:p>
          <w:p w14:paraId="243CC30D">
            <w:pPr>
              <w:jc w:val="center"/>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表3-</w:t>
            </w:r>
            <w:r>
              <w:rPr>
                <w:rFonts w:hint="eastAsia"/>
                <w:b/>
                <w:bCs/>
                <w:color w:val="000000" w:themeColor="text1"/>
                <w:sz w:val="21"/>
                <w:szCs w:val="21"/>
                <w:lang w:val="en-US" w:eastAsia="zh-CN"/>
                <w14:textFill>
                  <w14:solidFill>
                    <w14:schemeClr w14:val="tx1"/>
                  </w14:solidFill>
                </w14:textFill>
              </w:rPr>
              <w:t>3</w:t>
            </w:r>
            <w:r>
              <w:rPr>
                <w:b/>
                <w:bCs/>
                <w:color w:val="000000" w:themeColor="text1"/>
                <w:sz w:val="21"/>
                <w:szCs w:val="21"/>
                <w14:textFill>
                  <w14:solidFill>
                    <w14:schemeClr w14:val="tx1"/>
                  </w14:solidFill>
                </w14:textFill>
              </w:rPr>
              <w:t xml:space="preserve">  噪声现状监测结果</w:t>
            </w:r>
          </w:p>
          <w:tbl>
            <w:tblPr>
              <w:tblStyle w:val="24"/>
              <w:tblW w:w="4943" w:type="pct"/>
              <w:jc w:val="center"/>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autofit"/>
              <w:tblCellMar>
                <w:top w:w="0" w:type="dxa"/>
                <w:left w:w="28" w:type="dxa"/>
                <w:bottom w:w="0" w:type="dxa"/>
                <w:right w:w="28" w:type="dxa"/>
              </w:tblCellMar>
            </w:tblPr>
            <w:tblGrid>
              <w:gridCol w:w="1210"/>
              <w:gridCol w:w="1902"/>
              <w:gridCol w:w="1932"/>
              <w:gridCol w:w="2087"/>
              <w:gridCol w:w="1156"/>
            </w:tblGrid>
            <w:tr w14:paraId="6B13399E">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restart"/>
                  <w:tcBorders>
                    <w:left w:val="nil"/>
                  </w:tcBorders>
                  <w:noWrap w:val="0"/>
                  <w:vAlign w:val="center"/>
                </w:tcPr>
                <w:p w14:paraId="54B349D0">
                  <w:pPr>
                    <w:pStyle w:val="62"/>
                    <w:keepNext w:val="0"/>
                    <w:keepLines w:val="0"/>
                    <w:pageBreakBefore w:val="0"/>
                    <w:widowControl w:val="0"/>
                    <w:kinsoku/>
                    <w:wordWrap/>
                    <w:overflowPunct/>
                    <w:topLinePunct w:val="0"/>
                    <w:autoSpaceDE w:val="0"/>
                    <w:autoSpaceDN w:val="0"/>
                    <w:bidi w:val="0"/>
                    <w:adjustRightInd w:val="0"/>
                    <w:snapToGrid w:val="0"/>
                    <w:jc w:val="center"/>
                    <w:textAlignment w:val="auto"/>
                    <w:rPr>
                      <w:rFonts w:ascii="Times New Roman" w:cs="Times New Roman"/>
                      <w:b/>
                      <w:snapToGrid w:val="0"/>
                      <w:color w:val="000000" w:themeColor="text1"/>
                      <w:kern w:val="0"/>
                      <w:sz w:val="21"/>
                      <w:szCs w:val="21"/>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日期</w:t>
                  </w:r>
                </w:p>
              </w:tc>
              <w:tc>
                <w:tcPr>
                  <w:tcW w:w="1147" w:type="pct"/>
                  <w:vMerge w:val="restart"/>
                  <w:noWrap w:val="0"/>
                  <w:vAlign w:val="center"/>
                </w:tcPr>
                <w:p w14:paraId="79A2E23C">
                  <w:pPr>
                    <w:pStyle w:val="62"/>
                    <w:adjustRightInd w:val="0"/>
                    <w:snapToGrid w:val="0"/>
                    <w:jc w:val="center"/>
                    <w:rPr>
                      <w:rFonts w:ascii="Times New Roman" w:cs="Times New Roman"/>
                      <w:b/>
                      <w:snapToGrid w:val="0"/>
                      <w:color w:val="000000" w:themeColor="text1"/>
                      <w:kern w:val="0"/>
                      <w:sz w:val="21"/>
                      <w:szCs w:val="21"/>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检测点位</w:t>
                  </w:r>
                </w:p>
              </w:tc>
              <w:tc>
                <w:tcPr>
                  <w:tcW w:w="1165" w:type="pct"/>
                  <w:noWrap w:val="0"/>
                  <w:vAlign w:val="center"/>
                </w:tcPr>
                <w:p w14:paraId="71530D91">
                  <w:pPr>
                    <w:pStyle w:val="62"/>
                    <w:adjustRightInd w:val="0"/>
                    <w:snapToGrid w:val="0"/>
                    <w:jc w:val="center"/>
                    <w:rPr>
                      <w:rFonts w:ascii="Times New Roman" w:cs="Times New Roman"/>
                      <w:b/>
                      <w:snapToGrid w:val="0"/>
                      <w:color w:val="000000" w:themeColor="text1"/>
                      <w:kern w:val="0"/>
                      <w:sz w:val="21"/>
                      <w:szCs w:val="21"/>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检测值</w:t>
                  </w:r>
                </w:p>
              </w:tc>
              <w:tc>
                <w:tcPr>
                  <w:tcW w:w="1259" w:type="pct"/>
                  <w:tcBorders>
                    <w:right w:val="nil"/>
                  </w:tcBorders>
                  <w:noWrap w:val="0"/>
                  <w:vAlign w:val="center"/>
                </w:tcPr>
                <w:p w14:paraId="39B03147">
                  <w:pPr>
                    <w:widowControl/>
                    <w:adjustRightInd w:val="0"/>
                    <w:jc w:val="center"/>
                    <w:rPr>
                      <w:rFonts w:hint="eastAsia"/>
                      <w:b/>
                      <w:bCs/>
                      <w:color w:val="000000" w:themeColor="text1"/>
                      <w:sz w:val="21"/>
                      <w:szCs w:val="21"/>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标准值</w:t>
                  </w:r>
                </w:p>
              </w:tc>
              <w:tc>
                <w:tcPr>
                  <w:tcW w:w="697" w:type="pct"/>
                  <w:vMerge w:val="restart"/>
                  <w:tcBorders>
                    <w:right w:val="nil"/>
                  </w:tcBorders>
                  <w:noWrap w:val="0"/>
                  <w:vAlign w:val="center"/>
                </w:tcPr>
                <w:p w14:paraId="15408EFE">
                  <w:pPr>
                    <w:widowControl/>
                    <w:adjustRightInd w:val="0"/>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达标情况</w:t>
                  </w:r>
                </w:p>
              </w:tc>
            </w:tr>
            <w:tr w14:paraId="0F6F5531">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750EBF10">
                  <w:pPr>
                    <w:pStyle w:val="62"/>
                    <w:keepNext w:val="0"/>
                    <w:keepLines w:val="0"/>
                    <w:pageBreakBefore w:val="0"/>
                    <w:widowControl w:val="0"/>
                    <w:kinsoku/>
                    <w:wordWrap/>
                    <w:overflowPunct/>
                    <w:topLinePunct w:val="0"/>
                    <w:autoSpaceDE w:val="0"/>
                    <w:autoSpaceDN w:val="0"/>
                    <w:bidi w:val="0"/>
                    <w:adjustRightInd w:val="0"/>
                    <w:snapToGrid w:val="0"/>
                    <w:jc w:val="center"/>
                    <w:textAlignment w:val="auto"/>
                    <w:rPr>
                      <w:rFonts w:ascii="Times New Roman" w:cs="Times New Roman"/>
                      <w:b/>
                      <w:snapToGrid w:val="0"/>
                      <w:color w:val="000000" w:themeColor="text1"/>
                      <w:kern w:val="0"/>
                      <w:sz w:val="21"/>
                      <w:szCs w:val="21"/>
                      <w14:textFill>
                        <w14:solidFill>
                          <w14:schemeClr w14:val="tx1"/>
                        </w14:solidFill>
                      </w14:textFill>
                    </w:rPr>
                  </w:pPr>
                </w:p>
              </w:tc>
              <w:tc>
                <w:tcPr>
                  <w:tcW w:w="1147" w:type="pct"/>
                  <w:vMerge w:val="continue"/>
                  <w:noWrap w:val="0"/>
                  <w:vAlign w:val="center"/>
                </w:tcPr>
                <w:p w14:paraId="5C9059D8">
                  <w:pPr>
                    <w:pStyle w:val="62"/>
                    <w:adjustRightInd w:val="0"/>
                    <w:snapToGrid w:val="0"/>
                    <w:jc w:val="center"/>
                    <w:rPr>
                      <w:rFonts w:ascii="Times New Roman" w:cs="Times New Roman"/>
                      <w:b/>
                      <w:snapToGrid w:val="0"/>
                      <w:color w:val="000000" w:themeColor="text1"/>
                      <w:kern w:val="0"/>
                      <w:sz w:val="21"/>
                      <w:szCs w:val="21"/>
                      <w14:textFill>
                        <w14:solidFill>
                          <w14:schemeClr w14:val="tx1"/>
                        </w14:solidFill>
                      </w14:textFill>
                    </w:rPr>
                  </w:pPr>
                </w:p>
              </w:tc>
              <w:tc>
                <w:tcPr>
                  <w:tcW w:w="1165" w:type="pct"/>
                  <w:noWrap w:val="0"/>
                  <w:vAlign w:val="center"/>
                </w:tcPr>
                <w:p w14:paraId="66198AA6">
                  <w:pPr>
                    <w:pStyle w:val="62"/>
                    <w:adjustRightInd w:val="0"/>
                    <w:snapToGrid w:val="0"/>
                    <w:jc w:val="center"/>
                    <w:rPr>
                      <w:rFonts w:hint="eastAsia" w:ascii="Times New Roman" w:eastAsia="宋体" w:cs="Times New Roman"/>
                      <w:b/>
                      <w:snapToGrid w:val="0"/>
                      <w:color w:val="000000" w:themeColor="text1"/>
                      <w:kern w:val="0"/>
                      <w:sz w:val="21"/>
                      <w:szCs w:val="21"/>
                      <w:lang w:val="en-US" w:eastAsia="zh-CN"/>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昼间</w:t>
                  </w:r>
                </w:p>
              </w:tc>
              <w:tc>
                <w:tcPr>
                  <w:tcW w:w="1259" w:type="pct"/>
                  <w:tcBorders>
                    <w:right w:val="nil"/>
                  </w:tcBorders>
                  <w:noWrap w:val="0"/>
                  <w:vAlign w:val="center"/>
                </w:tcPr>
                <w:p w14:paraId="47A88AE1">
                  <w:pPr>
                    <w:widowControl/>
                    <w:adjustRightInd w:val="0"/>
                    <w:jc w:val="center"/>
                    <w:rPr>
                      <w:rFonts w:hint="eastAsia" w:eastAsia="宋体"/>
                      <w:b/>
                      <w:bCs/>
                      <w:color w:val="000000" w:themeColor="text1"/>
                      <w:sz w:val="21"/>
                      <w:szCs w:val="21"/>
                      <w:lang w:val="en-US" w:eastAsia="zh-CN"/>
                      <w14:textFill>
                        <w14:solidFill>
                          <w14:schemeClr w14:val="tx1"/>
                        </w14:solidFill>
                      </w14:textFill>
                    </w:rPr>
                  </w:pPr>
                  <w:r>
                    <w:rPr>
                      <w:rFonts w:hint="eastAsia" w:ascii="Times New Roman" w:cs="Times New Roman"/>
                      <w:b/>
                      <w:snapToGrid w:val="0"/>
                      <w:color w:val="000000" w:themeColor="text1"/>
                      <w:kern w:val="0"/>
                      <w:sz w:val="21"/>
                      <w:szCs w:val="21"/>
                      <w:lang w:val="en-US" w:eastAsia="zh-CN"/>
                      <w14:textFill>
                        <w14:solidFill>
                          <w14:schemeClr w14:val="tx1"/>
                        </w14:solidFill>
                      </w14:textFill>
                    </w:rPr>
                    <w:t>昼间</w:t>
                  </w:r>
                </w:p>
              </w:tc>
              <w:tc>
                <w:tcPr>
                  <w:tcW w:w="697" w:type="pct"/>
                  <w:vMerge w:val="continue"/>
                  <w:tcBorders>
                    <w:right w:val="nil"/>
                  </w:tcBorders>
                  <w:noWrap w:val="0"/>
                  <w:vAlign w:val="center"/>
                </w:tcPr>
                <w:p w14:paraId="6251C1B5">
                  <w:pPr>
                    <w:widowControl/>
                    <w:adjustRightInd w:val="0"/>
                    <w:jc w:val="center"/>
                    <w:rPr>
                      <w:rFonts w:hint="eastAsia"/>
                      <w:b/>
                      <w:bCs/>
                      <w:color w:val="000000" w:themeColor="text1"/>
                      <w:sz w:val="21"/>
                      <w:szCs w:val="21"/>
                      <w14:textFill>
                        <w14:solidFill>
                          <w14:schemeClr w14:val="tx1"/>
                        </w14:solidFill>
                      </w14:textFill>
                    </w:rPr>
                  </w:pPr>
                </w:p>
              </w:tc>
            </w:tr>
            <w:tr w14:paraId="7B0286F9">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restart"/>
                  <w:tcBorders>
                    <w:left w:val="nil"/>
                  </w:tcBorders>
                  <w:noWrap w:val="0"/>
                  <w:vAlign w:val="center"/>
                </w:tcPr>
                <w:p w14:paraId="583037FB">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202</w:t>
                  </w:r>
                  <w:r>
                    <w:rPr>
                      <w:rFonts w:hint="eastAsia" w:ascii="Times New Roman" w:cs="Times New Roman"/>
                      <w:snapToGrid w:val="0"/>
                      <w:color w:val="000000" w:themeColor="text1"/>
                      <w:kern w:val="0"/>
                      <w:sz w:val="21"/>
                      <w:szCs w:val="21"/>
                      <w:lang w:val="en-US" w:eastAsia="zh-CN"/>
                      <w14:textFill>
                        <w14:solidFill>
                          <w14:schemeClr w14:val="tx1"/>
                        </w14:solidFill>
                      </w14:textFill>
                    </w:rPr>
                    <w:t>5</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.1</w:t>
                  </w:r>
                  <w:r>
                    <w:rPr>
                      <w:rFonts w:hint="eastAsia" w:ascii="Times New Roman" w:cs="Times New Roman"/>
                      <w:snapToGrid w:val="0"/>
                      <w:color w:val="000000" w:themeColor="text1"/>
                      <w:kern w:val="0"/>
                      <w:sz w:val="21"/>
                      <w:szCs w:val="21"/>
                      <w:lang w:val="en-US" w:eastAsia="zh-CN"/>
                      <w14:textFill>
                        <w14:solidFill>
                          <w14:schemeClr w14:val="tx1"/>
                        </w14:solidFill>
                      </w14:textFill>
                    </w:rPr>
                    <w:t>0</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w:t>
                  </w:r>
                  <w:r>
                    <w:rPr>
                      <w:rFonts w:hint="eastAsia" w:ascii="Times New Roman" w:cs="Times New Roman"/>
                      <w:snapToGrid w:val="0"/>
                      <w:color w:val="000000" w:themeColor="text1"/>
                      <w:kern w:val="0"/>
                      <w:sz w:val="21"/>
                      <w:szCs w:val="21"/>
                      <w:lang w:val="en-US" w:eastAsia="zh-CN"/>
                      <w14:textFill>
                        <w14:solidFill>
                          <w14:schemeClr w14:val="tx1"/>
                        </w14:solidFill>
                      </w14:textFill>
                    </w:rPr>
                    <w:t>16</w:t>
                  </w:r>
                </w:p>
              </w:tc>
              <w:tc>
                <w:tcPr>
                  <w:tcW w:w="1147" w:type="pct"/>
                  <w:noWrap w:val="0"/>
                  <w:vAlign w:val="center"/>
                </w:tcPr>
                <w:p w14:paraId="6BED2C62">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14:textFill>
                        <w14:solidFill>
                          <w14:schemeClr w14:val="tx1"/>
                        </w14:solidFill>
                      </w14:textFill>
                    </w:rPr>
                    <w:t>东厂界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N1</w:t>
                  </w:r>
                </w:p>
              </w:tc>
              <w:tc>
                <w:tcPr>
                  <w:tcW w:w="1165" w:type="pct"/>
                  <w:noWrap w:val="0"/>
                  <w:vAlign w:val="center"/>
                </w:tcPr>
                <w:p w14:paraId="247DC4C1">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54</w:t>
                  </w:r>
                </w:p>
              </w:tc>
              <w:tc>
                <w:tcPr>
                  <w:tcW w:w="1259" w:type="pct"/>
                  <w:vMerge w:val="restart"/>
                  <w:tcBorders>
                    <w:right w:val="nil"/>
                  </w:tcBorders>
                  <w:noWrap w:val="0"/>
                  <w:vAlign w:val="center"/>
                </w:tcPr>
                <w:p w14:paraId="31CB97B4">
                  <w:pPr>
                    <w:widowControl/>
                    <w:adjustRightInd w:val="0"/>
                    <w:jc w:val="center"/>
                    <w:rPr>
                      <w:rFonts w:hint="default"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60</w:t>
                  </w:r>
                </w:p>
              </w:tc>
              <w:tc>
                <w:tcPr>
                  <w:tcW w:w="697" w:type="pct"/>
                  <w:tcBorders>
                    <w:right w:val="nil"/>
                  </w:tcBorders>
                  <w:noWrap w:val="0"/>
                  <w:vAlign w:val="center"/>
                </w:tcPr>
                <w:p w14:paraId="704AC6FC">
                  <w:pPr>
                    <w:widowControl/>
                    <w:adjustRightInd w:val="0"/>
                    <w:jc w:val="center"/>
                    <w:rPr>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2C9D6F9A">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31AB8927">
                  <w:pPr>
                    <w:autoSpaceDE w:val="0"/>
                    <w:autoSpaceDN w:val="0"/>
                    <w:adjustRightInd w:val="0"/>
                    <w:snapToGrid w:val="0"/>
                    <w:jc w:val="center"/>
                    <w:rPr>
                      <w:snapToGrid w:val="0"/>
                      <w:color w:val="000000" w:themeColor="text1"/>
                      <w:kern w:val="0"/>
                      <w:sz w:val="21"/>
                      <w:szCs w:val="21"/>
                      <w14:textFill>
                        <w14:solidFill>
                          <w14:schemeClr w14:val="tx1"/>
                        </w14:solidFill>
                      </w14:textFill>
                    </w:rPr>
                  </w:pPr>
                </w:p>
              </w:tc>
              <w:tc>
                <w:tcPr>
                  <w:tcW w:w="1147" w:type="pct"/>
                  <w:noWrap w:val="0"/>
                  <w:vAlign w:val="center"/>
                </w:tcPr>
                <w:p w14:paraId="506B000E">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北</w:t>
                  </w:r>
                  <w:r>
                    <w:rPr>
                      <w:rFonts w:hint="eastAsia" w:ascii="Times New Roman" w:cs="Times New Roman"/>
                      <w:snapToGrid w:val="0"/>
                      <w:color w:val="000000" w:themeColor="text1"/>
                      <w:kern w:val="0"/>
                      <w:sz w:val="21"/>
                      <w:szCs w:val="21"/>
                      <w14:textFill>
                        <w14:solidFill>
                          <w14:schemeClr w14:val="tx1"/>
                        </w14:solidFill>
                      </w14:textFill>
                    </w:rPr>
                    <w:t>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N2</w:t>
                  </w:r>
                </w:p>
              </w:tc>
              <w:tc>
                <w:tcPr>
                  <w:tcW w:w="1165" w:type="pct"/>
                  <w:noWrap w:val="0"/>
                  <w:vAlign w:val="center"/>
                </w:tcPr>
                <w:p w14:paraId="146325E8">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57</w:t>
                  </w:r>
                </w:p>
              </w:tc>
              <w:tc>
                <w:tcPr>
                  <w:tcW w:w="1259" w:type="pct"/>
                  <w:vMerge w:val="continue"/>
                  <w:tcBorders>
                    <w:right w:val="nil"/>
                  </w:tcBorders>
                  <w:noWrap w:val="0"/>
                  <w:vAlign w:val="center"/>
                </w:tcPr>
                <w:p w14:paraId="3E6539D3">
                  <w:pPr>
                    <w:widowControl/>
                    <w:adjustRightInd w:val="0"/>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1D822ED9">
                  <w:pPr>
                    <w:widowControl/>
                    <w:adjustRightInd w:val="0"/>
                    <w:jc w:val="center"/>
                    <w:rPr>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504F28B8">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1E260FFB">
                  <w:pPr>
                    <w:pStyle w:val="62"/>
                    <w:adjustRightInd w:val="0"/>
                    <w:snapToGrid w:val="0"/>
                    <w:jc w:val="center"/>
                    <w:rPr>
                      <w:rFonts w:ascii="Times New Roman" w:cs="Times New Roman"/>
                      <w:snapToGrid w:val="0"/>
                      <w:color w:val="000000" w:themeColor="text1"/>
                      <w:kern w:val="0"/>
                      <w:sz w:val="21"/>
                      <w:szCs w:val="21"/>
                      <w14:textFill>
                        <w14:solidFill>
                          <w14:schemeClr w14:val="tx1"/>
                        </w14:solidFill>
                      </w14:textFill>
                    </w:rPr>
                  </w:pPr>
                </w:p>
              </w:tc>
              <w:tc>
                <w:tcPr>
                  <w:tcW w:w="1147" w:type="pct"/>
                  <w:noWrap w:val="0"/>
                  <w:vAlign w:val="center"/>
                </w:tcPr>
                <w:p w14:paraId="22135541">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14:textFill>
                        <w14:solidFill>
                          <w14:schemeClr w14:val="tx1"/>
                        </w14:solidFill>
                      </w14:textFill>
                    </w:rPr>
                    <w:t>西厂界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N3</w:t>
                  </w:r>
                </w:p>
              </w:tc>
              <w:tc>
                <w:tcPr>
                  <w:tcW w:w="1165" w:type="pct"/>
                  <w:noWrap w:val="0"/>
                  <w:vAlign w:val="center"/>
                </w:tcPr>
                <w:p w14:paraId="13E82E8D">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58</w:t>
                  </w:r>
                </w:p>
              </w:tc>
              <w:tc>
                <w:tcPr>
                  <w:tcW w:w="1259" w:type="pct"/>
                  <w:vMerge w:val="continue"/>
                  <w:tcBorders>
                    <w:right w:val="nil"/>
                  </w:tcBorders>
                  <w:noWrap w:val="0"/>
                  <w:vAlign w:val="center"/>
                </w:tcPr>
                <w:p w14:paraId="7341E312">
                  <w:pPr>
                    <w:widowControl/>
                    <w:adjustRightInd w:val="0"/>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2C9F3A5F">
                  <w:pPr>
                    <w:widowControl/>
                    <w:adjustRightInd w:val="0"/>
                    <w:jc w:val="center"/>
                    <w:rPr>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7343FC58">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6B258835">
                  <w:pPr>
                    <w:autoSpaceDE w:val="0"/>
                    <w:autoSpaceDN w:val="0"/>
                    <w:adjustRightInd w:val="0"/>
                    <w:snapToGrid w:val="0"/>
                    <w:jc w:val="center"/>
                    <w:rPr>
                      <w:snapToGrid w:val="0"/>
                      <w:color w:val="000000" w:themeColor="text1"/>
                      <w:kern w:val="0"/>
                      <w:sz w:val="21"/>
                      <w:szCs w:val="21"/>
                      <w14:textFill>
                        <w14:solidFill>
                          <w14:schemeClr w14:val="tx1"/>
                        </w14:solidFill>
                      </w14:textFill>
                    </w:rPr>
                  </w:pPr>
                </w:p>
              </w:tc>
              <w:tc>
                <w:tcPr>
                  <w:tcW w:w="1147" w:type="pct"/>
                  <w:noWrap w:val="0"/>
                  <w:vAlign w:val="center"/>
                </w:tcPr>
                <w:p w14:paraId="3884990B">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南</w:t>
                  </w:r>
                  <w:r>
                    <w:rPr>
                      <w:rFonts w:hint="eastAsia" w:ascii="Times New Roman" w:cs="Times New Roman"/>
                      <w:snapToGrid w:val="0"/>
                      <w:color w:val="000000" w:themeColor="text1"/>
                      <w:kern w:val="0"/>
                      <w:sz w:val="21"/>
                      <w:szCs w:val="21"/>
                      <w14:textFill>
                        <w14:solidFill>
                          <w14:schemeClr w14:val="tx1"/>
                        </w14:solidFill>
                      </w14:textFill>
                    </w:rPr>
                    <w:t>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N4</w:t>
                  </w:r>
                </w:p>
              </w:tc>
              <w:tc>
                <w:tcPr>
                  <w:tcW w:w="1165" w:type="pct"/>
                  <w:noWrap w:val="0"/>
                  <w:vAlign w:val="center"/>
                </w:tcPr>
                <w:p w14:paraId="41732FBA">
                  <w:pPr>
                    <w:pStyle w:val="62"/>
                    <w:adjustRightInd w:val="0"/>
                    <w:snapToGrid w:val="0"/>
                    <w:jc w:val="center"/>
                    <w:rPr>
                      <w:rFonts w:hint="default" w:ascii="Times New Roman" w:eastAsia="宋体"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55</w:t>
                  </w:r>
                </w:p>
              </w:tc>
              <w:tc>
                <w:tcPr>
                  <w:tcW w:w="1259" w:type="pct"/>
                  <w:vMerge w:val="continue"/>
                  <w:tcBorders>
                    <w:right w:val="nil"/>
                  </w:tcBorders>
                  <w:noWrap w:val="0"/>
                  <w:vAlign w:val="center"/>
                </w:tcPr>
                <w:p w14:paraId="26FEF68D">
                  <w:pPr>
                    <w:widowControl/>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3C801202">
                  <w:pPr>
                    <w:widowControl/>
                    <w:jc w:val="center"/>
                    <w:rPr>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62718382">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tcBorders>
                    <w:left w:val="nil"/>
                  </w:tcBorders>
                  <w:noWrap w:val="0"/>
                  <w:vAlign w:val="center"/>
                </w:tcPr>
                <w:p w14:paraId="776363A0">
                  <w:pPr>
                    <w:autoSpaceDE w:val="0"/>
                    <w:autoSpaceDN w:val="0"/>
                    <w:adjustRightInd w:val="0"/>
                    <w:snapToGrid w:val="0"/>
                    <w:jc w:val="center"/>
                    <w:rPr>
                      <w:rFonts w:hint="default"/>
                      <w:snapToGrid w:val="0"/>
                      <w:color w:val="000000" w:themeColor="text1"/>
                      <w:kern w:val="0"/>
                      <w:sz w:val="21"/>
                      <w:szCs w:val="21"/>
                      <w:lang w:val="en-US"/>
                      <w14:textFill>
                        <w14:solidFill>
                          <w14:schemeClr w14:val="tx1"/>
                        </w14:solidFill>
                      </w14:textFill>
                    </w:rPr>
                  </w:pP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202</w:t>
                  </w:r>
                  <w:r>
                    <w:rPr>
                      <w:rFonts w:hint="eastAsia" w:ascii="Times New Roman" w:cs="Times New Roman"/>
                      <w:snapToGrid w:val="0"/>
                      <w:color w:val="000000" w:themeColor="text1"/>
                      <w:kern w:val="0"/>
                      <w:sz w:val="21"/>
                      <w:szCs w:val="21"/>
                      <w:lang w:val="en-US" w:eastAsia="zh-CN"/>
                      <w14:textFill>
                        <w14:solidFill>
                          <w14:schemeClr w14:val="tx1"/>
                        </w14:solidFill>
                      </w14:textFill>
                    </w:rPr>
                    <w:t>5</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.1</w:t>
                  </w:r>
                  <w:r>
                    <w:rPr>
                      <w:rFonts w:hint="eastAsia" w:ascii="Times New Roman" w:cs="Times New Roman"/>
                      <w:snapToGrid w:val="0"/>
                      <w:color w:val="000000" w:themeColor="text1"/>
                      <w:kern w:val="0"/>
                      <w:sz w:val="21"/>
                      <w:szCs w:val="21"/>
                      <w:lang w:val="en-US" w:eastAsia="zh-CN"/>
                      <w14:textFill>
                        <w14:solidFill>
                          <w14:schemeClr w14:val="tx1"/>
                        </w14:solidFill>
                      </w14:textFill>
                    </w:rPr>
                    <w:t>0</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w:t>
                  </w:r>
                  <w:r>
                    <w:rPr>
                      <w:rFonts w:hint="eastAsia" w:cs="Times New Roman"/>
                      <w:snapToGrid w:val="0"/>
                      <w:color w:val="000000" w:themeColor="text1"/>
                      <w:kern w:val="0"/>
                      <w:sz w:val="21"/>
                      <w:szCs w:val="21"/>
                      <w:lang w:val="en-US" w:eastAsia="zh-CN"/>
                      <w14:textFill>
                        <w14:solidFill>
                          <w14:schemeClr w14:val="tx1"/>
                        </w14:solidFill>
                      </w14:textFill>
                    </w:rPr>
                    <w:t>24</w:t>
                  </w:r>
                </w:p>
              </w:tc>
              <w:tc>
                <w:tcPr>
                  <w:tcW w:w="1147" w:type="pct"/>
                  <w:noWrap w:val="0"/>
                  <w:vAlign w:val="center"/>
                </w:tcPr>
                <w:p w14:paraId="20D0CEE6">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东南侧零散居民处</w:t>
                  </w:r>
                </w:p>
              </w:tc>
              <w:tc>
                <w:tcPr>
                  <w:tcW w:w="1165" w:type="pct"/>
                  <w:noWrap w:val="0"/>
                  <w:vAlign w:val="center"/>
                </w:tcPr>
                <w:p w14:paraId="499AD089">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56</w:t>
                  </w:r>
                </w:p>
              </w:tc>
              <w:tc>
                <w:tcPr>
                  <w:tcW w:w="1259" w:type="pct"/>
                  <w:tcBorders>
                    <w:right w:val="nil"/>
                  </w:tcBorders>
                  <w:noWrap w:val="0"/>
                  <w:vAlign w:val="center"/>
                </w:tcPr>
                <w:p w14:paraId="0B4DBC2D">
                  <w:pPr>
                    <w:widowControl/>
                    <w:jc w:val="center"/>
                    <w:rPr>
                      <w:rFonts w:hint="default"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60</w:t>
                  </w:r>
                </w:p>
              </w:tc>
              <w:tc>
                <w:tcPr>
                  <w:tcW w:w="697" w:type="pct"/>
                  <w:tcBorders>
                    <w:right w:val="nil"/>
                  </w:tcBorders>
                  <w:noWrap w:val="0"/>
                  <w:vAlign w:val="center"/>
                </w:tcPr>
                <w:p w14:paraId="511E909C">
                  <w:pPr>
                    <w:widowControl/>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2E77C94D">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tcBorders>
                    <w:left w:val="nil"/>
                  </w:tcBorders>
                  <w:noWrap w:val="0"/>
                  <w:vAlign w:val="center"/>
                </w:tcPr>
                <w:p w14:paraId="05932AD2">
                  <w:pPr>
                    <w:pStyle w:val="62"/>
                    <w:keepNext w:val="0"/>
                    <w:keepLines w:val="0"/>
                    <w:pageBreakBefore w:val="0"/>
                    <w:widowControl w:val="0"/>
                    <w:kinsoku/>
                    <w:wordWrap/>
                    <w:overflowPunct/>
                    <w:topLinePunct w:val="0"/>
                    <w:autoSpaceDE w:val="0"/>
                    <w:autoSpaceDN w:val="0"/>
                    <w:bidi w:val="0"/>
                    <w:adjustRightInd w:val="0"/>
                    <w:snapToGrid w:val="0"/>
                    <w:jc w:val="center"/>
                    <w:textAlignment w:val="auto"/>
                    <w:rPr>
                      <w:snapToGrid w:val="0"/>
                      <w:color w:val="000000" w:themeColor="text1"/>
                      <w:kern w:val="0"/>
                      <w:sz w:val="21"/>
                      <w:szCs w:val="21"/>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日期</w:t>
                  </w:r>
                </w:p>
              </w:tc>
              <w:tc>
                <w:tcPr>
                  <w:tcW w:w="1147" w:type="pct"/>
                  <w:noWrap w:val="0"/>
                  <w:vAlign w:val="center"/>
                </w:tcPr>
                <w:p w14:paraId="6CA0D505">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ascii="Times New Roman" w:cs="Times New Roman"/>
                      <w:b/>
                      <w:snapToGrid w:val="0"/>
                      <w:color w:val="000000" w:themeColor="text1"/>
                      <w:kern w:val="0"/>
                      <w:sz w:val="21"/>
                      <w:szCs w:val="21"/>
                      <w14:textFill>
                        <w14:solidFill>
                          <w14:schemeClr w14:val="tx1"/>
                        </w14:solidFill>
                      </w14:textFill>
                    </w:rPr>
                    <w:t>检测点位</w:t>
                  </w:r>
                </w:p>
              </w:tc>
              <w:tc>
                <w:tcPr>
                  <w:tcW w:w="1165" w:type="pct"/>
                  <w:noWrap w:val="0"/>
                  <w:vAlign w:val="center"/>
                </w:tcPr>
                <w:p w14:paraId="6E24FC37">
                  <w:pPr>
                    <w:pStyle w:val="62"/>
                    <w:adjustRightInd w:val="0"/>
                    <w:snapToGrid w:val="0"/>
                    <w:jc w:val="center"/>
                    <w:rPr>
                      <w:rFonts w:hint="default" w:ascii="Times New Roman" w:cs="Times New Roman"/>
                      <w:b/>
                      <w:bCs/>
                      <w:snapToGrid w:val="0"/>
                      <w:color w:val="000000" w:themeColor="text1"/>
                      <w:kern w:val="0"/>
                      <w:sz w:val="21"/>
                      <w:szCs w:val="21"/>
                      <w:lang w:val="en-US" w:eastAsia="zh-CN"/>
                      <w14:textFill>
                        <w14:solidFill>
                          <w14:schemeClr w14:val="tx1"/>
                        </w14:solidFill>
                      </w14:textFill>
                    </w:rPr>
                  </w:pPr>
                  <w:r>
                    <w:rPr>
                      <w:rFonts w:hint="eastAsia" w:ascii="Times New Roman" w:cs="Times New Roman"/>
                      <w:b/>
                      <w:bCs/>
                      <w:snapToGrid w:val="0"/>
                      <w:color w:val="000000" w:themeColor="text1"/>
                      <w:kern w:val="0"/>
                      <w:sz w:val="21"/>
                      <w:szCs w:val="21"/>
                      <w:lang w:val="en-US" w:eastAsia="zh-CN"/>
                      <w14:textFill>
                        <w14:solidFill>
                          <w14:schemeClr w14:val="tx1"/>
                        </w14:solidFill>
                      </w14:textFill>
                    </w:rPr>
                    <w:t>夜间</w:t>
                  </w:r>
                </w:p>
              </w:tc>
              <w:tc>
                <w:tcPr>
                  <w:tcW w:w="1259" w:type="pct"/>
                  <w:tcBorders>
                    <w:right w:val="nil"/>
                  </w:tcBorders>
                  <w:noWrap w:val="0"/>
                  <w:vAlign w:val="center"/>
                </w:tcPr>
                <w:p w14:paraId="1166DA1A">
                  <w:pPr>
                    <w:widowControl/>
                    <w:jc w:val="center"/>
                    <w:rPr>
                      <w:rFonts w:hint="eastAsia" w:eastAsia="宋体"/>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夜间</w:t>
                  </w:r>
                </w:p>
              </w:tc>
              <w:tc>
                <w:tcPr>
                  <w:tcW w:w="697" w:type="pct"/>
                  <w:tcBorders>
                    <w:right w:val="nil"/>
                  </w:tcBorders>
                  <w:noWrap w:val="0"/>
                  <w:vAlign w:val="center"/>
                </w:tcPr>
                <w:p w14:paraId="33AF5437">
                  <w:pPr>
                    <w:widowControl/>
                    <w:jc w:val="center"/>
                    <w:rPr>
                      <w:rFonts w:hint="eastAsia"/>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达标情况</w:t>
                  </w:r>
                </w:p>
              </w:tc>
            </w:tr>
            <w:tr w14:paraId="248DD537">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restart"/>
                  <w:tcBorders>
                    <w:left w:val="nil"/>
                  </w:tcBorders>
                  <w:noWrap w:val="0"/>
                  <w:vAlign w:val="center"/>
                </w:tcPr>
                <w:p w14:paraId="07A2B19B">
                  <w:pPr>
                    <w:autoSpaceDE w:val="0"/>
                    <w:autoSpaceDN w:val="0"/>
                    <w:adjustRightInd w:val="0"/>
                    <w:snapToGrid w:val="0"/>
                    <w:jc w:val="center"/>
                    <w:rPr>
                      <w:rFonts w:hint="default" w:eastAsia="宋体"/>
                      <w:snapToGrid w:val="0"/>
                      <w:color w:val="000000" w:themeColor="text1"/>
                      <w:kern w:val="0"/>
                      <w:sz w:val="21"/>
                      <w:szCs w:val="21"/>
                      <w:lang w:val="en-US" w:eastAsia="zh-CN"/>
                      <w14:textFill>
                        <w14:solidFill>
                          <w14:schemeClr w14:val="tx1"/>
                        </w14:solidFill>
                      </w14:textFill>
                    </w:rPr>
                  </w:pPr>
                  <w:r>
                    <w:rPr>
                      <w:rFonts w:hint="eastAsia"/>
                      <w:snapToGrid w:val="0"/>
                      <w:color w:val="000000" w:themeColor="text1"/>
                      <w:kern w:val="0"/>
                      <w:sz w:val="21"/>
                      <w:szCs w:val="21"/>
                      <w:lang w:val="en-US" w:eastAsia="zh-CN"/>
                      <w14:textFill>
                        <w14:solidFill>
                          <w14:schemeClr w14:val="tx1"/>
                        </w14:solidFill>
                      </w14:textFill>
                    </w:rPr>
                    <w:t>2025.10.17</w:t>
                  </w:r>
                </w:p>
              </w:tc>
              <w:tc>
                <w:tcPr>
                  <w:tcW w:w="1147" w:type="pct"/>
                  <w:noWrap w:val="0"/>
                  <w:vAlign w:val="center"/>
                </w:tcPr>
                <w:p w14:paraId="5258CB32">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14:textFill>
                        <w14:solidFill>
                          <w14:schemeClr w14:val="tx1"/>
                        </w14:solidFill>
                      </w14:textFill>
                    </w:rPr>
                    <w:t>东厂界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N1</w:t>
                  </w:r>
                </w:p>
              </w:tc>
              <w:tc>
                <w:tcPr>
                  <w:tcW w:w="1165" w:type="pct"/>
                  <w:noWrap w:val="0"/>
                  <w:vAlign w:val="center"/>
                </w:tcPr>
                <w:p w14:paraId="41CAF10B">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45</w:t>
                  </w:r>
                </w:p>
              </w:tc>
              <w:tc>
                <w:tcPr>
                  <w:tcW w:w="1259" w:type="pct"/>
                  <w:vMerge w:val="restart"/>
                  <w:tcBorders>
                    <w:right w:val="nil"/>
                  </w:tcBorders>
                  <w:noWrap w:val="0"/>
                  <w:vAlign w:val="center"/>
                </w:tcPr>
                <w:p w14:paraId="373CD69A">
                  <w:pPr>
                    <w:widowControl/>
                    <w:jc w:val="center"/>
                    <w:rPr>
                      <w:rFonts w:hint="default"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50</w:t>
                  </w:r>
                </w:p>
              </w:tc>
              <w:tc>
                <w:tcPr>
                  <w:tcW w:w="697" w:type="pct"/>
                  <w:tcBorders>
                    <w:right w:val="nil"/>
                  </w:tcBorders>
                  <w:noWrap w:val="0"/>
                  <w:vAlign w:val="center"/>
                </w:tcPr>
                <w:p w14:paraId="5F7EF286">
                  <w:pPr>
                    <w:widowControl/>
                    <w:adjustRightInd w:val="0"/>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0098F4F4">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5AA7F881">
                  <w:pPr>
                    <w:autoSpaceDE w:val="0"/>
                    <w:autoSpaceDN w:val="0"/>
                    <w:adjustRightInd w:val="0"/>
                    <w:snapToGrid w:val="0"/>
                    <w:jc w:val="center"/>
                    <w:rPr>
                      <w:snapToGrid w:val="0"/>
                      <w:color w:val="000000" w:themeColor="text1"/>
                      <w:kern w:val="0"/>
                      <w:sz w:val="21"/>
                      <w:szCs w:val="21"/>
                      <w14:textFill>
                        <w14:solidFill>
                          <w14:schemeClr w14:val="tx1"/>
                        </w14:solidFill>
                      </w14:textFill>
                    </w:rPr>
                  </w:pPr>
                </w:p>
              </w:tc>
              <w:tc>
                <w:tcPr>
                  <w:tcW w:w="1147" w:type="pct"/>
                  <w:noWrap w:val="0"/>
                  <w:vAlign w:val="center"/>
                </w:tcPr>
                <w:p w14:paraId="0BE37B2D">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北</w:t>
                  </w:r>
                  <w:r>
                    <w:rPr>
                      <w:rFonts w:hint="eastAsia" w:ascii="Times New Roman" w:cs="Times New Roman"/>
                      <w:snapToGrid w:val="0"/>
                      <w:color w:val="000000" w:themeColor="text1"/>
                      <w:kern w:val="0"/>
                      <w:sz w:val="21"/>
                      <w:szCs w:val="21"/>
                      <w14:textFill>
                        <w14:solidFill>
                          <w14:schemeClr w14:val="tx1"/>
                        </w14:solidFill>
                      </w14:textFill>
                    </w:rPr>
                    <w:t>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N2</w:t>
                  </w:r>
                </w:p>
              </w:tc>
              <w:tc>
                <w:tcPr>
                  <w:tcW w:w="1165" w:type="pct"/>
                  <w:noWrap w:val="0"/>
                  <w:vAlign w:val="center"/>
                </w:tcPr>
                <w:p w14:paraId="777E9C79">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48</w:t>
                  </w:r>
                </w:p>
              </w:tc>
              <w:tc>
                <w:tcPr>
                  <w:tcW w:w="1259" w:type="pct"/>
                  <w:vMerge w:val="continue"/>
                  <w:tcBorders>
                    <w:right w:val="nil"/>
                  </w:tcBorders>
                  <w:noWrap w:val="0"/>
                  <w:vAlign w:val="center"/>
                </w:tcPr>
                <w:p w14:paraId="031DF528">
                  <w:pPr>
                    <w:widowControl/>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43AF9C44">
                  <w:pPr>
                    <w:widowControl/>
                    <w:adjustRightInd w:val="0"/>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4019BE71">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7ED9D522">
                  <w:pPr>
                    <w:autoSpaceDE w:val="0"/>
                    <w:autoSpaceDN w:val="0"/>
                    <w:adjustRightInd w:val="0"/>
                    <w:snapToGrid w:val="0"/>
                    <w:jc w:val="center"/>
                    <w:rPr>
                      <w:snapToGrid w:val="0"/>
                      <w:color w:val="000000" w:themeColor="text1"/>
                      <w:kern w:val="0"/>
                      <w:sz w:val="21"/>
                      <w:szCs w:val="21"/>
                      <w14:textFill>
                        <w14:solidFill>
                          <w14:schemeClr w14:val="tx1"/>
                        </w14:solidFill>
                      </w14:textFill>
                    </w:rPr>
                  </w:pPr>
                </w:p>
              </w:tc>
              <w:tc>
                <w:tcPr>
                  <w:tcW w:w="1147" w:type="pct"/>
                  <w:noWrap w:val="0"/>
                  <w:vAlign w:val="center"/>
                </w:tcPr>
                <w:p w14:paraId="4518DE6F">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14:textFill>
                        <w14:solidFill>
                          <w14:schemeClr w14:val="tx1"/>
                        </w14:solidFill>
                      </w14:textFill>
                    </w:rPr>
                    <w:t>西厂界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N3</w:t>
                  </w:r>
                </w:p>
              </w:tc>
              <w:tc>
                <w:tcPr>
                  <w:tcW w:w="1165" w:type="pct"/>
                  <w:noWrap w:val="0"/>
                  <w:vAlign w:val="center"/>
                </w:tcPr>
                <w:p w14:paraId="7B3903B3">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48</w:t>
                  </w:r>
                </w:p>
              </w:tc>
              <w:tc>
                <w:tcPr>
                  <w:tcW w:w="1259" w:type="pct"/>
                  <w:vMerge w:val="continue"/>
                  <w:tcBorders>
                    <w:right w:val="nil"/>
                  </w:tcBorders>
                  <w:noWrap w:val="0"/>
                  <w:vAlign w:val="center"/>
                </w:tcPr>
                <w:p w14:paraId="74EA5AF9">
                  <w:pPr>
                    <w:widowControl/>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4FB62205">
                  <w:pPr>
                    <w:widowControl/>
                    <w:adjustRightInd w:val="0"/>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19C95665">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vMerge w:val="continue"/>
                  <w:tcBorders>
                    <w:left w:val="nil"/>
                  </w:tcBorders>
                  <w:noWrap w:val="0"/>
                  <w:vAlign w:val="center"/>
                </w:tcPr>
                <w:p w14:paraId="3301B2B0">
                  <w:pPr>
                    <w:autoSpaceDE w:val="0"/>
                    <w:autoSpaceDN w:val="0"/>
                    <w:adjustRightInd w:val="0"/>
                    <w:snapToGrid w:val="0"/>
                    <w:jc w:val="center"/>
                    <w:rPr>
                      <w:snapToGrid w:val="0"/>
                      <w:color w:val="000000" w:themeColor="text1"/>
                      <w:kern w:val="0"/>
                      <w:sz w:val="21"/>
                      <w:szCs w:val="21"/>
                      <w14:textFill>
                        <w14:solidFill>
                          <w14:schemeClr w14:val="tx1"/>
                        </w14:solidFill>
                      </w14:textFill>
                    </w:rPr>
                  </w:pPr>
                </w:p>
              </w:tc>
              <w:tc>
                <w:tcPr>
                  <w:tcW w:w="1147" w:type="pct"/>
                  <w:noWrap w:val="0"/>
                  <w:vAlign w:val="center"/>
                </w:tcPr>
                <w:p w14:paraId="3EEFE35B">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南</w:t>
                  </w:r>
                  <w:r>
                    <w:rPr>
                      <w:rFonts w:hint="eastAsia" w:ascii="Times New Roman" w:cs="Times New Roman"/>
                      <w:snapToGrid w:val="0"/>
                      <w:color w:val="000000" w:themeColor="text1"/>
                      <w:kern w:val="0"/>
                      <w:sz w:val="21"/>
                      <w:szCs w:val="21"/>
                      <w14:textFill>
                        <w14:solidFill>
                          <w14:schemeClr w14:val="tx1"/>
                        </w14:solidFill>
                      </w14:textFill>
                    </w:rPr>
                    <w:t>厂界</w:t>
                  </w:r>
                  <w:r>
                    <w:rPr>
                      <w:rFonts w:hint="eastAsia" w:ascii="Times New Roman" w:cs="Times New Roman"/>
                      <w:snapToGrid w:val="0"/>
                      <w:color w:val="000000" w:themeColor="text1"/>
                      <w:kern w:val="0"/>
                      <w:sz w:val="21"/>
                      <w:szCs w:val="21"/>
                      <w:lang w:val="en-US" w:eastAsia="zh-CN"/>
                      <w14:textFill>
                        <w14:solidFill>
                          <w14:schemeClr w14:val="tx1"/>
                        </w14:solidFill>
                      </w14:textFill>
                    </w:rPr>
                    <w:t>外1m N4</w:t>
                  </w:r>
                </w:p>
              </w:tc>
              <w:tc>
                <w:tcPr>
                  <w:tcW w:w="1165" w:type="pct"/>
                  <w:noWrap w:val="0"/>
                  <w:vAlign w:val="center"/>
                </w:tcPr>
                <w:p w14:paraId="6FE4C472">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44</w:t>
                  </w:r>
                </w:p>
              </w:tc>
              <w:tc>
                <w:tcPr>
                  <w:tcW w:w="1259" w:type="pct"/>
                  <w:vMerge w:val="continue"/>
                  <w:tcBorders>
                    <w:right w:val="nil"/>
                  </w:tcBorders>
                  <w:noWrap w:val="0"/>
                  <w:vAlign w:val="center"/>
                </w:tcPr>
                <w:p w14:paraId="72231EAE">
                  <w:pPr>
                    <w:widowControl/>
                    <w:jc w:val="center"/>
                    <w:rPr>
                      <w:rFonts w:hint="eastAsia"/>
                      <w:bCs/>
                      <w:color w:val="000000" w:themeColor="text1"/>
                      <w:sz w:val="21"/>
                      <w:szCs w:val="21"/>
                      <w14:textFill>
                        <w14:solidFill>
                          <w14:schemeClr w14:val="tx1"/>
                        </w14:solidFill>
                      </w14:textFill>
                    </w:rPr>
                  </w:pPr>
                </w:p>
              </w:tc>
              <w:tc>
                <w:tcPr>
                  <w:tcW w:w="697" w:type="pct"/>
                  <w:tcBorders>
                    <w:right w:val="nil"/>
                  </w:tcBorders>
                  <w:noWrap w:val="0"/>
                  <w:vAlign w:val="center"/>
                </w:tcPr>
                <w:p w14:paraId="642EA77E">
                  <w:pPr>
                    <w:widowControl/>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r w14:paraId="60A1DE62">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0" w:type="pct"/>
                  <w:tcBorders>
                    <w:left w:val="nil"/>
                  </w:tcBorders>
                  <w:noWrap w:val="0"/>
                  <w:vAlign w:val="center"/>
                </w:tcPr>
                <w:p w14:paraId="60B6B53B">
                  <w:pPr>
                    <w:autoSpaceDE w:val="0"/>
                    <w:autoSpaceDN w:val="0"/>
                    <w:adjustRightInd w:val="0"/>
                    <w:snapToGrid w:val="0"/>
                    <w:jc w:val="center"/>
                    <w:rPr>
                      <w:rFonts w:hint="default"/>
                      <w:snapToGrid w:val="0"/>
                      <w:color w:val="000000" w:themeColor="text1"/>
                      <w:kern w:val="0"/>
                      <w:sz w:val="21"/>
                      <w:szCs w:val="21"/>
                      <w:lang w:val="en-US"/>
                      <w14:textFill>
                        <w14:solidFill>
                          <w14:schemeClr w14:val="tx1"/>
                        </w14:solidFill>
                      </w14:textFill>
                    </w:rPr>
                  </w:pP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202</w:t>
                  </w:r>
                  <w:r>
                    <w:rPr>
                      <w:rFonts w:hint="eastAsia" w:ascii="Times New Roman" w:cs="Times New Roman"/>
                      <w:snapToGrid w:val="0"/>
                      <w:color w:val="000000" w:themeColor="text1"/>
                      <w:kern w:val="0"/>
                      <w:sz w:val="21"/>
                      <w:szCs w:val="21"/>
                      <w:lang w:val="en-US" w:eastAsia="zh-CN"/>
                      <w14:textFill>
                        <w14:solidFill>
                          <w14:schemeClr w14:val="tx1"/>
                        </w14:solidFill>
                      </w14:textFill>
                    </w:rPr>
                    <w:t>5</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.1</w:t>
                  </w:r>
                  <w:r>
                    <w:rPr>
                      <w:rFonts w:hint="eastAsia" w:ascii="Times New Roman" w:cs="Times New Roman"/>
                      <w:snapToGrid w:val="0"/>
                      <w:color w:val="000000" w:themeColor="text1"/>
                      <w:kern w:val="0"/>
                      <w:sz w:val="21"/>
                      <w:szCs w:val="21"/>
                      <w:lang w:val="en-US" w:eastAsia="zh-CN"/>
                      <w14:textFill>
                        <w14:solidFill>
                          <w14:schemeClr w14:val="tx1"/>
                        </w14:solidFill>
                      </w14:textFill>
                    </w:rPr>
                    <w:t>0</w:t>
                  </w:r>
                  <w:r>
                    <w:rPr>
                      <w:rFonts w:hint="eastAsia" w:ascii="Times New Roman" w:eastAsia="宋体" w:cs="Times New Roman"/>
                      <w:snapToGrid w:val="0"/>
                      <w:color w:val="000000" w:themeColor="text1"/>
                      <w:kern w:val="0"/>
                      <w:sz w:val="21"/>
                      <w:szCs w:val="21"/>
                      <w:lang w:val="en-US" w:eastAsia="zh-CN"/>
                      <w14:textFill>
                        <w14:solidFill>
                          <w14:schemeClr w14:val="tx1"/>
                        </w14:solidFill>
                      </w14:textFill>
                    </w:rPr>
                    <w:t>.</w:t>
                  </w:r>
                  <w:r>
                    <w:rPr>
                      <w:rFonts w:hint="eastAsia" w:cs="Times New Roman"/>
                      <w:snapToGrid w:val="0"/>
                      <w:color w:val="000000" w:themeColor="text1"/>
                      <w:kern w:val="0"/>
                      <w:sz w:val="21"/>
                      <w:szCs w:val="21"/>
                      <w:lang w:val="en-US" w:eastAsia="zh-CN"/>
                      <w14:textFill>
                        <w14:solidFill>
                          <w14:schemeClr w14:val="tx1"/>
                        </w14:solidFill>
                      </w14:textFill>
                    </w:rPr>
                    <w:t>25</w:t>
                  </w:r>
                </w:p>
              </w:tc>
              <w:tc>
                <w:tcPr>
                  <w:tcW w:w="1147" w:type="pct"/>
                  <w:noWrap w:val="0"/>
                  <w:vAlign w:val="center"/>
                </w:tcPr>
                <w:p w14:paraId="62FDBAE1">
                  <w:pPr>
                    <w:pStyle w:val="62"/>
                    <w:adjustRightInd w:val="0"/>
                    <w:snapToGrid w:val="0"/>
                    <w:jc w:val="center"/>
                    <w:rPr>
                      <w:rFonts w:hint="eastAsia"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东南侧零散居民处</w:t>
                  </w:r>
                </w:p>
              </w:tc>
              <w:tc>
                <w:tcPr>
                  <w:tcW w:w="1165" w:type="pct"/>
                  <w:noWrap w:val="0"/>
                  <w:vAlign w:val="center"/>
                </w:tcPr>
                <w:p w14:paraId="260A9564">
                  <w:pPr>
                    <w:pStyle w:val="62"/>
                    <w:adjustRightInd w:val="0"/>
                    <w:snapToGrid w:val="0"/>
                    <w:jc w:val="center"/>
                    <w:rPr>
                      <w:rFonts w:hint="default" w:ascii="Times New Roman" w:cs="Times New Roman"/>
                      <w:snapToGrid w:val="0"/>
                      <w:color w:val="000000" w:themeColor="text1"/>
                      <w:kern w:val="0"/>
                      <w:sz w:val="21"/>
                      <w:szCs w:val="21"/>
                      <w:lang w:val="en-US" w:eastAsia="zh-CN"/>
                      <w14:textFill>
                        <w14:solidFill>
                          <w14:schemeClr w14:val="tx1"/>
                        </w14:solidFill>
                      </w14:textFill>
                    </w:rPr>
                  </w:pPr>
                  <w:r>
                    <w:rPr>
                      <w:rFonts w:hint="eastAsia" w:ascii="Times New Roman" w:cs="Times New Roman"/>
                      <w:snapToGrid w:val="0"/>
                      <w:color w:val="000000" w:themeColor="text1"/>
                      <w:kern w:val="0"/>
                      <w:sz w:val="21"/>
                      <w:szCs w:val="21"/>
                      <w:lang w:val="en-US" w:eastAsia="zh-CN"/>
                      <w14:textFill>
                        <w14:solidFill>
                          <w14:schemeClr w14:val="tx1"/>
                        </w14:solidFill>
                      </w14:textFill>
                    </w:rPr>
                    <w:t>45</w:t>
                  </w:r>
                </w:p>
              </w:tc>
              <w:tc>
                <w:tcPr>
                  <w:tcW w:w="1259" w:type="pct"/>
                  <w:tcBorders>
                    <w:right w:val="nil"/>
                  </w:tcBorders>
                  <w:noWrap w:val="0"/>
                  <w:vAlign w:val="center"/>
                </w:tcPr>
                <w:p w14:paraId="2D11C922">
                  <w:pPr>
                    <w:widowControl/>
                    <w:jc w:val="center"/>
                    <w:rPr>
                      <w:rFonts w:hint="default"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50</w:t>
                  </w:r>
                </w:p>
              </w:tc>
              <w:tc>
                <w:tcPr>
                  <w:tcW w:w="697" w:type="pct"/>
                  <w:tcBorders>
                    <w:right w:val="nil"/>
                  </w:tcBorders>
                  <w:noWrap w:val="0"/>
                  <w:vAlign w:val="center"/>
                </w:tcPr>
                <w:p w14:paraId="3204DC32">
                  <w:pPr>
                    <w:widowControl/>
                    <w:jc w:val="center"/>
                    <w:rPr>
                      <w:rFonts w:hint="eastAsia"/>
                      <w:bCs/>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达标</w:t>
                  </w:r>
                </w:p>
              </w:tc>
            </w:tr>
          </w:tbl>
          <w:p w14:paraId="02113E0C">
            <w:pPr>
              <w:spacing w:line="360" w:lineRule="auto"/>
              <w:ind w:firstLine="420" w:firstLineChars="200"/>
              <w:rPr>
                <w:rFonts w:hint="eastAsia" w:ascii="Times New Roman" w:hAnsi="Times New Roman" w:eastAsia="宋体" w:cs="宋体"/>
                <w:b/>
                <w:bCs/>
                <w:color w:val="000000" w:themeColor="text1"/>
                <w:sz w:val="21"/>
                <w:szCs w:val="21"/>
                <w:highlight w:val="none"/>
                <w14:textFill>
                  <w14:solidFill>
                    <w14:schemeClr w14:val="tx1"/>
                  </w14:solidFill>
                </w14:textFill>
              </w:rPr>
            </w:pPr>
            <w:r>
              <w:rPr>
                <w:color w:val="000000" w:themeColor="text1"/>
                <w:sz w:val="21"/>
                <w:szCs w:val="21"/>
                <w14:textFill>
                  <w14:solidFill>
                    <w14:schemeClr w14:val="tx1"/>
                  </w14:solidFill>
                </w14:textFill>
              </w:rPr>
              <w:t>监测结果表明，项目所在区域</w:t>
            </w:r>
            <w:r>
              <w:rPr>
                <w:rFonts w:hint="eastAsia"/>
                <w:color w:val="000000" w:themeColor="text1"/>
                <w:sz w:val="21"/>
                <w:szCs w:val="21"/>
                <w14:textFill>
                  <w14:solidFill>
                    <w14:schemeClr w14:val="tx1"/>
                  </w14:solidFill>
                </w14:textFill>
              </w:rPr>
              <w:t>厂界</w:t>
            </w:r>
            <w:r>
              <w:rPr>
                <w:rFonts w:hint="eastAsia"/>
                <w:color w:val="000000" w:themeColor="text1"/>
                <w:sz w:val="21"/>
                <w:szCs w:val="21"/>
                <w:lang w:val="en-US" w:eastAsia="zh-CN"/>
                <w14:textFill>
                  <w14:solidFill>
                    <w14:schemeClr w14:val="tx1"/>
                  </w14:solidFill>
                </w14:textFill>
              </w:rPr>
              <w:t>和</w:t>
            </w:r>
            <w:r>
              <w:rPr>
                <w:rFonts w:hint="eastAsia" w:ascii="Times New Roman" w:cs="Times New Roman"/>
                <w:snapToGrid w:val="0"/>
                <w:color w:val="000000" w:themeColor="text1"/>
                <w:kern w:val="0"/>
                <w:sz w:val="21"/>
                <w:szCs w:val="21"/>
                <w:lang w:val="en-US" w:eastAsia="zh-CN"/>
                <w14:textFill>
                  <w14:solidFill>
                    <w14:schemeClr w14:val="tx1"/>
                  </w14:solidFill>
                </w14:textFill>
              </w:rPr>
              <w:t>东南侧零散居民处</w:t>
            </w:r>
            <w:r>
              <w:rPr>
                <w:color w:val="000000" w:themeColor="text1"/>
                <w:sz w:val="21"/>
                <w:szCs w:val="21"/>
                <w14:textFill>
                  <w14:solidFill>
                    <w14:schemeClr w14:val="tx1"/>
                  </w14:solidFill>
                </w14:textFill>
              </w:rPr>
              <w:t>声环境质量现状满足《声环境质量标准》（GB3096-2008）中</w:t>
            </w:r>
            <w:r>
              <w:rPr>
                <w:rFonts w:hint="eastAsia"/>
                <w:color w:val="000000" w:themeColor="text1"/>
                <w:sz w:val="21"/>
                <w:szCs w:val="21"/>
                <w:lang w:val="en-US" w:eastAsia="zh-CN"/>
                <w14:textFill>
                  <w14:solidFill>
                    <w14:schemeClr w14:val="tx1"/>
                  </w14:solidFill>
                </w14:textFill>
              </w:rPr>
              <w:t>2</w:t>
            </w:r>
            <w:r>
              <w:rPr>
                <w:color w:val="000000" w:themeColor="text1"/>
                <w:sz w:val="21"/>
                <w:szCs w:val="21"/>
                <w14:textFill>
                  <w14:solidFill>
                    <w14:schemeClr w14:val="tx1"/>
                  </w14:solidFill>
                </w14:textFill>
              </w:rPr>
              <w:t>类</w:t>
            </w:r>
            <w:r>
              <w:rPr>
                <w:rFonts w:hint="eastAsia"/>
                <w:color w:val="000000" w:themeColor="text1"/>
                <w:sz w:val="21"/>
                <w:szCs w:val="21"/>
                <w:lang w:val="en-US" w:eastAsia="zh-CN"/>
                <w14:textFill>
                  <w14:solidFill>
                    <w14:schemeClr w14:val="tx1"/>
                  </w14:solidFill>
                </w14:textFill>
              </w:rPr>
              <w:t>功能区要求</w:t>
            </w:r>
            <w:r>
              <w:rPr>
                <w:color w:val="000000" w:themeColor="text1"/>
                <w:sz w:val="21"/>
                <w:szCs w:val="21"/>
                <w14:textFill>
                  <w14:solidFill>
                    <w14:schemeClr w14:val="tx1"/>
                  </w14:solidFill>
                </w14:textFill>
              </w:rPr>
              <w:t>，声环境</w:t>
            </w:r>
            <w:r>
              <w:rPr>
                <w:rFonts w:hint="eastAsia"/>
                <w:color w:val="000000" w:themeColor="text1"/>
                <w:sz w:val="21"/>
                <w:szCs w:val="21"/>
                <w14:textFill>
                  <w14:solidFill>
                    <w14:schemeClr w14:val="tx1"/>
                  </w14:solidFill>
                </w14:textFill>
              </w:rPr>
              <w:t>质量</w:t>
            </w:r>
            <w:r>
              <w:rPr>
                <w:color w:val="000000" w:themeColor="text1"/>
                <w:sz w:val="21"/>
                <w:szCs w:val="21"/>
                <w14:textFill>
                  <w14:solidFill>
                    <w14:schemeClr w14:val="tx1"/>
                  </w14:solidFill>
                </w14:textFill>
              </w:rPr>
              <w:t>现状良好</w:t>
            </w:r>
            <w:r>
              <w:rPr>
                <w:rFonts w:hint="eastAsia"/>
                <w:color w:val="000000" w:themeColor="text1"/>
                <w:sz w:val="21"/>
                <w:szCs w:val="21"/>
                <w14:textFill>
                  <w14:solidFill>
                    <w14:schemeClr w14:val="tx1"/>
                  </w14:solidFill>
                </w14:textFill>
              </w:rPr>
              <w:t>。</w:t>
            </w:r>
          </w:p>
          <w:p w14:paraId="0A8AD2B2">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4、生态环境</w:t>
            </w:r>
          </w:p>
          <w:p w14:paraId="6FD8D616">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本项目用地范围内不涉及生态环境保护目标，故无需开展生态现状调查。</w:t>
            </w:r>
          </w:p>
          <w:p w14:paraId="69074E2B">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5、电磁辐射</w:t>
            </w:r>
          </w:p>
          <w:p w14:paraId="15B7EBF0">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本项目不涉及电磁辐射影响，故无需开展电磁辐射现状监测与评价。</w:t>
            </w:r>
          </w:p>
          <w:p w14:paraId="54B3DAD7">
            <w:pPr>
              <w:spacing w:line="360" w:lineRule="auto"/>
              <w:ind w:firstLine="422" w:firstLineChars="200"/>
              <w:rPr>
                <w:rFonts w:ascii="Times New Roman" w:hAnsi="Times New Roman" w:eastAsia="宋体" w:cs="宋体"/>
                <w:b/>
                <w:bCs/>
                <w:color w:val="000000" w:themeColor="text1"/>
                <w:kern w:val="0"/>
                <w:sz w:val="21"/>
                <w:szCs w:val="21"/>
                <w:highlight w:val="none"/>
                <w14:textFill>
                  <w14:solidFill>
                    <w14:schemeClr w14:val="tx1"/>
                  </w14:solidFill>
                </w14:textFill>
              </w:rPr>
            </w:pPr>
            <w:r>
              <w:rPr>
                <w:rFonts w:hint="eastAsia" w:ascii="Times New Roman" w:hAnsi="Times New Roman" w:eastAsia="宋体" w:cs="宋体"/>
                <w:b/>
                <w:bCs/>
                <w:color w:val="000000" w:themeColor="text1"/>
                <w:kern w:val="0"/>
                <w:sz w:val="21"/>
                <w:szCs w:val="21"/>
                <w:highlight w:val="none"/>
                <w14:textFill>
                  <w14:solidFill>
                    <w14:schemeClr w14:val="tx1"/>
                  </w14:solidFill>
                </w14:textFill>
              </w:rPr>
              <w:t>6</w:t>
            </w:r>
            <w:r>
              <w:rPr>
                <w:rFonts w:ascii="Times New Roman" w:hAnsi="Times New Roman" w:eastAsia="宋体" w:cs="宋体"/>
                <w:b/>
                <w:bCs/>
                <w:color w:val="000000" w:themeColor="text1"/>
                <w:kern w:val="0"/>
                <w:sz w:val="21"/>
                <w:szCs w:val="21"/>
                <w:highlight w:val="none"/>
                <w14:textFill>
                  <w14:solidFill>
                    <w14:schemeClr w14:val="tx1"/>
                  </w14:solidFill>
                </w14:textFill>
              </w:rPr>
              <w:t>、</w:t>
            </w:r>
            <w:r>
              <w:rPr>
                <w:rFonts w:hint="eastAsia" w:ascii="Times New Roman" w:hAnsi="Times New Roman" w:eastAsia="宋体" w:cs="宋体"/>
                <w:b/>
                <w:bCs/>
                <w:color w:val="000000" w:themeColor="text1"/>
                <w:kern w:val="0"/>
                <w:sz w:val="21"/>
                <w:szCs w:val="21"/>
                <w:highlight w:val="none"/>
                <w:lang w:val="en-US" w:eastAsia="zh-CN"/>
                <w14:textFill>
                  <w14:solidFill>
                    <w14:schemeClr w14:val="tx1"/>
                  </w14:solidFill>
                </w14:textFill>
              </w:rPr>
              <w:t>地下水、</w:t>
            </w:r>
            <w:r>
              <w:rPr>
                <w:rFonts w:hint="eastAsia" w:ascii="Times New Roman" w:hAnsi="Times New Roman" w:eastAsia="宋体" w:cs="宋体"/>
                <w:b/>
                <w:bCs/>
                <w:color w:val="000000" w:themeColor="text1"/>
                <w:kern w:val="0"/>
                <w:sz w:val="21"/>
                <w:szCs w:val="21"/>
                <w:highlight w:val="none"/>
                <w14:textFill>
                  <w14:solidFill>
                    <w14:schemeClr w14:val="tx1"/>
                  </w14:solidFill>
                </w14:textFill>
              </w:rPr>
              <w:t>土壤环境</w:t>
            </w:r>
            <w:r>
              <w:rPr>
                <w:rFonts w:ascii="Times New Roman" w:hAnsi="Times New Roman" w:eastAsia="宋体" w:cs="宋体"/>
                <w:b/>
                <w:bCs/>
                <w:color w:val="000000" w:themeColor="text1"/>
                <w:kern w:val="0"/>
                <w:sz w:val="21"/>
                <w:szCs w:val="21"/>
                <w:highlight w:val="none"/>
                <w14:textFill>
                  <w14:solidFill>
                    <w14:schemeClr w14:val="tx1"/>
                  </w14:solidFill>
                </w14:textFill>
              </w:rPr>
              <w:t>质量现状</w:t>
            </w:r>
          </w:p>
          <w:p w14:paraId="6C3FF4A9">
            <w:pPr>
              <w:spacing w:line="360" w:lineRule="auto"/>
              <w:ind w:firstLine="420" w:firstLineChars="200"/>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本项目厂区地面已做水泥硬化处理，且各仓库均已做好防风、防雨、防渗措施，正常工况下不会对地下水、土壤造成环境影响，因此无需开展地下水、土壤现状调查</w:t>
            </w:r>
            <w:r>
              <w:rPr>
                <w:rFonts w:ascii="Times New Roman" w:hAnsi="Times New Roman" w:eastAsia="宋体" w:cs="宋体"/>
                <w:color w:val="000000" w:themeColor="text1"/>
                <w:kern w:val="0"/>
                <w:sz w:val="21"/>
                <w:szCs w:val="21"/>
                <w:highlight w:val="none"/>
                <w14:textFill>
                  <w14:solidFill>
                    <w14:schemeClr w14:val="tx1"/>
                  </w14:solidFill>
                </w14:textFill>
              </w:rPr>
              <w:t>。</w:t>
            </w:r>
          </w:p>
        </w:tc>
      </w:tr>
    </w:tbl>
    <w:p w14:paraId="542FE1EB">
      <w:pPr>
        <w:pStyle w:val="22"/>
        <w:widowControl w:val="0"/>
        <w:jc w:val="center"/>
        <w:outlineLvl w:val="0"/>
        <w:rPr>
          <w:rFonts w:ascii="Times New Roman" w:hAnsi="Times New Roman" w:eastAsia="宋体" w:cs="宋体"/>
          <w:snapToGrid w:val="0"/>
          <w:color w:val="000000" w:themeColor="text1"/>
          <w:sz w:val="36"/>
          <w:szCs w:val="36"/>
          <w:highlight w:val="none"/>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tbl>
      <w:tblPr>
        <w:tblStyle w:val="25"/>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2812"/>
      </w:tblGrid>
      <w:tr w14:paraId="51D766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65" w:hRule="atLeast"/>
        </w:trPr>
        <w:tc>
          <w:tcPr>
            <w:tcW w:w="416" w:type="dxa"/>
            <w:tcBorders>
              <w:tl2br w:val="nil"/>
              <w:tr2bl w:val="nil"/>
            </w:tcBorders>
            <w:vAlign w:val="center"/>
          </w:tcPr>
          <w:p w14:paraId="26C6B239">
            <w:pPr>
              <w:pStyle w:val="22"/>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宋体" w:cs="宋体"/>
                <w:snapToGrid w:val="0"/>
                <w:color w:val="000000" w:themeColor="text1"/>
                <w:sz w:val="36"/>
                <w:szCs w:val="36"/>
                <w:highlight w:val="none"/>
                <w:vertAlign w:val="baseline"/>
                <w:lang w:val="en-US" w:eastAsia="zh-CN"/>
                <w14:textFill>
                  <w14:solidFill>
                    <w14:schemeClr w14:val="tx1"/>
                  </w14:solidFill>
                </w14:textFill>
              </w:rPr>
            </w:pPr>
            <w:r>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t>环境保护目标</w:t>
            </w:r>
          </w:p>
        </w:tc>
        <w:tc>
          <w:tcPr>
            <w:tcW w:w="12812" w:type="dxa"/>
            <w:tcBorders>
              <w:tl2br w:val="nil"/>
              <w:tr2bl w:val="nil"/>
            </w:tcBorders>
          </w:tcPr>
          <w:p w14:paraId="1DB0EED5">
            <w:pPr>
              <w:tabs>
                <w:tab w:val="left" w:pos="960"/>
              </w:tabs>
              <w:spacing w:beforeLines="50"/>
              <w:jc w:val="center"/>
              <w:rPr>
                <w:rFonts w:ascii="Times New Roman" w:hAnsi="Times New Roman" w:eastAsia="宋体" w:cs="宋体"/>
                <w:b/>
                <w:bCs/>
                <w:color w:val="000000" w:themeColor="text1"/>
                <w:spacing w:val="-4"/>
                <w:szCs w:val="21"/>
                <w:highlight w:val="none"/>
                <w14:textFill>
                  <w14:solidFill>
                    <w14:schemeClr w14:val="tx1"/>
                  </w14:solidFill>
                </w14:textFill>
              </w:rPr>
            </w:pPr>
            <w:r>
              <w:rPr>
                <w:rFonts w:ascii="Times New Roman" w:hAnsi="Times New Roman" w:eastAsia="宋体" w:cs="宋体"/>
                <w:b/>
                <w:bCs/>
                <w:color w:val="000000" w:themeColor="text1"/>
                <w:spacing w:val="-4"/>
                <w:szCs w:val="21"/>
                <w:highlight w:val="none"/>
                <w14:textFill>
                  <w14:solidFill>
                    <w14:schemeClr w14:val="tx1"/>
                  </w14:solidFill>
                </w14:textFill>
              </w:rPr>
              <w:t>表3</w:t>
            </w:r>
            <w:r>
              <w:rPr>
                <w:rFonts w:hint="eastAsia" w:cs="宋体"/>
                <w:b/>
                <w:bCs/>
                <w:color w:val="000000" w:themeColor="text1"/>
                <w:spacing w:val="-4"/>
                <w:szCs w:val="21"/>
                <w:highlight w:val="none"/>
                <w:lang w:val="en-US" w:eastAsia="zh-CN"/>
                <w14:textFill>
                  <w14:solidFill>
                    <w14:schemeClr w14:val="tx1"/>
                  </w14:solidFill>
                </w14:textFill>
              </w:rPr>
              <w:t>-4</w:t>
            </w:r>
            <w:r>
              <w:rPr>
                <w:rFonts w:hint="eastAsia" w:ascii="Times New Roman" w:hAnsi="Times New Roman" w:eastAsia="宋体" w:cs="宋体"/>
                <w:b/>
                <w:bCs/>
                <w:color w:val="000000" w:themeColor="text1"/>
                <w:spacing w:val="-4"/>
                <w:szCs w:val="21"/>
                <w:highlight w:val="none"/>
                <w14:textFill>
                  <w14:solidFill>
                    <w14:schemeClr w14:val="tx1"/>
                  </w14:solidFill>
                </w14:textFill>
              </w:rPr>
              <w:t xml:space="preserve">  建设项目主要环境保护目标、环境功能区划情况一览表</w:t>
            </w:r>
          </w:p>
          <w:tbl>
            <w:tblPr>
              <w:tblStyle w:val="24"/>
              <w:tblW w:w="499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030"/>
              <w:gridCol w:w="1262"/>
              <w:gridCol w:w="890"/>
              <w:gridCol w:w="485"/>
              <w:gridCol w:w="483"/>
              <w:gridCol w:w="970"/>
              <w:gridCol w:w="1664"/>
              <w:gridCol w:w="1266"/>
              <w:gridCol w:w="1387"/>
              <w:gridCol w:w="1407"/>
              <w:gridCol w:w="1742"/>
            </w:tblGrid>
            <w:tr w14:paraId="74D600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restart"/>
                  <w:vAlign w:val="center"/>
                </w:tcPr>
                <w:p w14:paraId="6F7C6083">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环境要素</w:t>
                  </w:r>
                </w:p>
              </w:tc>
              <w:tc>
                <w:tcPr>
                  <w:tcW w:w="501" w:type="pct"/>
                  <w:vMerge w:val="restart"/>
                  <w:vAlign w:val="center"/>
                </w:tcPr>
                <w:p w14:paraId="7FD32482">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名称</w:t>
                  </w:r>
                </w:p>
              </w:tc>
              <w:tc>
                <w:tcPr>
                  <w:tcW w:w="1123" w:type="pct"/>
                  <w:gridSpan w:val="4"/>
                  <w:vAlign w:val="center"/>
                </w:tcPr>
                <w:p w14:paraId="66274B9F">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经纬度</w:t>
                  </w:r>
                </w:p>
              </w:tc>
              <w:tc>
                <w:tcPr>
                  <w:tcW w:w="661" w:type="pct"/>
                  <w:vMerge w:val="restart"/>
                  <w:vAlign w:val="center"/>
                </w:tcPr>
                <w:p w14:paraId="03E174F4">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保护对象</w:t>
                  </w:r>
                </w:p>
              </w:tc>
              <w:tc>
                <w:tcPr>
                  <w:tcW w:w="502" w:type="pct"/>
                  <w:vMerge w:val="restart"/>
                  <w:vAlign w:val="center"/>
                </w:tcPr>
                <w:p w14:paraId="646C2A17">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保护内容</w:t>
                  </w:r>
                </w:p>
              </w:tc>
              <w:tc>
                <w:tcPr>
                  <w:tcW w:w="551" w:type="pct"/>
                  <w:vMerge w:val="restart"/>
                  <w:vAlign w:val="center"/>
                </w:tcPr>
                <w:p w14:paraId="7C8701D0">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环境功能区</w:t>
                  </w:r>
                </w:p>
              </w:tc>
              <w:tc>
                <w:tcPr>
                  <w:tcW w:w="558" w:type="pct"/>
                  <w:vMerge w:val="restart"/>
                  <w:vAlign w:val="center"/>
                </w:tcPr>
                <w:p w14:paraId="1AFE4DFF">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相对厂址方位</w:t>
                  </w:r>
                </w:p>
              </w:tc>
              <w:tc>
                <w:tcPr>
                  <w:tcW w:w="692" w:type="pct"/>
                  <w:vMerge w:val="restart"/>
                  <w:vAlign w:val="center"/>
                </w:tcPr>
                <w:p w14:paraId="45B7D780">
                  <w:pPr>
                    <w:snapToGrid w:val="0"/>
                    <w:jc w:val="center"/>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相对</w:t>
                  </w:r>
                  <w:r>
                    <w:rPr>
                      <w:rFonts w:hint="eastAsia" w:cs="宋体"/>
                      <w:b/>
                      <w:bCs/>
                      <w:color w:val="000000" w:themeColor="text1"/>
                      <w:sz w:val="21"/>
                      <w:szCs w:val="21"/>
                      <w:highlight w:val="none"/>
                      <w:lang w:val="en-US" w:eastAsia="zh-CN"/>
                      <w14:textFill>
                        <w14:solidFill>
                          <w14:schemeClr w14:val="tx1"/>
                        </w14:solidFill>
                      </w14:textFill>
                    </w:rPr>
                    <w:t>厂界</w:t>
                  </w:r>
                  <w: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t>距离/m</w:t>
                  </w:r>
                </w:p>
              </w:tc>
            </w:tr>
            <w:tr w14:paraId="52ACF1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continue"/>
                  <w:vAlign w:val="center"/>
                </w:tcPr>
                <w:p w14:paraId="271FC45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1" w:type="pct"/>
                  <w:vMerge w:val="continue"/>
                  <w:vAlign w:val="center"/>
                </w:tcPr>
                <w:p w14:paraId="1F65D34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46" w:type="pct"/>
                  <w:gridSpan w:val="2"/>
                  <w:vAlign w:val="center"/>
                </w:tcPr>
                <w:p w14:paraId="60CAB89C">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东经</w:t>
                  </w:r>
                </w:p>
              </w:tc>
              <w:tc>
                <w:tcPr>
                  <w:tcW w:w="577" w:type="pct"/>
                  <w:gridSpan w:val="2"/>
                  <w:vAlign w:val="center"/>
                </w:tcPr>
                <w:p w14:paraId="1083A943">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北纬</w:t>
                  </w:r>
                </w:p>
              </w:tc>
              <w:tc>
                <w:tcPr>
                  <w:tcW w:w="661" w:type="pct"/>
                  <w:vMerge w:val="continue"/>
                  <w:vAlign w:val="center"/>
                </w:tcPr>
                <w:p w14:paraId="6DC39D56">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2" w:type="pct"/>
                  <w:vMerge w:val="continue"/>
                  <w:vAlign w:val="center"/>
                </w:tcPr>
                <w:p w14:paraId="1777CC0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51" w:type="pct"/>
                  <w:vMerge w:val="continue"/>
                  <w:vAlign w:val="center"/>
                </w:tcPr>
                <w:p w14:paraId="519F676D">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58" w:type="pct"/>
                  <w:vMerge w:val="continue"/>
                  <w:vAlign w:val="center"/>
                </w:tcPr>
                <w:p w14:paraId="644A2F1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92" w:type="pct"/>
                  <w:vMerge w:val="continue"/>
                  <w:vAlign w:val="center"/>
                </w:tcPr>
                <w:p w14:paraId="08E0CC8F">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59B364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restart"/>
                  <w:vAlign w:val="center"/>
                </w:tcPr>
                <w:p w14:paraId="3F4A8701">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大气环境</w:t>
                  </w:r>
                </w:p>
              </w:tc>
              <w:tc>
                <w:tcPr>
                  <w:tcW w:w="501" w:type="pct"/>
                  <w:vAlign w:val="center"/>
                </w:tcPr>
                <w:p w14:paraId="272C9B5B">
                  <w:pPr>
                    <w:jc w:val="center"/>
                    <w:rPr>
                      <w:rFonts w:hint="default"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社头零散居民</w:t>
                  </w:r>
                </w:p>
              </w:tc>
              <w:tc>
                <w:tcPr>
                  <w:tcW w:w="546" w:type="pct"/>
                  <w:gridSpan w:val="2"/>
                  <w:vAlign w:val="center"/>
                </w:tcPr>
                <w:p w14:paraId="071B1B33">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119</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27</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43.376</w:t>
                  </w:r>
                  <w:r>
                    <w:rPr>
                      <w:rFonts w:ascii="Times New Roman" w:hAnsi="Times New Roman" w:eastAsia="宋体" w:cs="宋体"/>
                      <w:color w:val="000000" w:themeColor="text1"/>
                      <w:szCs w:val="21"/>
                      <w:highlight w:val="none"/>
                      <w14:textFill>
                        <w14:solidFill>
                          <w14:schemeClr w14:val="tx1"/>
                        </w14:solidFill>
                      </w14:textFill>
                    </w:rPr>
                    <w:t>"</w:t>
                  </w:r>
                </w:p>
              </w:tc>
              <w:tc>
                <w:tcPr>
                  <w:tcW w:w="577" w:type="pct"/>
                  <w:gridSpan w:val="2"/>
                  <w:vAlign w:val="center"/>
                </w:tcPr>
                <w:p w14:paraId="3C6D08EF">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3</w:t>
                  </w:r>
                  <w:r>
                    <w:rPr>
                      <w:rFonts w:hint="eastAsia" w:ascii="Times New Roman" w:hAnsi="Times New Roman" w:eastAsia="宋体" w:cs="宋体"/>
                      <w:color w:val="000000" w:themeColor="text1"/>
                      <w:szCs w:val="21"/>
                      <w:highlight w:val="none"/>
                      <w14:textFill>
                        <w14:solidFill>
                          <w14:schemeClr w14:val="tx1"/>
                        </w14:solidFill>
                      </w14:textFill>
                    </w:rPr>
                    <w:t>1</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38</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31.942</w:t>
                  </w:r>
                  <w:r>
                    <w:rPr>
                      <w:rFonts w:ascii="Times New Roman" w:hAnsi="Times New Roman" w:eastAsia="宋体" w:cs="宋体"/>
                      <w:color w:val="000000" w:themeColor="text1"/>
                      <w:szCs w:val="21"/>
                      <w:highlight w:val="none"/>
                      <w14:textFill>
                        <w14:solidFill>
                          <w14:schemeClr w14:val="tx1"/>
                        </w14:solidFill>
                      </w14:textFill>
                    </w:rPr>
                    <w:t>"</w:t>
                  </w:r>
                </w:p>
              </w:tc>
              <w:tc>
                <w:tcPr>
                  <w:tcW w:w="661" w:type="pct"/>
                  <w:vAlign w:val="center"/>
                </w:tcPr>
                <w:p w14:paraId="02B2BA87">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居住区</w:t>
                  </w:r>
                </w:p>
              </w:tc>
              <w:tc>
                <w:tcPr>
                  <w:tcW w:w="502" w:type="pct"/>
                  <w:vAlign w:val="center"/>
                </w:tcPr>
                <w:p w14:paraId="41034DA5">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人群健康</w:t>
                  </w:r>
                </w:p>
              </w:tc>
              <w:tc>
                <w:tcPr>
                  <w:tcW w:w="551" w:type="pct"/>
                  <w:vMerge w:val="restart"/>
                  <w:vAlign w:val="center"/>
                </w:tcPr>
                <w:p w14:paraId="0FA9ACE6">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二级</w:t>
                  </w:r>
                </w:p>
              </w:tc>
              <w:tc>
                <w:tcPr>
                  <w:tcW w:w="558" w:type="pct"/>
                  <w:vAlign w:val="center"/>
                </w:tcPr>
                <w:p w14:paraId="62BC75CE">
                  <w:pPr>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南</w:t>
                  </w:r>
                </w:p>
              </w:tc>
              <w:tc>
                <w:tcPr>
                  <w:tcW w:w="692" w:type="pct"/>
                  <w:vAlign w:val="center"/>
                </w:tcPr>
                <w:p w14:paraId="6C0451BD">
                  <w:pPr>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26</w:t>
                  </w:r>
                </w:p>
              </w:tc>
            </w:tr>
            <w:tr w14:paraId="60650A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continue"/>
                  <w:tcBorders/>
                  <w:vAlign w:val="center"/>
                </w:tcPr>
                <w:p w14:paraId="5F64DB6A">
                  <w:pPr>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1" w:type="pct"/>
                  <w:vAlign w:val="center"/>
                </w:tcPr>
                <w:p w14:paraId="7F633A09">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社头集镇</w:t>
                  </w:r>
                </w:p>
              </w:tc>
              <w:tc>
                <w:tcPr>
                  <w:tcW w:w="546" w:type="pct"/>
                  <w:gridSpan w:val="2"/>
                  <w:vAlign w:val="center"/>
                </w:tcPr>
                <w:p w14:paraId="50AD99C5">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119</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28</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21.285</w:t>
                  </w:r>
                  <w:r>
                    <w:rPr>
                      <w:rFonts w:ascii="Times New Roman" w:hAnsi="Times New Roman" w:eastAsia="宋体" w:cs="宋体"/>
                      <w:color w:val="000000" w:themeColor="text1"/>
                      <w:szCs w:val="21"/>
                      <w:highlight w:val="none"/>
                      <w14:textFill>
                        <w14:solidFill>
                          <w14:schemeClr w14:val="tx1"/>
                        </w14:solidFill>
                      </w14:textFill>
                    </w:rPr>
                    <w:t>"</w:t>
                  </w:r>
                </w:p>
              </w:tc>
              <w:tc>
                <w:tcPr>
                  <w:tcW w:w="577" w:type="pct"/>
                  <w:gridSpan w:val="2"/>
                  <w:vAlign w:val="center"/>
                </w:tcPr>
                <w:p w14:paraId="24C2633D">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3</w:t>
                  </w:r>
                  <w:r>
                    <w:rPr>
                      <w:rFonts w:hint="eastAsia" w:ascii="Times New Roman" w:hAnsi="Times New Roman" w:eastAsia="宋体" w:cs="宋体"/>
                      <w:color w:val="000000" w:themeColor="text1"/>
                      <w:szCs w:val="21"/>
                      <w:highlight w:val="none"/>
                      <w14:textFill>
                        <w14:solidFill>
                          <w14:schemeClr w14:val="tx1"/>
                        </w14:solidFill>
                      </w14:textFill>
                    </w:rPr>
                    <w:t>1</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38</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43.985</w:t>
                  </w:r>
                  <w:r>
                    <w:rPr>
                      <w:rFonts w:ascii="Times New Roman" w:hAnsi="Times New Roman" w:eastAsia="宋体" w:cs="宋体"/>
                      <w:color w:val="000000" w:themeColor="text1"/>
                      <w:szCs w:val="21"/>
                      <w:highlight w:val="none"/>
                      <w14:textFill>
                        <w14:solidFill>
                          <w14:schemeClr w14:val="tx1"/>
                        </w14:solidFill>
                      </w14:textFill>
                    </w:rPr>
                    <w:t>"</w:t>
                  </w:r>
                </w:p>
              </w:tc>
              <w:tc>
                <w:tcPr>
                  <w:tcW w:w="661" w:type="pct"/>
                  <w:vAlign w:val="center"/>
                </w:tcPr>
                <w:p w14:paraId="234BD791">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居住区</w:t>
                  </w:r>
                </w:p>
              </w:tc>
              <w:tc>
                <w:tcPr>
                  <w:tcW w:w="502" w:type="pct"/>
                  <w:vAlign w:val="center"/>
                </w:tcPr>
                <w:p w14:paraId="606E2F9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人群健康</w:t>
                  </w:r>
                </w:p>
              </w:tc>
              <w:tc>
                <w:tcPr>
                  <w:tcW w:w="551" w:type="pct"/>
                  <w:vMerge w:val="continue"/>
                  <w:tcBorders/>
                  <w:vAlign w:val="center"/>
                </w:tcPr>
                <w:p w14:paraId="1AD36A3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58" w:type="pct"/>
                  <w:vAlign w:val="center"/>
                </w:tcPr>
                <w:p w14:paraId="5542EBD8">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SW</w:t>
                  </w:r>
                </w:p>
              </w:tc>
              <w:tc>
                <w:tcPr>
                  <w:tcW w:w="692" w:type="pct"/>
                  <w:vAlign w:val="center"/>
                </w:tcPr>
                <w:p w14:paraId="5910910F">
                  <w:pPr>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79</w:t>
                  </w:r>
                </w:p>
              </w:tc>
            </w:tr>
            <w:tr w14:paraId="73125D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continue"/>
                  <w:tcBorders/>
                  <w:vAlign w:val="center"/>
                </w:tcPr>
                <w:p w14:paraId="22E10420">
                  <w:pPr>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01" w:type="pct"/>
                  <w:vAlign w:val="center"/>
                </w:tcPr>
                <w:p w14:paraId="4436C67E">
                  <w:pPr>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北埂</w:t>
                  </w:r>
                </w:p>
              </w:tc>
              <w:tc>
                <w:tcPr>
                  <w:tcW w:w="546" w:type="pct"/>
                  <w:gridSpan w:val="2"/>
                  <w:shd w:val="clear" w:color="auto" w:fill="auto"/>
                  <w:vAlign w:val="center"/>
                </w:tcPr>
                <w:p w14:paraId="10E3E4F0">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119</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28</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42.176</w:t>
                  </w:r>
                  <w:r>
                    <w:rPr>
                      <w:rFonts w:ascii="Times New Roman" w:hAnsi="Times New Roman" w:eastAsia="宋体" w:cs="宋体"/>
                      <w:color w:val="000000" w:themeColor="text1"/>
                      <w:szCs w:val="21"/>
                      <w:highlight w:val="none"/>
                      <w14:textFill>
                        <w14:solidFill>
                          <w14:schemeClr w14:val="tx1"/>
                        </w14:solidFill>
                      </w14:textFill>
                    </w:rPr>
                    <w:t>"</w:t>
                  </w:r>
                </w:p>
              </w:tc>
              <w:tc>
                <w:tcPr>
                  <w:tcW w:w="577" w:type="pct"/>
                  <w:gridSpan w:val="2"/>
                  <w:shd w:val="clear" w:color="auto" w:fill="auto"/>
                  <w:vAlign w:val="center"/>
                </w:tcPr>
                <w:p w14:paraId="67B1619E">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3</w:t>
                  </w:r>
                  <w:r>
                    <w:rPr>
                      <w:rFonts w:hint="eastAsia" w:ascii="Times New Roman" w:hAnsi="Times New Roman" w:eastAsia="宋体" w:cs="宋体"/>
                      <w:color w:val="000000" w:themeColor="text1"/>
                      <w:szCs w:val="21"/>
                      <w:highlight w:val="none"/>
                      <w14:textFill>
                        <w14:solidFill>
                          <w14:schemeClr w14:val="tx1"/>
                        </w14:solidFill>
                      </w14:textFill>
                    </w:rPr>
                    <w:t>1</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38</w:t>
                  </w:r>
                  <w:r>
                    <w:rPr>
                      <w:rFonts w:ascii="Times New Roman" w:hAnsi="Times New Roman" w:eastAsia="宋体" w:cs="宋体"/>
                      <w:color w:val="000000" w:themeColor="text1"/>
                      <w:szCs w:val="21"/>
                      <w:highlight w:val="none"/>
                      <w14:textFill>
                        <w14:solidFill>
                          <w14:schemeClr w14:val="tx1"/>
                        </w14:solidFill>
                      </w14:textFill>
                    </w:rPr>
                    <w:t>'</w:t>
                  </w:r>
                  <w:r>
                    <w:rPr>
                      <w:rFonts w:hint="eastAsia" w:cs="宋体"/>
                      <w:color w:val="000000" w:themeColor="text1"/>
                      <w:szCs w:val="21"/>
                      <w:highlight w:val="none"/>
                      <w:lang w:val="en-US" w:eastAsia="zh-CN"/>
                      <w14:textFill>
                        <w14:solidFill>
                          <w14:schemeClr w14:val="tx1"/>
                        </w14:solidFill>
                      </w14:textFill>
                    </w:rPr>
                    <w:t>49.311</w:t>
                  </w:r>
                  <w:r>
                    <w:rPr>
                      <w:rFonts w:ascii="Times New Roman" w:hAnsi="Times New Roman" w:eastAsia="宋体" w:cs="宋体"/>
                      <w:color w:val="000000" w:themeColor="text1"/>
                      <w:szCs w:val="21"/>
                      <w:highlight w:val="none"/>
                      <w14:textFill>
                        <w14:solidFill>
                          <w14:schemeClr w14:val="tx1"/>
                        </w14:solidFill>
                      </w14:textFill>
                    </w:rPr>
                    <w:t>"</w:t>
                  </w:r>
                </w:p>
              </w:tc>
              <w:tc>
                <w:tcPr>
                  <w:tcW w:w="661" w:type="pct"/>
                  <w:shd w:val="clear" w:color="auto" w:fill="auto"/>
                  <w:vAlign w:val="center"/>
                </w:tcPr>
                <w:p w14:paraId="1231F931">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居住区</w:t>
                  </w:r>
                </w:p>
              </w:tc>
              <w:tc>
                <w:tcPr>
                  <w:tcW w:w="502" w:type="pct"/>
                  <w:shd w:val="clear" w:color="auto" w:fill="auto"/>
                  <w:vAlign w:val="center"/>
                </w:tcPr>
                <w:p w14:paraId="6A6A8B48">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人群健康</w:t>
                  </w:r>
                </w:p>
              </w:tc>
              <w:tc>
                <w:tcPr>
                  <w:tcW w:w="551" w:type="pct"/>
                  <w:vMerge w:val="continue"/>
                  <w:tcBorders/>
                  <w:vAlign w:val="center"/>
                </w:tcPr>
                <w:p w14:paraId="2120AF5C">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58" w:type="pct"/>
                  <w:vAlign w:val="center"/>
                </w:tcPr>
                <w:p w14:paraId="68E89555">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NE</w:t>
                  </w:r>
                </w:p>
              </w:tc>
              <w:tc>
                <w:tcPr>
                  <w:tcW w:w="692" w:type="pct"/>
                  <w:vAlign w:val="center"/>
                </w:tcPr>
                <w:p w14:paraId="6C355BBE">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292</w:t>
                  </w:r>
                </w:p>
              </w:tc>
            </w:tr>
            <w:tr w14:paraId="12597B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restart"/>
                  <w:vAlign w:val="center"/>
                </w:tcPr>
                <w:p w14:paraId="52BF97AA">
                  <w:pPr>
                    <w:jc w:val="center"/>
                    <w:rPr>
                      <w:rFonts w:hint="eastAsia"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环境要素</w:t>
                  </w:r>
                </w:p>
              </w:tc>
              <w:tc>
                <w:tcPr>
                  <w:tcW w:w="501" w:type="pct"/>
                  <w:vMerge w:val="restart"/>
                  <w:vAlign w:val="center"/>
                </w:tcPr>
                <w:p w14:paraId="28787132">
                  <w:pPr>
                    <w:jc w:val="center"/>
                    <w:rPr>
                      <w:rFonts w:hint="eastAsia" w:cs="宋体"/>
                      <w:b/>
                      <w:bCs/>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名称</w:t>
                  </w:r>
                </w:p>
              </w:tc>
              <w:tc>
                <w:tcPr>
                  <w:tcW w:w="1123" w:type="pct"/>
                  <w:gridSpan w:val="4"/>
                  <w:shd w:val="clear" w:color="auto" w:fill="auto"/>
                  <w:vAlign w:val="center"/>
                </w:tcPr>
                <w:p w14:paraId="35F17308">
                  <w:pPr>
                    <w:snapToGrid w:val="0"/>
                    <w:jc w:val="center"/>
                    <w:rPr>
                      <w:rFonts w:hint="default" w:ascii="Times New Roman" w:hAnsi="Times New Roman" w:eastAsia="宋体" w:cs="宋体"/>
                      <w:b/>
                      <w:bCs/>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Cs w:val="21"/>
                      <w:highlight w:val="none"/>
                      <w:lang w:val="en-US" w:eastAsia="zh-CN"/>
                      <w14:textFill>
                        <w14:solidFill>
                          <w14:schemeClr w14:val="tx1"/>
                        </w14:solidFill>
                      </w14:textFill>
                    </w:rPr>
                    <w:t>空间相对位置/m</w:t>
                  </w:r>
                </w:p>
              </w:tc>
              <w:tc>
                <w:tcPr>
                  <w:tcW w:w="661" w:type="pct"/>
                  <w:vMerge w:val="restart"/>
                  <w:shd w:val="clear" w:color="auto" w:fill="auto"/>
                  <w:vAlign w:val="center"/>
                </w:tcPr>
                <w:p w14:paraId="221BF9F3">
                  <w:pPr>
                    <w:snapToGrid w:val="0"/>
                    <w:jc w:val="center"/>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距厂界最近距离/m</w:t>
                  </w:r>
                </w:p>
              </w:tc>
              <w:tc>
                <w:tcPr>
                  <w:tcW w:w="502" w:type="pct"/>
                  <w:vMerge w:val="restart"/>
                  <w:shd w:val="clear" w:color="auto" w:fill="auto"/>
                  <w:vAlign w:val="center"/>
                </w:tcPr>
                <w:p w14:paraId="4CC8C49D">
                  <w:pPr>
                    <w:snapToGrid w:val="0"/>
                    <w:jc w:val="center"/>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方位</w:t>
                  </w:r>
                </w:p>
              </w:tc>
              <w:tc>
                <w:tcPr>
                  <w:tcW w:w="551" w:type="pct"/>
                  <w:vMerge w:val="restart"/>
                  <w:vAlign w:val="center"/>
                </w:tcPr>
                <w:p w14:paraId="51BBD472">
                  <w:pPr>
                    <w:jc w:val="center"/>
                    <w:rPr>
                      <w:rFonts w:hint="eastAsia"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执行标准/</w:t>
                  </w:r>
                </w:p>
                <w:p w14:paraId="51D45C8D">
                  <w:pPr>
                    <w:jc w:val="center"/>
                    <w:rPr>
                      <w:rFonts w:hint="eastAsia"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功能区类别</w:t>
                  </w:r>
                </w:p>
              </w:tc>
              <w:tc>
                <w:tcPr>
                  <w:tcW w:w="1250" w:type="pct"/>
                  <w:gridSpan w:val="2"/>
                  <w:vMerge w:val="restart"/>
                  <w:vAlign w:val="center"/>
                </w:tcPr>
                <w:p w14:paraId="6D98A90F">
                  <w:pPr>
                    <w:jc w:val="center"/>
                    <w:rPr>
                      <w:rFonts w:hint="eastAsia" w:cs="宋体"/>
                      <w:b/>
                      <w:bCs/>
                      <w:color w:val="000000" w:themeColor="text1"/>
                      <w:sz w:val="21"/>
                      <w:szCs w:val="21"/>
                      <w:highlight w:val="none"/>
                      <w:lang w:val="en-US" w:eastAsia="zh-CN"/>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声环境保护目标情况说明</w:t>
                  </w:r>
                </w:p>
              </w:tc>
            </w:tr>
            <w:tr w14:paraId="06EBDC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Merge w:val="continue"/>
                  <w:vAlign w:val="center"/>
                </w:tcPr>
                <w:p w14:paraId="59240A9A">
                  <w:pPr>
                    <w:jc w:val="center"/>
                    <w:rPr>
                      <w:rFonts w:hint="eastAsia" w:ascii="Times New Roman" w:hAnsi="Times New Roman" w:eastAsia="宋体" w:cs="宋体"/>
                      <w:b/>
                      <w:bCs/>
                      <w:color w:val="000000" w:themeColor="text1"/>
                      <w:sz w:val="21"/>
                      <w:szCs w:val="21"/>
                      <w:highlight w:val="none"/>
                      <w14:textFill>
                        <w14:solidFill>
                          <w14:schemeClr w14:val="tx1"/>
                        </w14:solidFill>
                      </w14:textFill>
                    </w:rPr>
                  </w:pPr>
                </w:p>
              </w:tc>
              <w:tc>
                <w:tcPr>
                  <w:tcW w:w="501" w:type="pct"/>
                  <w:vMerge w:val="continue"/>
                  <w:vAlign w:val="center"/>
                </w:tcPr>
                <w:p w14:paraId="416666F8">
                  <w:pPr>
                    <w:jc w:val="center"/>
                    <w:rPr>
                      <w:rFonts w:hint="eastAsia" w:ascii="Times New Roman" w:hAnsi="Times New Roman" w:eastAsia="宋体" w:cs="宋体"/>
                      <w:b/>
                      <w:bCs/>
                      <w:color w:val="000000" w:themeColor="text1"/>
                      <w:sz w:val="21"/>
                      <w:szCs w:val="21"/>
                      <w:highlight w:val="none"/>
                      <w14:textFill>
                        <w14:solidFill>
                          <w14:schemeClr w14:val="tx1"/>
                        </w14:solidFill>
                      </w14:textFill>
                    </w:rPr>
                  </w:pPr>
                </w:p>
              </w:tc>
              <w:tc>
                <w:tcPr>
                  <w:tcW w:w="353" w:type="pct"/>
                  <w:shd w:val="clear" w:color="auto" w:fill="auto"/>
                  <w:vAlign w:val="center"/>
                </w:tcPr>
                <w:p w14:paraId="5B7F68CE">
                  <w:pPr>
                    <w:snapToGrid w:val="0"/>
                    <w:jc w:val="center"/>
                    <w:rPr>
                      <w:rFonts w:hint="default" w:ascii="Times New Roman" w:hAnsi="Times New Roman" w:eastAsia="宋体" w:cs="宋体"/>
                      <w:b/>
                      <w:bCs/>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Cs w:val="21"/>
                      <w:highlight w:val="none"/>
                      <w:lang w:val="en-US" w:eastAsia="zh-CN"/>
                      <w14:textFill>
                        <w14:solidFill>
                          <w14:schemeClr w14:val="tx1"/>
                        </w14:solidFill>
                      </w14:textFill>
                    </w:rPr>
                    <w:t>X</w:t>
                  </w:r>
                </w:p>
              </w:tc>
              <w:tc>
                <w:tcPr>
                  <w:tcW w:w="384" w:type="pct"/>
                  <w:gridSpan w:val="2"/>
                  <w:shd w:val="clear" w:color="auto" w:fill="auto"/>
                  <w:vAlign w:val="center"/>
                </w:tcPr>
                <w:p w14:paraId="2D5EC6A2">
                  <w:pPr>
                    <w:snapToGrid w:val="0"/>
                    <w:jc w:val="center"/>
                    <w:rPr>
                      <w:rFonts w:hint="default" w:ascii="Times New Roman" w:hAnsi="Times New Roman" w:eastAsia="宋体" w:cs="宋体"/>
                      <w:b/>
                      <w:bCs/>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Cs w:val="21"/>
                      <w:highlight w:val="none"/>
                      <w:lang w:val="en-US" w:eastAsia="zh-CN"/>
                      <w14:textFill>
                        <w14:solidFill>
                          <w14:schemeClr w14:val="tx1"/>
                        </w14:solidFill>
                      </w14:textFill>
                    </w:rPr>
                    <w:t>Y</w:t>
                  </w:r>
                </w:p>
              </w:tc>
              <w:tc>
                <w:tcPr>
                  <w:tcW w:w="385" w:type="pct"/>
                  <w:shd w:val="clear" w:color="auto" w:fill="auto"/>
                  <w:vAlign w:val="center"/>
                </w:tcPr>
                <w:p w14:paraId="7E6FF5EE">
                  <w:pPr>
                    <w:snapToGrid w:val="0"/>
                    <w:jc w:val="center"/>
                    <w:rPr>
                      <w:rFonts w:hint="default" w:ascii="Times New Roman" w:hAnsi="Times New Roman" w:eastAsia="宋体" w:cs="宋体"/>
                      <w:b/>
                      <w:bCs/>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zCs w:val="21"/>
                      <w:highlight w:val="none"/>
                      <w:lang w:val="en-US" w:eastAsia="zh-CN"/>
                      <w14:textFill>
                        <w14:solidFill>
                          <w14:schemeClr w14:val="tx1"/>
                        </w14:solidFill>
                      </w14:textFill>
                    </w:rPr>
                    <w:t>Z</w:t>
                  </w:r>
                </w:p>
              </w:tc>
              <w:tc>
                <w:tcPr>
                  <w:tcW w:w="661" w:type="pct"/>
                  <w:vMerge w:val="continue"/>
                  <w:shd w:val="clear" w:color="auto" w:fill="auto"/>
                  <w:vAlign w:val="center"/>
                </w:tcPr>
                <w:p w14:paraId="40BFE16E">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02" w:type="pct"/>
                  <w:vMerge w:val="continue"/>
                  <w:shd w:val="clear" w:color="auto" w:fill="auto"/>
                  <w:vAlign w:val="center"/>
                </w:tcPr>
                <w:p w14:paraId="34E55A0F">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551" w:type="pct"/>
                  <w:vMerge w:val="continue"/>
                  <w:vAlign w:val="center"/>
                </w:tcPr>
                <w:p w14:paraId="5D1F10E4">
                  <w:pPr>
                    <w:jc w:val="center"/>
                    <w:rPr>
                      <w:rFonts w:hint="eastAsia" w:cs="宋体"/>
                      <w:color w:val="000000" w:themeColor="text1"/>
                      <w:sz w:val="21"/>
                      <w:szCs w:val="21"/>
                      <w:highlight w:val="none"/>
                      <w:lang w:val="en-US" w:eastAsia="zh-CN"/>
                      <w14:textFill>
                        <w14:solidFill>
                          <w14:schemeClr w14:val="tx1"/>
                        </w14:solidFill>
                      </w14:textFill>
                    </w:rPr>
                  </w:pPr>
                </w:p>
              </w:tc>
              <w:tc>
                <w:tcPr>
                  <w:tcW w:w="1250" w:type="pct"/>
                  <w:gridSpan w:val="2"/>
                  <w:vMerge w:val="continue"/>
                  <w:vAlign w:val="center"/>
                </w:tcPr>
                <w:p w14:paraId="5FD5A74D">
                  <w:pPr>
                    <w:jc w:val="center"/>
                    <w:rPr>
                      <w:rFonts w:hint="eastAsia" w:cs="宋体"/>
                      <w:color w:val="000000" w:themeColor="text1"/>
                      <w:sz w:val="21"/>
                      <w:szCs w:val="21"/>
                      <w:highlight w:val="none"/>
                      <w:lang w:val="en-US" w:eastAsia="zh-CN"/>
                      <w14:textFill>
                        <w14:solidFill>
                          <w14:schemeClr w14:val="tx1"/>
                        </w14:solidFill>
                      </w14:textFill>
                    </w:rPr>
                  </w:pPr>
                </w:p>
              </w:tc>
            </w:tr>
            <w:tr w14:paraId="59EDBE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Align w:val="center"/>
                </w:tcPr>
                <w:p w14:paraId="4B34947C">
                  <w:pPr>
                    <w:jc w:val="center"/>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声环境</w:t>
                  </w:r>
                </w:p>
              </w:tc>
              <w:tc>
                <w:tcPr>
                  <w:tcW w:w="4590" w:type="pct"/>
                  <w:gridSpan w:val="10"/>
                  <w:shd w:val="clear" w:color="auto" w:fill="auto"/>
                  <w:vAlign w:val="center"/>
                </w:tcPr>
                <w:p w14:paraId="2692E237">
                  <w:pPr>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厂界外50米范围内无声环境保护目标</w:t>
                  </w:r>
                </w:p>
              </w:tc>
            </w:tr>
            <w:tr w14:paraId="6572543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Align w:val="center"/>
                </w:tcPr>
                <w:p w14:paraId="52EA35F6">
                  <w:pPr>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环境要素</w:t>
                  </w:r>
                </w:p>
              </w:tc>
              <w:tc>
                <w:tcPr>
                  <w:tcW w:w="1624" w:type="pct"/>
                  <w:gridSpan w:val="5"/>
                  <w:vAlign w:val="center"/>
                </w:tcPr>
                <w:p w14:paraId="37FEB39E">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保护对象名称</w:t>
                  </w:r>
                </w:p>
              </w:tc>
              <w:tc>
                <w:tcPr>
                  <w:tcW w:w="1163" w:type="pct"/>
                  <w:gridSpan w:val="2"/>
                  <w:vAlign w:val="center"/>
                </w:tcPr>
                <w:p w14:paraId="123F1150">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环境功能区划</w:t>
                  </w:r>
                </w:p>
              </w:tc>
              <w:tc>
                <w:tcPr>
                  <w:tcW w:w="551" w:type="pct"/>
                  <w:vAlign w:val="center"/>
                </w:tcPr>
                <w:p w14:paraId="28C1B225">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规模</w:t>
                  </w:r>
                </w:p>
              </w:tc>
              <w:tc>
                <w:tcPr>
                  <w:tcW w:w="558" w:type="pct"/>
                  <w:vAlign w:val="center"/>
                </w:tcPr>
                <w:p w14:paraId="2E9C9F48">
                  <w:pPr>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方位</w:t>
                  </w:r>
                </w:p>
              </w:tc>
              <w:tc>
                <w:tcPr>
                  <w:tcW w:w="692" w:type="pct"/>
                  <w:vAlign w:val="center"/>
                </w:tcPr>
                <w:p w14:paraId="36DFB8A2">
                  <w:pPr>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距离/km</w:t>
                  </w:r>
                </w:p>
              </w:tc>
            </w:tr>
            <w:tr w14:paraId="3E7590C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Align w:val="center"/>
                </w:tcPr>
                <w:p w14:paraId="156F573E">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地表水环境</w:t>
                  </w:r>
                </w:p>
              </w:tc>
              <w:tc>
                <w:tcPr>
                  <w:tcW w:w="1624" w:type="pct"/>
                  <w:gridSpan w:val="5"/>
                  <w:vAlign w:val="center"/>
                </w:tcPr>
                <w:p w14:paraId="35537FAA">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丹金溧漕河</w:t>
                  </w:r>
                </w:p>
              </w:tc>
              <w:tc>
                <w:tcPr>
                  <w:tcW w:w="1163" w:type="pct"/>
                  <w:gridSpan w:val="2"/>
                  <w:vAlign w:val="center"/>
                </w:tcPr>
                <w:p w14:paraId="010719E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《江苏省地表水（环境）功能区划（2021~2030年）》（苏政复〔2022〕13号）中的</w:t>
                  </w:r>
                  <w:r>
                    <w:rPr>
                      <w:rFonts w:hint="eastAsia" w:cs="Times New Roman"/>
                      <w:color w:val="000000" w:themeColor="text1"/>
                      <w:sz w:val="21"/>
                      <w:szCs w:val="21"/>
                      <w:highlight w:val="none"/>
                      <w:lang w:eastAsia="zh-CN"/>
                      <w14:textFill>
                        <w14:solidFill>
                          <w14:schemeClr w14:val="tx1"/>
                        </w14:solidFill>
                      </w14:textFill>
                    </w:rPr>
                    <w:t>Ⅲ</w:t>
                  </w:r>
                  <w:r>
                    <w:rPr>
                      <w:rFonts w:ascii="Times New Roman" w:hAnsi="Times New Roman" w:eastAsia="宋体" w:cs="宋体"/>
                      <w:color w:val="000000" w:themeColor="text1"/>
                      <w:sz w:val="21"/>
                      <w:szCs w:val="21"/>
                      <w:highlight w:val="none"/>
                      <w14:textFill>
                        <w14:solidFill>
                          <w14:schemeClr w14:val="tx1"/>
                        </w14:solidFill>
                      </w14:textFill>
                    </w:rPr>
                    <w:t>类水质</w:t>
                  </w:r>
                </w:p>
              </w:tc>
              <w:tc>
                <w:tcPr>
                  <w:tcW w:w="551" w:type="pct"/>
                  <w:vAlign w:val="center"/>
                </w:tcPr>
                <w:p w14:paraId="12D0F24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中河</w:t>
                  </w:r>
                </w:p>
              </w:tc>
              <w:tc>
                <w:tcPr>
                  <w:tcW w:w="558" w:type="pct"/>
                  <w:vAlign w:val="center"/>
                </w:tcPr>
                <w:p w14:paraId="2AFD280E">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SE</w:t>
                  </w:r>
                </w:p>
              </w:tc>
              <w:tc>
                <w:tcPr>
                  <w:tcW w:w="692" w:type="pct"/>
                  <w:vAlign w:val="center"/>
                </w:tcPr>
                <w:p w14:paraId="59F62CA5">
                  <w:pPr>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w:t>
                  </w:r>
                </w:p>
              </w:tc>
            </w:tr>
            <w:tr w14:paraId="5D5FD4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Align w:val="center"/>
                </w:tcPr>
                <w:p w14:paraId="060499F8">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地下水环境</w:t>
                  </w:r>
                </w:p>
              </w:tc>
              <w:tc>
                <w:tcPr>
                  <w:tcW w:w="4590" w:type="pct"/>
                  <w:gridSpan w:val="10"/>
                  <w:vAlign w:val="center"/>
                </w:tcPr>
                <w:p w14:paraId="48286E5D">
                  <w:pPr>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厂界外500米范围内无地下水集中式饮用水水源和热水、矿泉水、温泉等特殊地下水资源</w:t>
                  </w:r>
                </w:p>
              </w:tc>
            </w:tr>
            <w:tr w14:paraId="43615D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09" w:type="pct"/>
                  <w:vAlign w:val="center"/>
                </w:tcPr>
                <w:p w14:paraId="0918513A">
                  <w:pPr>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生态环境</w:t>
                  </w:r>
                </w:p>
              </w:tc>
              <w:tc>
                <w:tcPr>
                  <w:tcW w:w="1624" w:type="pct"/>
                  <w:gridSpan w:val="5"/>
                  <w:vAlign w:val="center"/>
                </w:tcPr>
                <w:p w14:paraId="11E15D69">
                  <w:pPr>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cs="宋体"/>
                      <w:bCs/>
                      <w:color w:val="000000" w:themeColor="text1"/>
                      <w:szCs w:val="21"/>
                      <w:highlight w:val="none"/>
                      <w:lang w:val="en-US" w:eastAsia="zh-CN"/>
                      <w14:textFill>
                        <w14:solidFill>
                          <w14:schemeClr w14:val="tx1"/>
                        </w14:solidFill>
                      </w14:textFill>
                    </w:rPr>
                    <w:t>丹金溧漕河（金坛区）洪水调蓄区</w:t>
                  </w:r>
                </w:p>
              </w:tc>
              <w:tc>
                <w:tcPr>
                  <w:tcW w:w="1163" w:type="pct"/>
                  <w:gridSpan w:val="2"/>
                  <w:vAlign w:val="center"/>
                </w:tcPr>
                <w:p w14:paraId="7871595D">
                  <w:pPr>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《江苏省生态空间管控区域规划》及《江苏省国家级生态保护红线规划》</w:t>
                  </w:r>
                </w:p>
              </w:tc>
              <w:tc>
                <w:tcPr>
                  <w:tcW w:w="551" w:type="pct"/>
                  <w:vAlign w:val="center"/>
                </w:tcPr>
                <w:p w14:paraId="53D143C1">
                  <w:pPr>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《规划》中划定的水域和陆域范围</w:t>
                  </w:r>
                </w:p>
              </w:tc>
              <w:tc>
                <w:tcPr>
                  <w:tcW w:w="558" w:type="pct"/>
                  <w:vAlign w:val="center"/>
                </w:tcPr>
                <w:p w14:paraId="53294EE9">
                  <w:pPr>
                    <w:jc w:val="center"/>
                    <w:rPr>
                      <w:rFonts w:hint="default" w:ascii="Times New Roman" w:hAnsi="Times New Roman" w:eastAsia="宋体" w:cs="宋体"/>
                      <w:color w:val="000000" w:themeColor="text1"/>
                      <w:spacing w:val="-4"/>
                      <w:sz w:val="21"/>
                      <w:szCs w:val="21"/>
                      <w:highlight w:val="none"/>
                      <w:lang w:val="en-US"/>
                      <w14:textFill>
                        <w14:solidFill>
                          <w14:schemeClr w14:val="tx1"/>
                        </w14:solidFill>
                      </w14:textFill>
                    </w:rPr>
                  </w:pPr>
                  <w:r>
                    <w:rPr>
                      <w:rFonts w:hint="eastAsia" w:cs="宋体"/>
                      <w:smallCaps w:val="0"/>
                      <w:color w:val="000000" w:themeColor="text1"/>
                      <w:spacing w:val="-4"/>
                      <w:sz w:val="21"/>
                      <w:szCs w:val="21"/>
                      <w:highlight w:val="none"/>
                      <w:lang w:val="en-US" w:eastAsia="zh-CN"/>
                      <w14:textFill>
                        <w14:solidFill>
                          <w14:schemeClr w14:val="tx1"/>
                        </w14:solidFill>
                      </w14:textFill>
                    </w:rPr>
                    <w:t>SE</w:t>
                  </w:r>
                </w:p>
              </w:tc>
              <w:tc>
                <w:tcPr>
                  <w:tcW w:w="692" w:type="pct"/>
                  <w:vAlign w:val="center"/>
                </w:tcPr>
                <w:p w14:paraId="2E682766">
                  <w:pPr>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smallCaps w:val="0"/>
                      <w:color w:val="000000" w:themeColor="text1"/>
                      <w:spacing w:val="-4"/>
                      <w:sz w:val="21"/>
                      <w:szCs w:val="21"/>
                      <w:highlight w:val="none"/>
                      <w:lang w:val="en-US" w:eastAsia="zh-CN"/>
                      <w14:textFill>
                        <w14:solidFill>
                          <w14:schemeClr w14:val="tx1"/>
                        </w14:solidFill>
                      </w14:textFill>
                    </w:rPr>
                    <w:t>3</w:t>
                  </w:r>
                </w:p>
              </w:tc>
            </w:tr>
          </w:tbl>
          <w:p w14:paraId="46F4C2FF">
            <w:pPr>
              <w:pStyle w:val="22"/>
              <w:widowControl w:val="0"/>
              <w:jc w:val="center"/>
              <w:outlineLvl w:val="0"/>
              <w:rPr>
                <w:rFonts w:ascii="Times New Roman" w:hAnsi="Times New Roman" w:eastAsia="宋体" w:cs="宋体"/>
                <w:snapToGrid w:val="0"/>
                <w:color w:val="000000" w:themeColor="text1"/>
                <w:sz w:val="36"/>
                <w:szCs w:val="36"/>
                <w:highlight w:val="none"/>
                <w:vertAlign w:val="baseline"/>
                <w14:textFill>
                  <w14:solidFill>
                    <w14:schemeClr w14:val="tx1"/>
                  </w14:solidFill>
                </w14:textFill>
              </w:rPr>
            </w:pPr>
          </w:p>
        </w:tc>
      </w:tr>
    </w:tbl>
    <w:p w14:paraId="097F48E0">
      <w:pPr>
        <w:pStyle w:val="22"/>
        <w:widowControl w:val="0"/>
        <w:jc w:val="center"/>
        <w:outlineLvl w:val="0"/>
        <w:rPr>
          <w:rFonts w:ascii="Times New Roman" w:hAnsi="Times New Roman" w:eastAsia="宋体" w:cs="宋体"/>
          <w:snapToGrid w:val="0"/>
          <w:color w:val="000000" w:themeColor="text1"/>
          <w:sz w:val="36"/>
          <w:szCs w:val="36"/>
          <w:highlight w:val="none"/>
          <w14:textFill>
            <w14:solidFill>
              <w14:schemeClr w14:val="tx1"/>
            </w14:solidFill>
          </w14:textFill>
        </w:rPr>
        <w:sectPr>
          <w:pgSz w:w="16840" w:h="11907" w:orient="landscape"/>
          <w:pgMar w:top="1531" w:right="1701" w:bottom="1531" w:left="2127" w:header="851" w:footer="851" w:gutter="0"/>
          <w:pgBorders>
            <w:top w:val="none" w:sz="0" w:space="0"/>
            <w:left w:val="none" w:sz="0" w:space="0"/>
            <w:bottom w:val="none" w:sz="0" w:space="0"/>
            <w:right w:val="none" w:sz="0" w:space="0"/>
          </w:pgBorders>
          <w:cols w:space="720" w:num="1"/>
          <w:docGrid w:linePitch="312" w:charSpace="0"/>
        </w:sectPr>
      </w:pPr>
    </w:p>
    <w:tbl>
      <w:tblPr>
        <w:tblStyle w:val="25"/>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4"/>
        <w:gridCol w:w="8627"/>
      </w:tblGrid>
      <w:tr w14:paraId="70EB9D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434" w:type="dxa"/>
            <w:tcBorders>
              <w:tl2br w:val="nil"/>
              <w:tr2bl w:val="nil"/>
            </w:tcBorders>
            <w:vAlign w:val="center"/>
          </w:tcPr>
          <w:p w14:paraId="7C4A184B">
            <w:pPr>
              <w:pStyle w:val="22"/>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t>污染物排放控制标准</w:t>
            </w:r>
          </w:p>
        </w:tc>
        <w:tc>
          <w:tcPr>
            <w:tcW w:w="8627" w:type="dxa"/>
            <w:tcBorders>
              <w:tl2br w:val="nil"/>
              <w:tr2bl w:val="nil"/>
            </w:tcBorders>
          </w:tcPr>
          <w:p w14:paraId="2876FD4D">
            <w:pPr>
              <w:spacing w:line="360" w:lineRule="auto"/>
              <w:ind w:firstLine="482" w:firstLineChars="200"/>
              <w:rPr>
                <w:rFonts w:ascii="Times New Roman" w:hAnsi="Times New Roman" w:eastAsia="宋体" w:cs="宋体"/>
                <w:b/>
                <w:color w:val="000000" w:themeColor="text1"/>
                <w:sz w:val="24"/>
                <w:highlight w:val="none"/>
                <w14:textFill>
                  <w14:solidFill>
                    <w14:schemeClr w14:val="tx1"/>
                  </w14:solidFill>
                </w14:textFill>
              </w:rPr>
            </w:pPr>
            <w:r>
              <w:rPr>
                <w:rFonts w:hint="eastAsia" w:ascii="Times New Roman" w:hAnsi="Times New Roman" w:eastAsia="宋体" w:cs="宋体"/>
                <w:b/>
                <w:color w:val="000000" w:themeColor="text1"/>
                <w:sz w:val="24"/>
                <w:highlight w:val="none"/>
                <w14:textFill>
                  <w14:solidFill>
                    <w14:schemeClr w14:val="tx1"/>
                  </w14:solidFill>
                </w14:textFill>
              </w:rPr>
              <w:t>1</w:t>
            </w:r>
            <w:r>
              <w:rPr>
                <w:rFonts w:ascii="Times New Roman" w:hAnsi="Times New Roman" w:eastAsia="宋体" w:cs="宋体"/>
                <w:b/>
                <w:color w:val="000000" w:themeColor="text1"/>
                <w:sz w:val="24"/>
                <w:highlight w:val="none"/>
                <w14:textFill>
                  <w14:solidFill>
                    <w14:schemeClr w14:val="tx1"/>
                  </w14:solidFill>
                </w14:textFill>
              </w:rPr>
              <w:t>、大气污染物排放标准</w:t>
            </w:r>
          </w:p>
          <w:p w14:paraId="22447B1F">
            <w:pPr>
              <w:spacing w:line="360" w:lineRule="auto"/>
              <w:ind w:firstLine="480" w:firstLineChars="200"/>
              <w:rPr>
                <w:rFonts w:hint="eastAsia" w:ascii="Times New Roman" w:hAnsi="Times New Roman" w:eastAsia="宋体" w:cs="宋体"/>
                <w:bCs/>
                <w:color w:val="000000" w:themeColor="text1"/>
                <w:sz w:val="24"/>
                <w:highlight w:val="none"/>
                <w:lang w:eastAsia="zh-CN"/>
                <w14:textFill>
                  <w14:solidFill>
                    <w14:schemeClr w14:val="tx1"/>
                  </w14:solidFill>
                </w14:textFill>
              </w:rPr>
            </w:pPr>
            <w:r>
              <w:rPr>
                <w:rFonts w:hint="eastAsia" w:ascii="Times New Roman" w:hAnsi="Times New Roman" w:eastAsia="宋体" w:cs="宋体"/>
                <w:bCs/>
                <w:color w:val="000000" w:themeColor="text1"/>
                <w:sz w:val="24"/>
                <w:highlight w:val="none"/>
                <w:lang w:val="en-US" w:eastAsia="zh-CN"/>
                <w14:textFill>
                  <w14:solidFill>
                    <w14:schemeClr w14:val="tx1"/>
                  </w14:solidFill>
                </w14:textFill>
              </w:rPr>
              <w:t>待宰圈、屠宰车间及废水处理设施产生的恶臭气体（主要污染物为氨和硫化氢），</w:t>
            </w:r>
            <w:r>
              <w:rPr>
                <w:rFonts w:hint="eastAsia" w:ascii="Times New Roman" w:hAnsi="Times New Roman" w:eastAsia="宋体" w:cs="宋体"/>
                <w:bCs/>
                <w:color w:val="000000" w:themeColor="text1"/>
                <w:sz w:val="24"/>
                <w:highlight w:val="none"/>
                <w:lang w:eastAsia="zh-CN"/>
                <w14:textFill>
                  <w14:solidFill>
                    <w14:schemeClr w14:val="tx1"/>
                  </w14:solidFill>
                </w14:textFill>
              </w:rPr>
              <w:t>排放执行《</w:t>
            </w:r>
            <w:r>
              <w:rPr>
                <w:rFonts w:hint="eastAsia" w:ascii="Times New Roman" w:hAnsi="Times New Roman" w:eastAsia="宋体" w:cs="宋体"/>
                <w:bCs/>
                <w:color w:val="000000" w:themeColor="text1"/>
                <w:sz w:val="24"/>
                <w:highlight w:val="none"/>
                <w:lang w:val="en-US" w:eastAsia="zh-CN"/>
                <w14:textFill>
                  <w14:solidFill>
                    <w14:schemeClr w14:val="tx1"/>
                  </w14:solidFill>
                </w14:textFill>
              </w:rPr>
              <w:t>恶臭污染物排放标准</w:t>
            </w:r>
            <w:r>
              <w:rPr>
                <w:rFonts w:hint="eastAsia" w:ascii="Times New Roman" w:hAnsi="Times New Roman" w:eastAsia="宋体" w:cs="宋体"/>
                <w:bCs/>
                <w:color w:val="000000" w:themeColor="text1"/>
                <w:sz w:val="24"/>
                <w:highlight w:val="none"/>
                <w:lang w:eastAsia="zh-CN"/>
                <w14:textFill>
                  <w14:solidFill>
                    <w14:schemeClr w14:val="tx1"/>
                  </w14:solidFill>
                </w14:textFill>
              </w:rPr>
              <w:t>》（</w:t>
            </w:r>
            <w:r>
              <w:rPr>
                <w:rFonts w:hint="eastAsia" w:ascii="Times New Roman" w:hAnsi="Times New Roman" w:eastAsia="宋体" w:cs="宋体"/>
                <w:bCs/>
                <w:color w:val="000000" w:themeColor="text1"/>
                <w:sz w:val="24"/>
                <w:highlight w:val="none"/>
                <w:lang w:val="en-US" w:eastAsia="zh-CN"/>
                <w14:textFill>
                  <w14:solidFill>
                    <w14:schemeClr w14:val="tx1"/>
                  </w14:solidFill>
                </w14:textFill>
              </w:rPr>
              <w:t>GB14554-93</w:t>
            </w:r>
            <w:r>
              <w:rPr>
                <w:rFonts w:hint="eastAsia" w:ascii="Times New Roman" w:hAnsi="Times New Roman" w:eastAsia="宋体" w:cs="宋体"/>
                <w:bCs/>
                <w:color w:val="000000" w:themeColor="text1"/>
                <w:sz w:val="24"/>
                <w:highlight w:val="none"/>
                <w:lang w:eastAsia="zh-CN"/>
                <w14:textFill>
                  <w14:solidFill>
                    <w14:schemeClr w14:val="tx1"/>
                  </w14:solidFill>
                </w14:textFill>
              </w:rPr>
              <w:t>）表1及表</w:t>
            </w:r>
            <w:r>
              <w:rPr>
                <w:rFonts w:hint="eastAsia" w:ascii="Times New Roman" w:hAnsi="Times New Roman" w:eastAsia="宋体" w:cs="宋体"/>
                <w:bCs/>
                <w:color w:val="000000" w:themeColor="text1"/>
                <w:sz w:val="24"/>
                <w:highlight w:val="none"/>
                <w:lang w:val="en-US" w:eastAsia="zh-CN"/>
                <w14:textFill>
                  <w14:solidFill>
                    <w14:schemeClr w14:val="tx1"/>
                  </w14:solidFill>
                </w14:textFill>
              </w:rPr>
              <w:t>2</w:t>
            </w:r>
            <w:r>
              <w:rPr>
                <w:rFonts w:hint="eastAsia" w:ascii="Times New Roman" w:hAnsi="Times New Roman" w:eastAsia="宋体" w:cs="宋体"/>
                <w:bCs/>
                <w:color w:val="000000" w:themeColor="text1"/>
                <w:sz w:val="24"/>
                <w:highlight w:val="none"/>
                <w:lang w:eastAsia="zh-CN"/>
                <w14:textFill>
                  <w14:solidFill>
                    <w14:schemeClr w14:val="tx1"/>
                  </w14:solidFill>
                </w14:textFill>
              </w:rPr>
              <w:t>中的限值</w:t>
            </w:r>
            <w:r>
              <w:rPr>
                <w:rFonts w:hint="eastAsia" w:cs="宋体"/>
                <w:bCs/>
                <w:color w:val="000000" w:themeColor="text1"/>
                <w:sz w:val="24"/>
                <w:highlight w:val="none"/>
                <w:lang w:val="en-US" w:eastAsia="zh-CN"/>
                <w14:textFill>
                  <w14:solidFill>
                    <w14:schemeClr w14:val="tx1"/>
                  </w14:solidFill>
                </w14:textFill>
              </w:rPr>
              <w:t>。</w:t>
            </w:r>
          </w:p>
          <w:p w14:paraId="5F4279BE">
            <w:pPr>
              <w:tabs>
                <w:tab w:val="left" w:pos="960"/>
              </w:tabs>
              <w:spacing w:beforeLines="50"/>
              <w:jc w:val="center"/>
              <w:rPr>
                <w:rFonts w:ascii="Times New Roman" w:hAnsi="Times New Roman" w:eastAsia="宋体" w:cs="宋体"/>
                <w:b/>
                <w:bCs/>
                <w:color w:val="000000" w:themeColor="text1"/>
                <w:spacing w:val="-4"/>
                <w:szCs w:val="21"/>
                <w:highlight w:val="none"/>
                <w14:textFill>
                  <w14:solidFill>
                    <w14:schemeClr w14:val="tx1"/>
                  </w14:solidFill>
                </w14:textFill>
              </w:rPr>
            </w:pPr>
            <w:r>
              <w:rPr>
                <w:rFonts w:ascii="Times New Roman" w:hAnsi="Times New Roman" w:eastAsia="宋体" w:cs="宋体"/>
                <w:b/>
                <w:bCs/>
                <w:color w:val="000000" w:themeColor="text1"/>
                <w:spacing w:val="-4"/>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Cs w:val="21"/>
                <w:highlight w:val="none"/>
                <w14:textFill>
                  <w14:solidFill>
                    <w14:schemeClr w14:val="tx1"/>
                  </w14:solidFill>
                </w14:textFill>
              </w:rPr>
              <w:t>3-</w:t>
            </w:r>
            <w:r>
              <w:rPr>
                <w:rFonts w:hint="eastAsia" w:cs="宋体"/>
                <w:b/>
                <w:bCs/>
                <w:color w:val="000000" w:themeColor="text1"/>
                <w:spacing w:val="-4"/>
                <w:szCs w:val="21"/>
                <w:highlight w:val="none"/>
                <w:lang w:val="en-US" w:eastAsia="zh-CN"/>
                <w14:textFill>
                  <w14:solidFill>
                    <w14:schemeClr w14:val="tx1"/>
                  </w14:solidFill>
                </w14:textFill>
              </w:rPr>
              <w:t>5</w:t>
            </w:r>
            <w:r>
              <w:rPr>
                <w:rFonts w:hint="eastAsia" w:ascii="Times New Roman" w:hAnsi="Times New Roman" w:eastAsia="宋体" w:cs="宋体"/>
                <w:b/>
                <w:bCs/>
                <w:color w:val="000000" w:themeColor="text1"/>
                <w:spacing w:val="-4"/>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Cs w:val="21"/>
                <w:highlight w:val="none"/>
                <w14:textFill>
                  <w14:solidFill>
                    <w14:schemeClr w14:val="tx1"/>
                  </w14:solidFill>
                </w14:textFill>
              </w:rPr>
              <w:t>大气污染物</w:t>
            </w:r>
            <w:r>
              <w:rPr>
                <w:rFonts w:hint="eastAsia" w:ascii="Times New Roman" w:hAnsi="Times New Roman" w:eastAsia="宋体" w:cs="宋体"/>
                <w:b/>
                <w:bCs/>
                <w:color w:val="000000" w:themeColor="text1"/>
                <w:spacing w:val="-4"/>
                <w:szCs w:val="21"/>
                <w:highlight w:val="none"/>
                <w:lang w:val="en-US" w:eastAsia="zh-CN"/>
                <w14:textFill>
                  <w14:solidFill>
                    <w14:schemeClr w14:val="tx1"/>
                  </w14:solidFill>
                </w14:textFill>
              </w:rPr>
              <w:t>有组织</w:t>
            </w:r>
            <w:r>
              <w:rPr>
                <w:rFonts w:ascii="Times New Roman" w:hAnsi="Times New Roman" w:eastAsia="宋体" w:cs="宋体"/>
                <w:b/>
                <w:bCs/>
                <w:color w:val="000000" w:themeColor="text1"/>
                <w:spacing w:val="-4"/>
                <w:szCs w:val="21"/>
                <w:highlight w:val="none"/>
                <w14:textFill>
                  <w14:solidFill>
                    <w14:schemeClr w14:val="tx1"/>
                  </w14:solidFill>
                </w14:textFill>
              </w:rPr>
              <w:t>排放标准</w:t>
            </w:r>
          </w:p>
          <w:tbl>
            <w:tblPr>
              <w:tblStyle w:val="24"/>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418"/>
              <w:gridCol w:w="1294"/>
              <w:gridCol w:w="2702"/>
              <w:gridCol w:w="1497"/>
              <w:gridCol w:w="1497"/>
            </w:tblGrid>
            <w:tr w14:paraId="4A769C0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restart"/>
                  <w:tcBorders>
                    <w:tl2br w:val="nil"/>
                    <w:tr2bl w:val="nil"/>
                  </w:tcBorders>
                  <w:vAlign w:val="center"/>
                </w:tcPr>
                <w:p w14:paraId="708C7BEA">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产生工段</w:t>
                  </w:r>
                </w:p>
              </w:tc>
              <w:tc>
                <w:tcPr>
                  <w:tcW w:w="769" w:type="pct"/>
                  <w:vMerge w:val="restart"/>
                  <w:tcBorders>
                    <w:tl2br w:val="nil"/>
                    <w:tr2bl w:val="nil"/>
                  </w:tcBorders>
                  <w:vAlign w:val="center"/>
                </w:tcPr>
                <w:p w14:paraId="4456EBA6">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污染物</w:t>
                  </w:r>
                </w:p>
              </w:tc>
              <w:tc>
                <w:tcPr>
                  <w:tcW w:w="1606" w:type="pct"/>
                  <w:vMerge w:val="restart"/>
                  <w:tcBorders>
                    <w:tl2br w:val="nil"/>
                    <w:tr2bl w:val="nil"/>
                  </w:tcBorders>
                  <w:vAlign w:val="center"/>
                </w:tcPr>
                <w:p w14:paraId="439F186D">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执行标准</w:t>
                  </w:r>
                </w:p>
              </w:tc>
              <w:tc>
                <w:tcPr>
                  <w:tcW w:w="890" w:type="pct"/>
                  <w:tcBorders>
                    <w:tl2br w:val="nil"/>
                    <w:tr2bl w:val="nil"/>
                  </w:tcBorders>
                  <w:vAlign w:val="center"/>
                </w:tcPr>
                <w:p w14:paraId="6A497330">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最高允许</w:t>
                  </w:r>
                </w:p>
                <w:p w14:paraId="54AF4469">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排放浓度</w:t>
                  </w:r>
                </w:p>
              </w:tc>
              <w:tc>
                <w:tcPr>
                  <w:tcW w:w="890" w:type="pct"/>
                  <w:tcBorders>
                    <w:tl2br w:val="nil"/>
                    <w:tr2bl w:val="nil"/>
                  </w:tcBorders>
                  <w:vAlign w:val="center"/>
                </w:tcPr>
                <w:p w14:paraId="4B2D1976">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最高允许</w:t>
                  </w:r>
                </w:p>
                <w:p w14:paraId="394DC66E">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排放速率</w:t>
                  </w:r>
                </w:p>
              </w:tc>
            </w:tr>
            <w:tr w14:paraId="7FA4C98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vAlign w:val="center"/>
                </w:tcPr>
                <w:p w14:paraId="4945D0C1">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769" w:type="pct"/>
                  <w:vMerge w:val="continue"/>
                  <w:tcBorders>
                    <w:tl2br w:val="nil"/>
                    <w:tr2bl w:val="nil"/>
                  </w:tcBorders>
                  <w:vAlign w:val="center"/>
                </w:tcPr>
                <w:p w14:paraId="78626FDA">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1606" w:type="pct"/>
                  <w:vMerge w:val="continue"/>
                  <w:tcBorders>
                    <w:tl2br w:val="nil"/>
                    <w:tr2bl w:val="nil"/>
                  </w:tcBorders>
                  <w:vAlign w:val="center"/>
                </w:tcPr>
                <w:p w14:paraId="758485A5">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890" w:type="pct"/>
                  <w:tcBorders>
                    <w:tl2br w:val="nil"/>
                    <w:tr2bl w:val="nil"/>
                  </w:tcBorders>
                  <w:vAlign w:val="center"/>
                </w:tcPr>
                <w:p w14:paraId="6220B3FD">
                  <w:pPr>
                    <w:keepLines/>
                    <w:snapToGrid w:val="0"/>
                    <w:jc w:val="center"/>
                    <w:rPr>
                      <w:rFonts w:hint="default"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color w:val="000000" w:themeColor="text1"/>
                      <w:szCs w:val="21"/>
                      <w:highlight w:val="none"/>
                      <w:lang w:val="en-US" w:eastAsia="zh-CN"/>
                      <w14:textFill>
                        <w14:solidFill>
                          <w14:schemeClr w14:val="tx1"/>
                        </w14:solidFill>
                      </w14:textFill>
                    </w:rPr>
                    <w:t>m</w:t>
                  </w: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g/m</w:t>
                  </w:r>
                  <w:r>
                    <w:rPr>
                      <w:rFonts w:hint="eastAsia" w:ascii="Times New Roman" w:hAnsi="Times New Roman" w:eastAsia="宋体"/>
                      <w:b/>
                      <w:smallCaps w:val="0"/>
                      <w:color w:val="000000" w:themeColor="text1"/>
                      <w:szCs w:val="21"/>
                      <w:highlight w:val="none"/>
                      <w:vertAlign w:val="superscript"/>
                      <w:lang w:val="en-US" w:eastAsia="zh-CN"/>
                      <w14:textFill>
                        <w14:solidFill>
                          <w14:schemeClr w14:val="tx1"/>
                        </w14:solidFill>
                      </w14:textFill>
                    </w:rPr>
                    <w:t>3</w:t>
                  </w:r>
                </w:p>
              </w:tc>
              <w:tc>
                <w:tcPr>
                  <w:tcW w:w="890" w:type="pct"/>
                  <w:tcBorders>
                    <w:tl2br w:val="nil"/>
                    <w:tr2bl w:val="nil"/>
                  </w:tcBorders>
                  <w:vAlign w:val="center"/>
                </w:tcPr>
                <w:p w14:paraId="4EC96636">
                  <w:pPr>
                    <w:keepLines/>
                    <w:snapToGrid w:val="0"/>
                    <w:jc w:val="center"/>
                    <w:rPr>
                      <w:rFonts w:hint="default"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kg/h</w:t>
                  </w:r>
                </w:p>
              </w:tc>
            </w:tr>
            <w:tr w14:paraId="47C7B3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restart"/>
                  <w:tcBorders>
                    <w:tl2br w:val="nil"/>
                    <w:tr2bl w:val="nil"/>
                  </w:tcBorders>
                  <w:shd w:val="clear" w:color="auto" w:fill="auto"/>
                  <w:vAlign w:val="center"/>
                </w:tcPr>
                <w:p w14:paraId="4724E781">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待宰圈、屠宰车间及废水处理设施</w:t>
                  </w:r>
                </w:p>
              </w:tc>
              <w:tc>
                <w:tcPr>
                  <w:tcW w:w="769" w:type="pct"/>
                  <w:tcBorders>
                    <w:tl2br w:val="nil"/>
                    <w:tr2bl w:val="nil"/>
                  </w:tcBorders>
                  <w:shd w:val="clear" w:color="auto" w:fill="auto"/>
                  <w:vAlign w:val="center"/>
                </w:tcPr>
                <w:p w14:paraId="5AB5D44B">
                  <w:pPr>
                    <w:keepLines/>
                    <w:snapToGrid w:val="0"/>
                    <w:jc w:val="cente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氨</w:t>
                  </w:r>
                </w:p>
              </w:tc>
              <w:tc>
                <w:tcPr>
                  <w:tcW w:w="1606" w:type="pct"/>
                  <w:vMerge w:val="restart"/>
                  <w:tcBorders>
                    <w:tl2br w:val="nil"/>
                    <w:tr2bl w:val="nil"/>
                  </w:tcBorders>
                  <w:shd w:val="clear" w:color="auto" w:fill="auto"/>
                  <w:vAlign w:val="center"/>
                </w:tcPr>
                <w:p w14:paraId="69C6A239">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《恶臭污染物排放标准》（GB14554-93）</w:t>
                  </w: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表2</w:t>
                  </w:r>
                </w:p>
              </w:tc>
              <w:tc>
                <w:tcPr>
                  <w:tcW w:w="890" w:type="pct"/>
                  <w:tcBorders>
                    <w:tl2br w:val="nil"/>
                    <w:tr2bl w:val="nil"/>
                  </w:tcBorders>
                  <w:shd w:val="clear" w:color="auto" w:fill="auto"/>
                  <w:vAlign w:val="center"/>
                </w:tcPr>
                <w:p w14:paraId="1E697E08">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eastAsia"/>
                      <w:b w:val="0"/>
                      <w:bCs/>
                      <w:smallCaps w:val="0"/>
                      <w:color w:val="000000" w:themeColor="text1"/>
                      <w:szCs w:val="21"/>
                      <w:highlight w:val="none"/>
                      <w:lang w:val="en-US" w:eastAsia="zh-CN"/>
                      <w14:textFill>
                        <w14:solidFill>
                          <w14:schemeClr w14:val="tx1"/>
                        </w14:solidFill>
                      </w14:textFill>
                    </w:rPr>
                    <w:t>/</w:t>
                  </w:r>
                </w:p>
              </w:tc>
              <w:tc>
                <w:tcPr>
                  <w:tcW w:w="890" w:type="pct"/>
                  <w:tcBorders>
                    <w:tl2br w:val="nil"/>
                    <w:tr2bl w:val="nil"/>
                  </w:tcBorders>
                  <w:vAlign w:val="center"/>
                </w:tcPr>
                <w:p w14:paraId="4932C93D">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b w:val="0"/>
                      <w:bCs/>
                      <w:smallCaps w:val="0"/>
                      <w:color w:val="000000" w:themeColor="text1"/>
                      <w:szCs w:val="21"/>
                      <w:highlight w:val="none"/>
                      <w:lang w:val="en-US" w:eastAsia="zh-CN"/>
                      <w14:textFill>
                        <w14:solidFill>
                          <w14:schemeClr w14:val="tx1"/>
                        </w14:solidFill>
                      </w14:textFill>
                    </w:rPr>
                    <w:t>4.9（15m）</w:t>
                  </w:r>
                </w:p>
              </w:tc>
            </w:tr>
            <w:tr w14:paraId="3B7745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shd w:val="clear" w:color="auto" w:fill="auto"/>
                  <w:vAlign w:val="center"/>
                </w:tcPr>
                <w:p w14:paraId="79E944E5">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769" w:type="pct"/>
                  <w:tcBorders>
                    <w:tl2br w:val="nil"/>
                    <w:tr2bl w:val="nil"/>
                  </w:tcBorders>
                  <w:shd w:val="clear" w:color="auto" w:fill="auto"/>
                  <w:vAlign w:val="center"/>
                </w:tcPr>
                <w:p w14:paraId="248CEE4B">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硫化氢</w:t>
                  </w:r>
                </w:p>
              </w:tc>
              <w:tc>
                <w:tcPr>
                  <w:tcW w:w="1606" w:type="pct"/>
                  <w:vMerge w:val="continue"/>
                  <w:tcBorders>
                    <w:tl2br w:val="nil"/>
                    <w:tr2bl w:val="nil"/>
                  </w:tcBorders>
                  <w:shd w:val="clear" w:color="auto" w:fill="auto"/>
                  <w:vAlign w:val="center"/>
                </w:tcPr>
                <w:p w14:paraId="2A9A5ACA">
                  <w:pPr>
                    <w:keepLines/>
                    <w:snapToGrid w:val="0"/>
                    <w:jc w:val="center"/>
                    <w:rPr>
                      <w:rFonts w:hint="eastAsia" w:ascii="Times New Roman" w:hAnsi="Times New Roman" w:eastAsia="宋体"/>
                      <w:bCs/>
                      <w:smallCaps w:val="0"/>
                      <w:color w:val="000000" w:themeColor="text1"/>
                      <w:szCs w:val="21"/>
                      <w14:textFill>
                        <w14:solidFill>
                          <w14:schemeClr w14:val="tx1"/>
                        </w14:solidFill>
                      </w14:textFill>
                    </w:rPr>
                  </w:pPr>
                </w:p>
              </w:tc>
              <w:tc>
                <w:tcPr>
                  <w:tcW w:w="890" w:type="pct"/>
                  <w:tcBorders>
                    <w:tl2br w:val="nil"/>
                    <w:tr2bl w:val="nil"/>
                  </w:tcBorders>
                  <w:shd w:val="clear" w:color="auto" w:fill="auto"/>
                  <w:vAlign w:val="center"/>
                </w:tcPr>
                <w:p w14:paraId="142FD952">
                  <w:pPr>
                    <w:keepLines/>
                    <w:snapToGrid w:val="0"/>
                    <w:jc w:val="center"/>
                    <w:rPr>
                      <w:rFonts w:hint="default"/>
                      <w:b w:val="0"/>
                      <w:bCs/>
                      <w:smallCaps w:val="0"/>
                      <w:color w:val="000000" w:themeColor="text1"/>
                      <w:szCs w:val="21"/>
                      <w:highlight w:val="none"/>
                      <w:lang w:val="en-US" w:eastAsia="zh-CN"/>
                      <w14:textFill>
                        <w14:solidFill>
                          <w14:schemeClr w14:val="tx1"/>
                        </w14:solidFill>
                      </w14:textFill>
                    </w:rPr>
                  </w:pPr>
                  <w:r>
                    <w:rPr>
                      <w:rFonts w:hint="eastAsia"/>
                      <w:b w:val="0"/>
                      <w:bCs/>
                      <w:smallCaps w:val="0"/>
                      <w:color w:val="000000" w:themeColor="text1"/>
                      <w:szCs w:val="21"/>
                      <w:highlight w:val="none"/>
                      <w:lang w:val="en-US" w:eastAsia="zh-CN"/>
                      <w14:textFill>
                        <w14:solidFill>
                          <w14:schemeClr w14:val="tx1"/>
                        </w14:solidFill>
                      </w14:textFill>
                    </w:rPr>
                    <w:t>/</w:t>
                  </w:r>
                </w:p>
              </w:tc>
              <w:tc>
                <w:tcPr>
                  <w:tcW w:w="890" w:type="pct"/>
                  <w:tcBorders>
                    <w:tl2br w:val="nil"/>
                    <w:tr2bl w:val="nil"/>
                  </w:tcBorders>
                  <w:vAlign w:val="center"/>
                </w:tcPr>
                <w:p w14:paraId="554C0D78">
                  <w:pPr>
                    <w:keepLines/>
                    <w:snapToGrid w:val="0"/>
                    <w:jc w:val="center"/>
                    <w:rPr>
                      <w:rFonts w:hint="default"/>
                      <w:b w:val="0"/>
                      <w:bCs/>
                      <w:smallCaps w:val="0"/>
                      <w:color w:val="000000" w:themeColor="text1"/>
                      <w:szCs w:val="21"/>
                      <w:highlight w:val="none"/>
                      <w:lang w:val="en-US" w:eastAsia="zh-CN"/>
                      <w14:textFill>
                        <w14:solidFill>
                          <w14:schemeClr w14:val="tx1"/>
                        </w14:solidFill>
                      </w14:textFill>
                    </w:rPr>
                  </w:pPr>
                  <w:r>
                    <w:rPr>
                      <w:rFonts w:hint="eastAsia"/>
                      <w:b w:val="0"/>
                      <w:bCs/>
                      <w:smallCaps w:val="0"/>
                      <w:color w:val="000000" w:themeColor="text1"/>
                      <w:szCs w:val="21"/>
                      <w:highlight w:val="none"/>
                      <w:lang w:val="en-US" w:eastAsia="zh-CN"/>
                      <w14:textFill>
                        <w14:solidFill>
                          <w14:schemeClr w14:val="tx1"/>
                        </w14:solidFill>
                      </w14:textFill>
                    </w:rPr>
                    <w:t>0.33（15m）</w:t>
                  </w:r>
                </w:p>
              </w:tc>
            </w:tr>
            <w:tr w14:paraId="67ADAE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shd w:val="clear" w:color="auto" w:fill="auto"/>
                  <w:vAlign w:val="center"/>
                </w:tcPr>
                <w:p w14:paraId="20AFE7C7">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769" w:type="pct"/>
                  <w:tcBorders>
                    <w:tl2br w:val="nil"/>
                    <w:tr2bl w:val="nil"/>
                  </w:tcBorders>
                  <w:shd w:val="clear" w:color="auto" w:fill="auto"/>
                  <w:vAlign w:val="center"/>
                </w:tcPr>
                <w:p w14:paraId="30D9B2F3">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臭气浓度</w:t>
                  </w:r>
                </w:p>
              </w:tc>
              <w:tc>
                <w:tcPr>
                  <w:tcW w:w="1606" w:type="pct"/>
                  <w:vMerge w:val="continue"/>
                  <w:tcBorders>
                    <w:tl2br w:val="nil"/>
                    <w:tr2bl w:val="nil"/>
                  </w:tcBorders>
                  <w:shd w:val="clear" w:color="auto" w:fill="auto"/>
                  <w:vAlign w:val="center"/>
                </w:tcPr>
                <w:p w14:paraId="4DCB9B8A">
                  <w:pPr>
                    <w:keepLines/>
                    <w:snapToGrid w:val="0"/>
                    <w:jc w:val="center"/>
                    <w:rPr>
                      <w:rFonts w:hint="eastAsia" w:ascii="Times New Roman" w:hAnsi="Times New Roman" w:eastAsia="宋体"/>
                      <w:bCs/>
                      <w:smallCaps w:val="0"/>
                      <w:color w:val="000000" w:themeColor="text1"/>
                      <w:szCs w:val="21"/>
                      <w14:textFill>
                        <w14:solidFill>
                          <w14:schemeClr w14:val="tx1"/>
                        </w14:solidFill>
                      </w14:textFill>
                    </w:rPr>
                  </w:pPr>
                </w:p>
              </w:tc>
              <w:tc>
                <w:tcPr>
                  <w:tcW w:w="1780" w:type="pct"/>
                  <w:gridSpan w:val="2"/>
                  <w:tcBorders>
                    <w:tl2br w:val="nil"/>
                    <w:tr2bl w:val="nil"/>
                  </w:tcBorders>
                  <w:shd w:val="clear" w:color="auto" w:fill="auto"/>
                  <w:vAlign w:val="center"/>
                </w:tcPr>
                <w:p w14:paraId="7D419487">
                  <w:pPr>
                    <w:keepLines/>
                    <w:snapToGrid w:val="0"/>
                    <w:jc w:val="center"/>
                    <w:rPr>
                      <w:rFonts w:hint="default"/>
                      <w:b w:val="0"/>
                      <w:bCs/>
                      <w:smallCaps w:val="0"/>
                      <w:color w:val="000000" w:themeColor="text1"/>
                      <w:szCs w:val="21"/>
                      <w:highlight w:val="none"/>
                      <w:lang w:val="en-US" w:eastAsia="zh-CN"/>
                      <w14:textFill>
                        <w14:solidFill>
                          <w14:schemeClr w14:val="tx1"/>
                        </w14:solidFill>
                      </w14:textFill>
                    </w:rPr>
                  </w:pPr>
                  <w:r>
                    <w:rPr>
                      <w:rFonts w:hint="eastAsia"/>
                      <w:b w:val="0"/>
                      <w:bCs/>
                      <w:smallCaps w:val="0"/>
                      <w:color w:val="000000" w:themeColor="text1"/>
                      <w:szCs w:val="21"/>
                      <w:highlight w:val="none"/>
                      <w:lang w:val="en-US" w:eastAsia="zh-CN"/>
                      <w14:textFill>
                        <w14:solidFill>
                          <w14:schemeClr w14:val="tx1"/>
                        </w14:solidFill>
                      </w14:textFill>
                    </w:rPr>
                    <w:t>2000（无量纲）</w:t>
                  </w:r>
                </w:p>
              </w:tc>
            </w:tr>
          </w:tbl>
          <w:p w14:paraId="3389BBBF">
            <w:pPr>
              <w:tabs>
                <w:tab w:val="left" w:pos="960"/>
              </w:tabs>
              <w:spacing w:beforeLines="50"/>
              <w:jc w:val="center"/>
              <w:rPr>
                <w:rFonts w:ascii="Times New Roman" w:hAnsi="Times New Roman" w:eastAsia="宋体" w:cs="宋体"/>
                <w:b/>
                <w:bCs/>
                <w:color w:val="000000" w:themeColor="text1"/>
                <w:spacing w:val="-4"/>
                <w:szCs w:val="21"/>
                <w:highlight w:val="none"/>
                <w14:textFill>
                  <w14:solidFill>
                    <w14:schemeClr w14:val="tx1"/>
                  </w14:solidFill>
                </w14:textFill>
              </w:rPr>
            </w:pPr>
            <w:r>
              <w:rPr>
                <w:rFonts w:ascii="Times New Roman" w:hAnsi="Times New Roman" w:eastAsia="宋体" w:cs="宋体"/>
                <w:b/>
                <w:bCs/>
                <w:color w:val="000000" w:themeColor="text1"/>
                <w:spacing w:val="-4"/>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Cs w:val="21"/>
                <w:highlight w:val="none"/>
                <w14:textFill>
                  <w14:solidFill>
                    <w14:schemeClr w14:val="tx1"/>
                  </w14:solidFill>
                </w14:textFill>
              </w:rPr>
              <w:t>3-</w:t>
            </w:r>
            <w:r>
              <w:rPr>
                <w:rFonts w:hint="eastAsia" w:cs="宋体"/>
                <w:b/>
                <w:bCs/>
                <w:color w:val="000000" w:themeColor="text1"/>
                <w:spacing w:val="-4"/>
                <w:szCs w:val="21"/>
                <w:highlight w:val="none"/>
                <w:lang w:val="en-US" w:eastAsia="zh-CN"/>
                <w14:textFill>
                  <w14:solidFill>
                    <w14:schemeClr w14:val="tx1"/>
                  </w14:solidFill>
                </w14:textFill>
              </w:rPr>
              <w:t>6</w:t>
            </w:r>
            <w:r>
              <w:rPr>
                <w:rFonts w:hint="eastAsia" w:ascii="Times New Roman" w:hAnsi="Times New Roman" w:eastAsia="宋体" w:cs="宋体"/>
                <w:b/>
                <w:bCs/>
                <w:color w:val="000000" w:themeColor="text1"/>
                <w:spacing w:val="-4"/>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Cs w:val="21"/>
                <w:highlight w:val="none"/>
                <w14:textFill>
                  <w14:solidFill>
                    <w14:schemeClr w14:val="tx1"/>
                  </w14:solidFill>
                </w14:textFill>
              </w:rPr>
              <w:t>大气污染物</w:t>
            </w:r>
            <w:r>
              <w:rPr>
                <w:rFonts w:hint="eastAsia" w:ascii="Times New Roman" w:hAnsi="Times New Roman" w:eastAsia="宋体" w:cs="宋体"/>
                <w:b/>
                <w:bCs/>
                <w:color w:val="000000" w:themeColor="text1"/>
                <w:spacing w:val="-4"/>
                <w:szCs w:val="21"/>
                <w:highlight w:val="none"/>
                <w:lang w:val="en-US" w:eastAsia="zh-CN"/>
                <w14:textFill>
                  <w14:solidFill>
                    <w14:schemeClr w14:val="tx1"/>
                  </w14:solidFill>
                </w14:textFill>
              </w:rPr>
              <w:t>无组织</w:t>
            </w:r>
            <w:r>
              <w:rPr>
                <w:rFonts w:ascii="Times New Roman" w:hAnsi="Times New Roman" w:eastAsia="宋体" w:cs="宋体"/>
                <w:b/>
                <w:bCs/>
                <w:color w:val="000000" w:themeColor="text1"/>
                <w:spacing w:val="-4"/>
                <w:szCs w:val="21"/>
                <w:highlight w:val="none"/>
                <w14:textFill>
                  <w14:solidFill>
                    <w14:schemeClr w14:val="tx1"/>
                  </w14:solidFill>
                </w14:textFill>
              </w:rPr>
              <w:t>排放标准</w:t>
            </w:r>
          </w:p>
          <w:tbl>
            <w:tblPr>
              <w:tblStyle w:val="24"/>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418"/>
              <w:gridCol w:w="1294"/>
              <w:gridCol w:w="2702"/>
              <w:gridCol w:w="1500"/>
              <w:gridCol w:w="1494"/>
            </w:tblGrid>
            <w:tr w14:paraId="588492A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restart"/>
                  <w:tcBorders>
                    <w:tl2br w:val="nil"/>
                    <w:tr2bl w:val="nil"/>
                  </w:tcBorders>
                  <w:vAlign w:val="center"/>
                </w:tcPr>
                <w:p w14:paraId="352A8D3B">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产生工段</w:t>
                  </w:r>
                </w:p>
              </w:tc>
              <w:tc>
                <w:tcPr>
                  <w:tcW w:w="769" w:type="pct"/>
                  <w:vMerge w:val="restart"/>
                  <w:tcBorders>
                    <w:tl2br w:val="nil"/>
                    <w:tr2bl w:val="nil"/>
                  </w:tcBorders>
                  <w:vAlign w:val="center"/>
                </w:tcPr>
                <w:p w14:paraId="6C378CD7">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污染物</w:t>
                  </w:r>
                </w:p>
              </w:tc>
              <w:tc>
                <w:tcPr>
                  <w:tcW w:w="1606" w:type="pct"/>
                  <w:vMerge w:val="restart"/>
                  <w:tcBorders>
                    <w:tl2br w:val="nil"/>
                    <w:tr2bl w:val="nil"/>
                  </w:tcBorders>
                  <w:vAlign w:val="center"/>
                </w:tcPr>
                <w:p w14:paraId="3CF49648">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执行标准</w:t>
                  </w:r>
                </w:p>
              </w:tc>
              <w:tc>
                <w:tcPr>
                  <w:tcW w:w="892" w:type="pct"/>
                  <w:tcBorders>
                    <w:tl2br w:val="nil"/>
                    <w:tr2bl w:val="nil"/>
                  </w:tcBorders>
                  <w:vAlign w:val="center"/>
                </w:tcPr>
                <w:p w14:paraId="49EFA893">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最高允许</w:t>
                  </w:r>
                </w:p>
                <w:p w14:paraId="1BFD1A87">
                  <w:pPr>
                    <w:keepLines/>
                    <w:snapToGrid w:val="0"/>
                    <w:jc w:val="center"/>
                    <w:rPr>
                      <w:rFonts w:hint="eastAsia" w:ascii="Times New Roman" w:hAnsi="Times New Roman" w:eastAsia="宋体"/>
                      <w:b/>
                      <w:smallCaps w:val="0"/>
                      <w:color w:val="000000" w:themeColor="text1"/>
                      <w:szCs w:val="21"/>
                      <w:highlight w:val="none"/>
                      <w:lang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排放浓度</w:t>
                  </w:r>
                </w:p>
              </w:tc>
              <w:tc>
                <w:tcPr>
                  <w:tcW w:w="888" w:type="pct"/>
                  <w:vMerge w:val="restart"/>
                  <w:tcBorders>
                    <w:tl2br w:val="nil"/>
                    <w:tr2bl w:val="nil"/>
                  </w:tcBorders>
                  <w:vAlign w:val="center"/>
                </w:tcPr>
                <w:p w14:paraId="3D98BA07">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无组织排放</w:t>
                  </w:r>
                </w:p>
                <w:p w14:paraId="2D5A8D0E">
                  <w:pPr>
                    <w:keepLines/>
                    <w:snapToGrid w:val="0"/>
                    <w:jc w:val="center"/>
                    <w:rPr>
                      <w:rFonts w:hint="default"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监控位置</w:t>
                  </w:r>
                </w:p>
              </w:tc>
            </w:tr>
            <w:tr w14:paraId="3C0AA2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vAlign w:val="center"/>
                </w:tcPr>
                <w:p w14:paraId="6F92C829">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769" w:type="pct"/>
                  <w:vMerge w:val="continue"/>
                  <w:tcBorders>
                    <w:tl2br w:val="nil"/>
                    <w:tr2bl w:val="nil"/>
                  </w:tcBorders>
                  <w:vAlign w:val="center"/>
                </w:tcPr>
                <w:p w14:paraId="5D8B7246">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1606" w:type="pct"/>
                  <w:vMerge w:val="continue"/>
                  <w:tcBorders>
                    <w:tl2br w:val="nil"/>
                    <w:tr2bl w:val="nil"/>
                  </w:tcBorders>
                  <w:vAlign w:val="center"/>
                </w:tcPr>
                <w:p w14:paraId="69D8E633">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c>
                <w:tcPr>
                  <w:tcW w:w="892" w:type="pct"/>
                  <w:tcBorders>
                    <w:tl2br w:val="nil"/>
                    <w:tr2bl w:val="nil"/>
                  </w:tcBorders>
                  <w:vAlign w:val="center"/>
                </w:tcPr>
                <w:p w14:paraId="716E47CA">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color w:val="000000" w:themeColor="text1"/>
                      <w:szCs w:val="21"/>
                      <w:highlight w:val="none"/>
                      <w:lang w:val="en-US" w:eastAsia="zh-CN"/>
                      <w14:textFill>
                        <w14:solidFill>
                          <w14:schemeClr w14:val="tx1"/>
                        </w14:solidFill>
                      </w14:textFill>
                    </w:rPr>
                    <w:t>m</w:t>
                  </w:r>
                  <w: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t>g/m</w:t>
                  </w:r>
                  <w:r>
                    <w:rPr>
                      <w:rFonts w:hint="eastAsia" w:ascii="Times New Roman" w:hAnsi="Times New Roman" w:eastAsia="宋体"/>
                      <w:b/>
                      <w:smallCaps w:val="0"/>
                      <w:color w:val="000000" w:themeColor="text1"/>
                      <w:szCs w:val="21"/>
                      <w:highlight w:val="none"/>
                      <w:vertAlign w:val="superscript"/>
                      <w:lang w:val="en-US" w:eastAsia="zh-CN"/>
                      <w14:textFill>
                        <w14:solidFill>
                          <w14:schemeClr w14:val="tx1"/>
                        </w14:solidFill>
                      </w14:textFill>
                    </w:rPr>
                    <w:t>3</w:t>
                  </w:r>
                </w:p>
              </w:tc>
              <w:tc>
                <w:tcPr>
                  <w:tcW w:w="888" w:type="pct"/>
                  <w:vMerge w:val="continue"/>
                  <w:tcBorders>
                    <w:tl2br w:val="nil"/>
                    <w:tr2bl w:val="nil"/>
                  </w:tcBorders>
                  <w:vAlign w:val="center"/>
                </w:tcPr>
                <w:p w14:paraId="20E2AA9D">
                  <w:pPr>
                    <w:keepLines/>
                    <w:snapToGrid w:val="0"/>
                    <w:jc w:val="center"/>
                    <w:rPr>
                      <w:rFonts w:hint="eastAsia" w:ascii="Times New Roman" w:hAnsi="Times New Roman" w:eastAsia="宋体"/>
                      <w:b/>
                      <w:smallCaps w:val="0"/>
                      <w:color w:val="000000" w:themeColor="text1"/>
                      <w:szCs w:val="21"/>
                      <w:highlight w:val="none"/>
                      <w:lang w:val="en-US" w:eastAsia="zh-CN"/>
                      <w14:textFill>
                        <w14:solidFill>
                          <w14:schemeClr w14:val="tx1"/>
                        </w14:solidFill>
                      </w14:textFill>
                    </w:rPr>
                  </w:pPr>
                </w:p>
              </w:tc>
            </w:tr>
            <w:tr w14:paraId="490199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restart"/>
                  <w:tcBorders>
                    <w:tl2br w:val="nil"/>
                    <w:tr2bl w:val="nil"/>
                  </w:tcBorders>
                  <w:shd w:val="clear" w:color="auto" w:fill="auto"/>
                  <w:vAlign w:val="center"/>
                </w:tcPr>
                <w:p w14:paraId="0D39279C">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待宰圈、屠宰车间及废水处理设施</w:t>
                  </w:r>
                </w:p>
              </w:tc>
              <w:tc>
                <w:tcPr>
                  <w:tcW w:w="769" w:type="pct"/>
                  <w:tcBorders>
                    <w:tl2br w:val="nil"/>
                    <w:tr2bl w:val="nil"/>
                  </w:tcBorders>
                  <w:shd w:val="clear" w:color="auto" w:fill="auto"/>
                  <w:vAlign w:val="center"/>
                </w:tcPr>
                <w:p w14:paraId="5B234551">
                  <w:pPr>
                    <w:keepLines/>
                    <w:snapToGrid w:val="0"/>
                    <w:jc w:val="cente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氨</w:t>
                  </w:r>
                </w:p>
              </w:tc>
              <w:tc>
                <w:tcPr>
                  <w:tcW w:w="1606" w:type="pct"/>
                  <w:vMerge w:val="restart"/>
                  <w:tcBorders>
                    <w:tl2br w:val="nil"/>
                    <w:tr2bl w:val="nil"/>
                  </w:tcBorders>
                  <w:shd w:val="clear" w:color="auto" w:fill="auto"/>
                  <w:vAlign w:val="center"/>
                </w:tcPr>
                <w:p w14:paraId="4B699D72">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《恶臭污染物排放标准》（GB14554-93）</w:t>
                  </w: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表1二级现有</w:t>
                  </w:r>
                </w:p>
              </w:tc>
              <w:tc>
                <w:tcPr>
                  <w:tcW w:w="892" w:type="pct"/>
                  <w:tcBorders>
                    <w:tl2br w:val="nil"/>
                    <w:tr2bl w:val="nil"/>
                  </w:tcBorders>
                  <w:shd w:val="clear" w:color="auto" w:fill="auto"/>
                  <w:vAlign w:val="center"/>
                </w:tcPr>
                <w:p w14:paraId="0BEBABEA">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2</w:t>
                  </w:r>
                </w:p>
              </w:tc>
              <w:tc>
                <w:tcPr>
                  <w:tcW w:w="888" w:type="pct"/>
                  <w:vMerge w:val="restart"/>
                  <w:tcBorders>
                    <w:tl2br w:val="nil"/>
                    <w:tr2bl w:val="nil"/>
                  </w:tcBorders>
                  <w:vAlign w:val="center"/>
                </w:tcPr>
                <w:p w14:paraId="18F748C0">
                  <w:pPr>
                    <w:keepLines/>
                    <w:snapToGrid w:val="0"/>
                    <w:jc w:val="cente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在厂房外设置</w:t>
                  </w:r>
                </w:p>
                <w:p w14:paraId="750E5A26">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监控点</w:t>
                  </w:r>
                </w:p>
              </w:tc>
            </w:tr>
            <w:tr w14:paraId="0DCA933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shd w:val="clear" w:color="auto" w:fill="auto"/>
                  <w:vAlign w:val="center"/>
                </w:tcPr>
                <w:p w14:paraId="029A4665">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769" w:type="pct"/>
                  <w:tcBorders>
                    <w:tl2br w:val="nil"/>
                    <w:tr2bl w:val="nil"/>
                  </w:tcBorders>
                  <w:shd w:val="clear" w:color="auto" w:fill="auto"/>
                  <w:vAlign w:val="center"/>
                </w:tcPr>
                <w:p w14:paraId="68AB2783">
                  <w:pPr>
                    <w:keepLines/>
                    <w:snapToGrid w:val="0"/>
                    <w:jc w:val="cente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硫化氢</w:t>
                  </w:r>
                </w:p>
              </w:tc>
              <w:tc>
                <w:tcPr>
                  <w:tcW w:w="1606" w:type="pct"/>
                  <w:vMerge w:val="continue"/>
                  <w:tcBorders>
                    <w:tl2br w:val="nil"/>
                    <w:tr2bl w:val="nil"/>
                  </w:tcBorders>
                  <w:shd w:val="clear" w:color="auto" w:fill="auto"/>
                  <w:vAlign w:val="center"/>
                </w:tcPr>
                <w:p w14:paraId="4C0DAAA7">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892" w:type="pct"/>
                  <w:tcBorders>
                    <w:tl2br w:val="nil"/>
                    <w:tr2bl w:val="nil"/>
                  </w:tcBorders>
                  <w:shd w:val="clear" w:color="auto" w:fill="auto"/>
                  <w:vAlign w:val="center"/>
                </w:tcPr>
                <w:p w14:paraId="412A1021">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0.1</w:t>
                  </w:r>
                </w:p>
              </w:tc>
              <w:tc>
                <w:tcPr>
                  <w:tcW w:w="888" w:type="pct"/>
                  <w:vMerge w:val="continue"/>
                  <w:tcBorders>
                    <w:tl2br w:val="nil"/>
                    <w:tr2bl w:val="nil"/>
                  </w:tcBorders>
                  <w:vAlign w:val="center"/>
                </w:tcPr>
                <w:p w14:paraId="57CE12BC">
                  <w:pPr>
                    <w:keepLines/>
                    <w:snapToGrid w:val="0"/>
                    <w:jc w:val="cente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pPr>
                </w:p>
              </w:tc>
            </w:tr>
            <w:tr w14:paraId="3914A0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3" w:type="pct"/>
                  <w:vMerge w:val="continue"/>
                  <w:tcBorders>
                    <w:tl2br w:val="nil"/>
                    <w:tr2bl w:val="nil"/>
                  </w:tcBorders>
                  <w:shd w:val="clear" w:color="auto" w:fill="auto"/>
                  <w:vAlign w:val="center"/>
                </w:tcPr>
                <w:p w14:paraId="719BB732">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769" w:type="pct"/>
                  <w:tcBorders>
                    <w:tl2br w:val="nil"/>
                    <w:tr2bl w:val="nil"/>
                  </w:tcBorders>
                  <w:shd w:val="clear" w:color="auto" w:fill="auto"/>
                  <w:vAlign w:val="center"/>
                </w:tcPr>
                <w:p w14:paraId="26E8B03C">
                  <w:pPr>
                    <w:keepLines/>
                    <w:snapToGrid w:val="0"/>
                    <w:jc w:val="cente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臭气浓度</w:t>
                  </w:r>
                </w:p>
              </w:tc>
              <w:tc>
                <w:tcPr>
                  <w:tcW w:w="1606" w:type="pct"/>
                  <w:vMerge w:val="continue"/>
                  <w:tcBorders>
                    <w:tl2br w:val="nil"/>
                    <w:tr2bl w:val="nil"/>
                  </w:tcBorders>
                  <w:shd w:val="clear" w:color="auto" w:fill="auto"/>
                  <w:vAlign w:val="center"/>
                </w:tcPr>
                <w:p w14:paraId="4F71C7B5">
                  <w:pPr>
                    <w:keepLines/>
                    <w:snapToGrid w:val="0"/>
                    <w:jc w:val="cente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pPr>
                </w:p>
              </w:tc>
              <w:tc>
                <w:tcPr>
                  <w:tcW w:w="892" w:type="pct"/>
                  <w:tcBorders>
                    <w:tl2br w:val="nil"/>
                    <w:tr2bl w:val="nil"/>
                  </w:tcBorders>
                  <w:shd w:val="clear" w:color="auto" w:fill="auto"/>
                  <w:vAlign w:val="center"/>
                </w:tcPr>
                <w:p w14:paraId="2E6B03E4">
                  <w:pPr>
                    <w:keepLines/>
                    <w:snapToGrid w:val="0"/>
                    <w:jc w:val="center"/>
                    <w:rPr>
                      <w:rFonts w:hint="default" w:ascii="Times New Roman" w:hAnsi="Times New Roman" w:eastAsia="宋体"/>
                      <w:b w:val="0"/>
                      <w:bCs/>
                      <w:smallCaps w:val="0"/>
                      <w:color w:val="000000" w:themeColor="text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t>30（无量纲）</w:t>
                  </w:r>
                </w:p>
              </w:tc>
              <w:tc>
                <w:tcPr>
                  <w:tcW w:w="888" w:type="pct"/>
                  <w:vMerge w:val="continue"/>
                  <w:tcBorders>
                    <w:tl2br w:val="nil"/>
                    <w:tr2bl w:val="nil"/>
                  </w:tcBorders>
                  <w:vAlign w:val="center"/>
                </w:tcPr>
                <w:p w14:paraId="69240485">
                  <w:pPr>
                    <w:keepLines/>
                    <w:snapToGrid w:val="0"/>
                    <w:jc w:val="center"/>
                    <w:rPr>
                      <w:rFonts w:hint="eastAsia" w:ascii="Times New Roman" w:hAnsi="Times New Roman" w:eastAsia="宋体"/>
                      <w:b w:val="0"/>
                      <w:bCs/>
                      <w:smallCaps w:val="0"/>
                      <w:color w:val="000000" w:themeColor="text1"/>
                      <w:szCs w:val="21"/>
                      <w:highlight w:val="none"/>
                      <w:lang w:val="en-US" w:eastAsia="zh-CN"/>
                      <w14:textFill>
                        <w14:solidFill>
                          <w14:schemeClr w14:val="tx1"/>
                        </w14:solidFill>
                      </w14:textFill>
                    </w:rPr>
                  </w:pPr>
                </w:p>
              </w:tc>
            </w:tr>
          </w:tbl>
          <w:p w14:paraId="6B2D7002">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2</w:t>
            </w:r>
            <w:r>
              <w:rPr>
                <w:rFonts w:ascii="Times New Roman" w:hAnsi="Times New Roman" w:eastAsia="宋体" w:cs="宋体"/>
                <w:b/>
                <w:color w:val="000000" w:themeColor="text1"/>
                <w:sz w:val="21"/>
                <w:szCs w:val="21"/>
                <w:highlight w:val="none"/>
                <w14:textFill>
                  <w14:solidFill>
                    <w14:schemeClr w14:val="tx1"/>
                  </w14:solidFill>
                </w14:textFill>
              </w:rPr>
              <w:t>、水污染物排放标准</w:t>
            </w:r>
          </w:p>
          <w:p w14:paraId="5ACC085A">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本项目生活污水和生产废水混合经“</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格栅+絮凝沉淀+静态沉淀</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水解酸化+好氧处理</w:t>
            </w:r>
            <w:r>
              <w:rPr>
                <w:rFonts w:hint="eastAsia"/>
                <w:b w:val="0"/>
                <w:bCs/>
                <w:smallCaps w:val="0"/>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MBR</w:t>
            </w:r>
            <w:r>
              <w:rPr>
                <w:rFonts w:hint="eastAsia" w:cs="宋体"/>
                <w:color w:val="000000" w:themeColor="text1"/>
                <w:sz w:val="21"/>
                <w:szCs w:val="21"/>
                <w:highlight w:val="none"/>
                <w:lang w:val="en-US" w:eastAsia="zh-CN"/>
                <w14:textFill>
                  <w14:solidFill>
                    <w14:schemeClr w14:val="tx1"/>
                  </w14:solidFill>
                </w14:textFill>
              </w:rPr>
              <w:t>”处理后浓水接管至指前污水处理厂处理，</w:t>
            </w:r>
            <w:r>
              <w:rPr>
                <w:rFonts w:ascii="Times New Roman" w:hAnsi="Times New Roman" w:eastAsia="宋体" w:cs="宋体"/>
                <w:bCs/>
                <w:color w:val="000000" w:themeColor="text1"/>
                <w:sz w:val="21"/>
                <w:szCs w:val="21"/>
                <w:highlight w:val="none"/>
                <w14:textFill>
                  <w14:solidFill>
                    <w14:schemeClr w14:val="tx1"/>
                  </w14:solidFill>
                </w14:textFill>
              </w:rPr>
              <w:t>接管</w:t>
            </w:r>
            <w:r>
              <w:rPr>
                <w:rFonts w:ascii="Times New Roman" w:hAnsi="Times New Roman" w:eastAsia="宋体" w:cs="宋体"/>
                <w:color w:val="000000" w:themeColor="text1"/>
                <w:kern w:val="0"/>
                <w:sz w:val="21"/>
                <w:szCs w:val="21"/>
                <w:highlight w:val="none"/>
                <w14:textFill>
                  <w14:solidFill>
                    <w14:schemeClr w14:val="tx1"/>
                  </w14:solidFill>
                </w14:textFill>
              </w:rPr>
              <w:t>标准执行</w:t>
            </w:r>
            <w:r>
              <w:rPr>
                <w:rFonts w:hint="eastAsia" w:cs="宋体"/>
                <w:bCs/>
                <w:color w:val="000000" w:themeColor="text1"/>
                <w:sz w:val="21"/>
                <w:szCs w:val="21"/>
                <w:highlight w:val="none"/>
                <w:lang w:eastAsia="zh-CN"/>
                <w14:textFill>
                  <w14:solidFill>
                    <w14:schemeClr w14:val="tx1"/>
                  </w14:solidFill>
                </w14:textFill>
              </w:rPr>
              <w:t>指前污水处理厂</w:t>
            </w:r>
            <w:r>
              <w:rPr>
                <w:rFonts w:ascii="Times New Roman" w:hAnsi="Times New Roman" w:eastAsia="宋体" w:cs="宋体"/>
                <w:color w:val="000000" w:themeColor="text1"/>
                <w:sz w:val="21"/>
                <w:szCs w:val="21"/>
                <w:highlight w:val="none"/>
                <w14:textFill>
                  <w14:solidFill>
                    <w14:schemeClr w14:val="tx1"/>
                  </w14:solidFill>
                </w14:textFill>
              </w:rPr>
              <w:t>进水水质要求</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即《污水排入城镇下水道水质标准》（GB/T31962-2015）表1中</w:t>
            </w:r>
            <w:r>
              <w:rPr>
                <w:rFonts w:hint="eastAsia" w:ascii="Times New Roman" w:hAnsi="Times New Roman" w:eastAsia="宋体" w:cs="宋体"/>
                <w:color w:val="000000" w:themeColor="text1"/>
                <w:kern w:val="0"/>
                <w:sz w:val="21"/>
                <w:szCs w:val="21"/>
                <w:highlight w:val="none"/>
                <w14:textFill>
                  <w14:solidFill>
                    <w14:schemeClr w14:val="tx1"/>
                  </w14:solidFill>
                </w14:textFill>
              </w:rPr>
              <w:t>B</w:t>
            </w:r>
            <w:r>
              <w:rPr>
                <w:rFonts w:ascii="Times New Roman" w:hAnsi="Times New Roman" w:eastAsia="宋体" w:cs="宋体"/>
                <w:color w:val="000000" w:themeColor="text1"/>
                <w:kern w:val="0"/>
                <w:sz w:val="21"/>
                <w:szCs w:val="21"/>
                <w:highlight w:val="none"/>
                <w14:textFill>
                  <w14:solidFill>
                    <w14:schemeClr w14:val="tx1"/>
                  </w14:solidFill>
                </w14:textFill>
              </w:rPr>
              <w:t>等级标准</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尾水排放至</w:t>
            </w:r>
            <w:r>
              <w:rPr>
                <w:rFonts w:hint="eastAsia" w:cs="宋体"/>
                <w:color w:val="000000" w:themeColor="text1"/>
                <w:kern w:val="0"/>
                <w:sz w:val="21"/>
                <w:szCs w:val="21"/>
                <w:highlight w:val="none"/>
                <w:lang w:eastAsia="zh-CN"/>
                <w14:textFill>
                  <w14:solidFill>
                    <w14:schemeClr w14:val="tx1"/>
                  </w14:solidFill>
                </w14:textFill>
              </w:rPr>
              <w:t>丹金溧漕河</w:t>
            </w:r>
            <w:r>
              <w:rPr>
                <w:rFonts w:ascii="Times New Roman" w:hAnsi="Times New Roman" w:eastAsia="宋体" w:cs="宋体"/>
                <w:color w:val="000000" w:themeColor="text1"/>
                <w:kern w:val="0"/>
                <w:sz w:val="21"/>
                <w:szCs w:val="21"/>
                <w:highlight w:val="none"/>
                <w14:textFill>
                  <w14:solidFill>
                    <w14:schemeClr w14:val="tx1"/>
                  </w14:solidFill>
                </w14:textFill>
              </w:rPr>
              <w:t>，排放执行《太湖地区城镇污水处理厂及重点工业行业主要水污染物排放限值》（DB32/1072-2018）表2中</w:t>
            </w:r>
            <w:r>
              <w:rPr>
                <w:rFonts w:ascii="Times New Roman" w:hAnsi="Times New Roman" w:eastAsia="宋体" w:cs="宋体"/>
                <w:color w:val="000000" w:themeColor="text1"/>
                <w:sz w:val="21"/>
                <w:szCs w:val="21"/>
                <w:highlight w:val="none"/>
                <w14:textFill>
                  <w14:solidFill>
                    <w14:schemeClr w14:val="tx1"/>
                  </w14:solidFill>
                </w14:textFill>
              </w:rPr>
              <w:t>标准</w:t>
            </w:r>
            <w:r>
              <w:rPr>
                <w:rFonts w:ascii="Times New Roman" w:hAnsi="Times New Roman" w:eastAsia="宋体" w:cs="宋体"/>
                <w:color w:val="000000" w:themeColor="text1"/>
                <w:kern w:val="0"/>
                <w:sz w:val="21"/>
                <w:szCs w:val="21"/>
                <w:highlight w:val="none"/>
                <w14:textFill>
                  <w14:solidFill>
                    <w14:schemeClr w14:val="tx1"/>
                  </w14:solidFill>
                </w14:textFill>
              </w:rPr>
              <w:t>和《城镇污水处理厂污染物排放标准》（GB18918-2002）中一级A标准。</w:t>
            </w:r>
          </w:p>
          <w:p w14:paraId="05D6D697">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此外，根据最新发布的《城镇污水处理厂污染物排放标准》</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DB32/4440-2022</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2022.12.28发布，2023.3.28实施</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中内容，本项目生活污水拟接管的</w:t>
            </w:r>
            <w:r>
              <w:rPr>
                <w:rFonts w:hint="eastAsia" w:cs="宋体"/>
                <w:color w:val="000000" w:themeColor="text1"/>
                <w:sz w:val="21"/>
                <w:szCs w:val="21"/>
                <w:highlight w:val="none"/>
                <w:lang w:val="en-US" w:eastAsia="zh-CN"/>
                <w14:textFill>
                  <w14:solidFill>
                    <w14:schemeClr w14:val="tx1"/>
                  </w14:solidFill>
                </w14:textFill>
              </w:rPr>
              <w:t>指前污水处理厂</w:t>
            </w:r>
            <w:r>
              <w:rPr>
                <w:rFonts w:hint="eastAsia" w:ascii="Times New Roman" w:hAnsi="Times New Roman" w:eastAsia="宋体" w:cs="宋体"/>
                <w:color w:val="000000" w:themeColor="text1"/>
                <w:sz w:val="21"/>
                <w:szCs w:val="21"/>
                <w:highlight w:val="none"/>
                <w14:textFill>
                  <w14:solidFill>
                    <w14:schemeClr w14:val="tx1"/>
                  </w14:solidFill>
                </w14:textFill>
              </w:rPr>
              <w:t>排污口位于</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一般区域</w:t>
            </w:r>
            <w:r>
              <w:rPr>
                <w:rFonts w:hint="eastAsia" w:ascii="Times New Roman" w:hAnsi="Times New Roman" w:eastAsia="宋体" w:cs="宋体"/>
                <w:color w:val="000000" w:themeColor="text1"/>
                <w:sz w:val="21"/>
                <w:szCs w:val="21"/>
                <w:highlight w:val="none"/>
                <w14:textFill>
                  <w14:solidFill>
                    <w14:schemeClr w14:val="tx1"/>
                  </w14:solidFill>
                </w14:textFill>
              </w:rPr>
              <w:t>，执行其中</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C</w:t>
            </w:r>
            <w:r>
              <w:rPr>
                <w:rFonts w:hint="eastAsia" w:ascii="Times New Roman" w:hAnsi="Times New Roman" w:eastAsia="宋体" w:cs="宋体"/>
                <w:color w:val="000000" w:themeColor="text1"/>
                <w:sz w:val="21"/>
                <w:szCs w:val="21"/>
                <w:highlight w:val="none"/>
                <w14:textFill>
                  <w14:solidFill>
                    <w14:schemeClr w14:val="tx1"/>
                  </w14:solidFill>
                </w14:textFill>
              </w:rPr>
              <w:t>标准</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且根据标准7.1执行时间中的“7.1.2现有城镇污水处理厂自本文件实施之日起3年后执行”，因此自2026年3月28日起，本项目生活污水经</w:t>
            </w:r>
            <w:r>
              <w:rPr>
                <w:rFonts w:hint="eastAsia" w:cs="宋体"/>
                <w:color w:val="000000" w:themeColor="text1"/>
                <w:sz w:val="21"/>
                <w:szCs w:val="21"/>
                <w:highlight w:val="none"/>
                <w:lang w:val="en-US" w:eastAsia="zh-CN"/>
                <w14:textFill>
                  <w14:solidFill>
                    <w14:schemeClr w14:val="tx1"/>
                  </w14:solidFill>
                </w14:textFill>
              </w:rPr>
              <w:t>指前污水处理厂</w:t>
            </w:r>
            <w:r>
              <w:rPr>
                <w:rFonts w:hint="eastAsia" w:ascii="Times New Roman" w:hAnsi="Times New Roman" w:eastAsia="宋体" w:cs="宋体"/>
                <w:color w:val="000000" w:themeColor="text1"/>
                <w:sz w:val="21"/>
                <w:szCs w:val="21"/>
                <w:highlight w:val="none"/>
                <w14:textFill>
                  <w14:solidFill>
                    <w14:schemeClr w14:val="tx1"/>
                  </w14:solidFill>
                </w14:textFill>
              </w:rPr>
              <w:t>集中处理后尾水的排放标准执行《城镇污水处理厂污染物排放标准》</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DB32/4440-2022</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表1和表2中C等级标准。</w:t>
            </w:r>
          </w:p>
          <w:p w14:paraId="1D15B5F2">
            <w:pPr>
              <w:tabs>
                <w:tab w:val="left" w:pos="960"/>
              </w:tabs>
              <w:spacing w:beforeLines="50"/>
              <w:jc w:val="center"/>
              <w:rPr>
                <w:rFonts w:ascii="Times New Roman" w:hAnsi="Times New Roman" w:eastAsia="宋体" w:cs="宋体"/>
                <w:b/>
                <w:bCs/>
                <w:color w:val="000000" w:themeColor="text1"/>
                <w:spacing w:val="-4"/>
                <w:szCs w:val="21"/>
                <w:highlight w:val="none"/>
                <w14:textFill>
                  <w14:solidFill>
                    <w14:schemeClr w14:val="tx1"/>
                  </w14:solidFill>
                </w14:textFill>
              </w:rPr>
            </w:pPr>
            <w:r>
              <w:rPr>
                <w:rFonts w:ascii="Times New Roman" w:hAnsi="Times New Roman" w:eastAsia="宋体" w:cs="宋体"/>
                <w:b/>
                <w:bCs/>
                <w:color w:val="000000" w:themeColor="text1"/>
                <w:spacing w:val="-4"/>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Cs w:val="21"/>
                <w:highlight w:val="none"/>
                <w14:textFill>
                  <w14:solidFill>
                    <w14:schemeClr w14:val="tx1"/>
                  </w14:solidFill>
                </w14:textFill>
              </w:rPr>
              <w:t>3</w:t>
            </w:r>
            <w:r>
              <w:rPr>
                <w:rFonts w:hint="eastAsia" w:cs="宋体"/>
                <w:b/>
                <w:bCs/>
                <w:color w:val="000000" w:themeColor="text1"/>
                <w:spacing w:val="-4"/>
                <w:szCs w:val="21"/>
                <w:highlight w:val="none"/>
                <w:lang w:val="en-US" w:eastAsia="zh-CN"/>
                <w14:textFill>
                  <w14:solidFill>
                    <w14:schemeClr w14:val="tx1"/>
                  </w14:solidFill>
                </w14:textFill>
              </w:rPr>
              <w:t>-7</w:t>
            </w:r>
            <w:r>
              <w:rPr>
                <w:rFonts w:ascii="Times New Roman" w:hAnsi="Times New Roman" w:eastAsia="宋体" w:cs="宋体"/>
                <w:b/>
                <w:bCs/>
                <w:color w:val="000000" w:themeColor="text1"/>
                <w:spacing w:val="-4"/>
                <w:szCs w:val="21"/>
                <w:highlight w:val="none"/>
                <w14:textFill>
                  <w14:solidFill>
                    <w14:schemeClr w14:val="tx1"/>
                  </w14:solidFill>
                </w14:textFill>
              </w:rPr>
              <w:t xml:space="preserve">  水污染物排放标准  单位：mg/L，</w:t>
            </w:r>
            <w:r>
              <w:rPr>
                <w:rFonts w:hint="eastAsia" w:ascii="Times New Roman" w:hAnsi="Times New Roman" w:eastAsia="宋体" w:cs="宋体"/>
                <w:b/>
                <w:bCs/>
                <w:color w:val="000000" w:themeColor="text1"/>
                <w:spacing w:val="-4"/>
                <w:szCs w:val="21"/>
                <w:highlight w:val="none"/>
                <w14:textFill>
                  <w14:solidFill>
                    <w14:schemeClr w14:val="tx1"/>
                  </w14:solidFill>
                </w14:textFill>
              </w:rPr>
              <w:t>pH值</w:t>
            </w:r>
            <w:r>
              <w:rPr>
                <w:rFonts w:ascii="Times New Roman" w:hAnsi="Times New Roman" w:eastAsia="宋体" w:cs="宋体"/>
                <w:b/>
                <w:bCs/>
                <w:color w:val="000000" w:themeColor="text1"/>
                <w:spacing w:val="-4"/>
                <w:szCs w:val="21"/>
                <w:highlight w:val="none"/>
                <w14:textFill>
                  <w14:solidFill>
                    <w14:schemeClr w14:val="tx1"/>
                  </w14:solidFill>
                </w14:textFill>
              </w:rPr>
              <w:t>无量纲</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213"/>
              <w:gridCol w:w="1821"/>
              <w:gridCol w:w="1519"/>
              <w:gridCol w:w="3858"/>
            </w:tblGrid>
            <w:tr w14:paraId="314177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Align w:val="center"/>
                </w:tcPr>
                <w:p w14:paraId="7C39C5AA">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标准</w:t>
                  </w:r>
                </w:p>
              </w:tc>
              <w:tc>
                <w:tcPr>
                  <w:tcW w:w="1082" w:type="pct"/>
                  <w:vAlign w:val="center"/>
                </w:tcPr>
                <w:p w14:paraId="7F8E2522">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项目</w:t>
                  </w:r>
                </w:p>
              </w:tc>
              <w:tc>
                <w:tcPr>
                  <w:tcW w:w="902" w:type="pct"/>
                  <w:vAlign w:val="center"/>
                </w:tcPr>
                <w:p w14:paraId="6007B5A0">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浓度限值</w:t>
                  </w:r>
                </w:p>
              </w:tc>
              <w:tc>
                <w:tcPr>
                  <w:tcW w:w="2293" w:type="pct"/>
                  <w:vAlign w:val="center"/>
                </w:tcPr>
                <w:p w14:paraId="566EDB89">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依据</w:t>
                  </w:r>
                </w:p>
              </w:tc>
            </w:tr>
            <w:tr w14:paraId="4E42B0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restart"/>
                  <w:vAlign w:val="center"/>
                </w:tcPr>
                <w:p w14:paraId="76A32997">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接管标准</w:t>
                  </w:r>
                </w:p>
              </w:tc>
              <w:tc>
                <w:tcPr>
                  <w:tcW w:w="1082" w:type="pct"/>
                  <w:vAlign w:val="center"/>
                </w:tcPr>
                <w:p w14:paraId="794F9F8F">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pH值</w:t>
                  </w:r>
                </w:p>
              </w:tc>
              <w:tc>
                <w:tcPr>
                  <w:tcW w:w="902" w:type="pct"/>
                  <w:vAlign w:val="center"/>
                </w:tcPr>
                <w:p w14:paraId="3DEC38DD">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6</w:t>
                  </w:r>
                  <w:r>
                    <w:rPr>
                      <w:rFonts w:hint="eastAsia" w:cs="宋体"/>
                      <w:color w:val="000000" w:themeColor="text1"/>
                      <w:szCs w:val="21"/>
                      <w:highlight w:val="none"/>
                      <w:lang w:val="en-US" w:eastAsia="zh-CN"/>
                      <w14:textFill>
                        <w14:solidFill>
                          <w14:schemeClr w14:val="tx1"/>
                        </w14:solidFill>
                      </w14:textFill>
                    </w:rPr>
                    <w:t>.5</w:t>
                  </w:r>
                  <w:r>
                    <w:rPr>
                      <w:rFonts w:ascii="Times New Roman" w:hAnsi="Times New Roman" w:eastAsia="宋体" w:cs="宋体"/>
                      <w:color w:val="000000" w:themeColor="text1"/>
                      <w:szCs w:val="21"/>
                      <w:highlight w:val="none"/>
                      <w14:textFill>
                        <w14:solidFill>
                          <w14:schemeClr w14:val="tx1"/>
                        </w14:solidFill>
                      </w14:textFill>
                    </w:rPr>
                    <w:t>~9</w:t>
                  </w:r>
                  <w:r>
                    <w:rPr>
                      <w:rFonts w:hint="eastAsia" w:cs="宋体"/>
                      <w:color w:val="000000" w:themeColor="text1"/>
                      <w:szCs w:val="21"/>
                      <w:highlight w:val="none"/>
                      <w:lang w:val="en-US" w:eastAsia="zh-CN"/>
                      <w14:textFill>
                        <w14:solidFill>
                          <w14:schemeClr w14:val="tx1"/>
                        </w14:solidFill>
                      </w14:textFill>
                    </w:rPr>
                    <w:t>.5</w:t>
                  </w:r>
                </w:p>
              </w:tc>
              <w:tc>
                <w:tcPr>
                  <w:tcW w:w="2293" w:type="pct"/>
                  <w:vMerge w:val="restart"/>
                  <w:vAlign w:val="center"/>
                </w:tcPr>
                <w:p w14:paraId="09665532">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kern w:val="0"/>
                      <w:szCs w:val="21"/>
                      <w:highlight w:val="none"/>
                      <w14:textFill>
                        <w14:solidFill>
                          <w14:schemeClr w14:val="tx1"/>
                        </w14:solidFill>
                      </w14:textFill>
                    </w:rPr>
                    <w:t>《污水排入城镇下水道水质标准》（GB/T31962-2015）表1中</w:t>
                  </w:r>
                  <w:r>
                    <w:rPr>
                      <w:rFonts w:hint="eastAsia" w:ascii="Times New Roman" w:hAnsi="Times New Roman" w:eastAsia="宋体" w:cs="宋体"/>
                      <w:color w:val="000000" w:themeColor="text1"/>
                      <w:kern w:val="0"/>
                      <w:szCs w:val="21"/>
                      <w:highlight w:val="none"/>
                      <w14:textFill>
                        <w14:solidFill>
                          <w14:schemeClr w14:val="tx1"/>
                        </w14:solidFill>
                      </w14:textFill>
                    </w:rPr>
                    <w:t>B</w:t>
                  </w:r>
                  <w:r>
                    <w:rPr>
                      <w:rFonts w:ascii="Times New Roman" w:hAnsi="Times New Roman" w:eastAsia="宋体" w:cs="宋体"/>
                      <w:color w:val="000000" w:themeColor="text1"/>
                      <w:kern w:val="0"/>
                      <w:szCs w:val="21"/>
                      <w:highlight w:val="none"/>
                      <w14:textFill>
                        <w14:solidFill>
                          <w14:schemeClr w14:val="tx1"/>
                        </w14:solidFill>
                      </w14:textFill>
                    </w:rPr>
                    <w:t>等级标准</w:t>
                  </w:r>
                </w:p>
              </w:tc>
            </w:tr>
            <w:tr w14:paraId="48985A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1988B2BD">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1F5FF7C3">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化学需氧量</w:t>
                  </w:r>
                </w:p>
              </w:tc>
              <w:tc>
                <w:tcPr>
                  <w:tcW w:w="902" w:type="pct"/>
                  <w:vAlign w:val="center"/>
                </w:tcPr>
                <w:p w14:paraId="50A9B68D">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500</w:t>
                  </w:r>
                </w:p>
              </w:tc>
              <w:tc>
                <w:tcPr>
                  <w:tcW w:w="2293" w:type="pct"/>
                  <w:vMerge w:val="continue"/>
                  <w:vAlign w:val="center"/>
                </w:tcPr>
                <w:p w14:paraId="73DF7832">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551A07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72159103">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1FA475C4">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生化需氧量</w:t>
                  </w:r>
                </w:p>
              </w:tc>
              <w:tc>
                <w:tcPr>
                  <w:tcW w:w="902" w:type="pct"/>
                  <w:vAlign w:val="center"/>
                </w:tcPr>
                <w:p w14:paraId="6DBECDDB">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350</w:t>
                  </w:r>
                </w:p>
              </w:tc>
              <w:tc>
                <w:tcPr>
                  <w:tcW w:w="2293" w:type="pct"/>
                  <w:vMerge w:val="continue"/>
                  <w:vAlign w:val="center"/>
                </w:tcPr>
                <w:p w14:paraId="05EE1D86">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4C6E49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5EA56207">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7965EA0E">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悬浮物</w:t>
                  </w:r>
                </w:p>
              </w:tc>
              <w:tc>
                <w:tcPr>
                  <w:tcW w:w="902" w:type="pct"/>
                  <w:vAlign w:val="center"/>
                </w:tcPr>
                <w:p w14:paraId="01ED0492">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400</w:t>
                  </w:r>
                </w:p>
              </w:tc>
              <w:tc>
                <w:tcPr>
                  <w:tcW w:w="2293" w:type="pct"/>
                  <w:vMerge w:val="continue"/>
                  <w:vAlign w:val="center"/>
                </w:tcPr>
                <w:p w14:paraId="2B05F5A0">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68D5069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0FB19015">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47968C76">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氨氮</w:t>
                  </w:r>
                </w:p>
              </w:tc>
              <w:tc>
                <w:tcPr>
                  <w:tcW w:w="902" w:type="pct"/>
                  <w:vAlign w:val="center"/>
                </w:tcPr>
                <w:p w14:paraId="437AA324">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45</w:t>
                  </w:r>
                </w:p>
              </w:tc>
              <w:tc>
                <w:tcPr>
                  <w:tcW w:w="2293" w:type="pct"/>
                  <w:vMerge w:val="continue"/>
                  <w:vAlign w:val="center"/>
                </w:tcPr>
                <w:p w14:paraId="19E90254">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133DDA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5C92F0B9">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shd w:val="clear" w:color="auto" w:fill="auto"/>
                  <w:vAlign w:val="center"/>
                </w:tcPr>
                <w:p w14:paraId="6FE3C594">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动植物油</w:t>
                  </w:r>
                </w:p>
              </w:tc>
              <w:tc>
                <w:tcPr>
                  <w:tcW w:w="902" w:type="pct"/>
                  <w:shd w:val="clear" w:color="auto" w:fill="auto"/>
                  <w:vAlign w:val="center"/>
                </w:tcPr>
                <w:p w14:paraId="4275E263">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100</w:t>
                  </w:r>
                </w:p>
              </w:tc>
              <w:tc>
                <w:tcPr>
                  <w:tcW w:w="2293" w:type="pct"/>
                  <w:vMerge w:val="continue"/>
                  <w:vAlign w:val="center"/>
                </w:tcPr>
                <w:p w14:paraId="753074E5">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2EAC2D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661F38A7">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shd w:val="clear" w:color="auto" w:fill="auto"/>
                  <w:vAlign w:val="center"/>
                </w:tcPr>
                <w:p w14:paraId="35A9A2B5">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总磷</w:t>
                  </w:r>
                </w:p>
              </w:tc>
              <w:tc>
                <w:tcPr>
                  <w:tcW w:w="902" w:type="pct"/>
                  <w:shd w:val="clear" w:color="auto" w:fill="auto"/>
                  <w:vAlign w:val="center"/>
                </w:tcPr>
                <w:p w14:paraId="44F88A1F">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8</w:t>
                  </w:r>
                </w:p>
              </w:tc>
              <w:tc>
                <w:tcPr>
                  <w:tcW w:w="2293" w:type="pct"/>
                  <w:vMerge w:val="continue"/>
                  <w:vAlign w:val="center"/>
                </w:tcPr>
                <w:p w14:paraId="16E5DC97">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163A519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27165D50">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shd w:val="clear" w:color="auto" w:fill="auto"/>
                  <w:vAlign w:val="center"/>
                </w:tcPr>
                <w:p w14:paraId="1D022CD2">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总氮</w:t>
                  </w:r>
                </w:p>
              </w:tc>
              <w:tc>
                <w:tcPr>
                  <w:tcW w:w="902" w:type="pct"/>
                  <w:shd w:val="clear" w:color="auto" w:fill="auto"/>
                  <w:vAlign w:val="center"/>
                </w:tcPr>
                <w:p w14:paraId="268D5CF4">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70</w:t>
                  </w:r>
                </w:p>
              </w:tc>
              <w:tc>
                <w:tcPr>
                  <w:tcW w:w="2293" w:type="pct"/>
                  <w:vMerge w:val="continue"/>
                  <w:vAlign w:val="center"/>
                </w:tcPr>
                <w:p w14:paraId="275627B1">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6282BE8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restart"/>
                  <w:vAlign w:val="center"/>
                </w:tcPr>
                <w:p w14:paraId="746B3203">
                  <w:pPr>
                    <w:snapToGrid w:val="0"/>
                    <w:jc w:val="center"/>
                    <w:rPr>
                      <w:rStyle w:val="29"/>
                      <w:rFonts w:ascii="Times New Roman" w:hAnsi="Times New Roman" w:eastAsia="宋体" w:cs="宋体"/>
                      <w:color w:val="000000" w:themeColor="text1"/>
                      <w:szCs w:val="21"/>
                      <w:highlight w:val="none"/>
                      <w14:textFill>
                        <w14:solidFill>
                          <w14:schemeClr w14:val="tx1"/>
                        </w14:solidFill>
                      </w14:textFill>
                    </w:rPr>
                  </w:pPr>
                  <w:r>
                    <w:rPr>
                      <w:rStyle w:val="29"/>
                      <w:rFonts w:ascii="Times New Roman" w:hAnsi="Times New Roman" w:eastAsia="宋体" w:cs="宋体"/>
                      <w:color w:val="000000" w:themeColor="text1"/>
                      <w:szCs w:val="21"/>
                      <w:highlight w:val="none"/>
                      <w14:textFill>
                        <w14:solidFill>
                          <w14:schemeClr w14:val="tx1"/>
                        </w14:solidFill>
                      </w14:textFill>
                    </w:rPr>
                    <w:t>尾水最终</w:t>
                  </w:r>
                </w:p>
                <w:p w14:paraId="53DAD434">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Style w:val="29"/>
                      <w:rFonts w:ascii="Times New Roman" w:hAnsi="Times New Roman" w:eastAsia="宋体" w:cs="宋体"/>
                      <w:color w:val="000000" w:themeColor="text1"/>
                      <w:szCs w:val="21"/>
                      <w:highlight w:val="none"/>
                      <w14:textFill>
                        <w14:solidFill>
                          <w14:schemeClr w14:val="tx1"/>
                        </w14:solidFill>
                      </w14:textFill>
                    </w:rPr>
                    <w:t>排放</w:t>
                  </w:r>
                  <w:r>
                    <w:rPr>
                      <w:rFonts w:ascii="Times New Roman" w:hAnsi="Times New Roman" w:eastAsia="宋体" w:cs="宋体"/>
                      <w:color w:val="000000" w:themeColor="text1"/>
                      <w:szCs w:val="21"/>
                      <w:highlight w:val="none"/>
                      <w14:textFill>
                        <w14:solidFill>
                          <w14:schemeClr w14:val="tx1"/>
                        </w14:solidFill>
                      </w14:textFill>
                    </w:rPr>
                    <w:t>标准</w:t>
                  </w:r>
                </w:p>
              </w:tc>
              <w:tc>
                <w:tcPr>
                  <w:tcW w:w="1082" w:type="pct"/>
                  <w:vAlign w:val="center"/>
                </w:tcPr>
                <w:p w14:paraId="567DCF0C">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pH值</w:t>
                  </w:r>
                </w:p>
              </w:tc>
              <w:tc>
                <w:tcPr>
                  <w:tcW w:w="902" w:type="pct"/>
                  <w:vAlign w:val="center"/>
                </w:tcPr>
                <w:p w14:paraId="5CDFA25A">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6~9</w:t>
                  </w:r>
                </w:p>
              </w:tc>
              <w:tc>
                <w:tcPr>
                  <w:tcW w:w="2293" w:type="pct"/>
                  <w:vMerge w:val="restart"/>
                  <w:vAlign w:val="center"/>
                </w:tcPr>
                <w:p w14:paraId="516D88F2">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kern w:val="0"/>
                      <w:szCs w:val="21"/>
                      <w:highlight w:val="none"/>
                      <w14:textFill>
                        <w14:solidFill>
                          <w14:schemeClr w14:val="tx1"/>
                        </w14:solidFill>
                      </w14:textFill>
                    </w:rPr>
                    <w:t>《城镇污水处理厂污染物排放标准》（GB18918-2002）中一级A标准</w:t>
                  </w:r>
                </w:p>
              </w:tc>
            </w:tr>
            <w:tr w14:paraId="6CEC68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54EDE961">
                  <w:pPr>
                    <w:snapToGrid w:val="0"/>
                    <w:jc w:val="center"/>
                    <w:rPr>
                      <w:rStyle w:val="29"/>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00269121">
                  <w:pPr>
                    <w:snapToGrid w:val="0"/>
                    <w:jc w:val="center"/>
                    <w:rPr>
                      <w:rFonts w:hint="eastAsia" w:ascii="Times New Roman" w:hAnsi="Times New Roman" w:eastAsia="宋体" w:cs="宋体"/>
                      <w:color w:val="000000" w:themeColor="text1"/>
                      <w:szCs w:val="21"/>
                      <w:highlight w:val="none"/>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生化需氧量</w:t>
                  </w:r>
                </w:p>
              </w:tc>
              <w:tc>
                <w:tcPr>
                  <w:tcW w:w="902" w:type="pct"/>
                  <w:vAlign w:val="center"/>
                </w:tcPr>
                <w:p w14:paraId="2E90ECD2">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10</w:t>
                  </w:r>
                </w:p>
              </w:tc>
              <w:tc>
                <w:tcPr>
                  <w:tcW w:w="2293" w:type="pct"/>
                  <w:vMerge w:val="continue"/>
                  <w:vAlign w:val="center"/>
                </w:tcPr>
                <w:p w14:paraId="54AE60E1">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p>
              </w:tc>
            </w:tr>
            <w:tr w14:paraId="64D5B1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0BB9670C">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78321CF2">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悬浮物</w:t>
                  </w:r>
                </w:p>
              </w:tc>
              <w:tc>
                <w:tcPr>
                  <w:tcW w:w="902" w:type="pct"/>
                  <w:vAlign w:val="center"/>
                </w:tcPr>
                <w:p w14:paraId="38734D1B">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10</w:t>
                  </w:r>
                </w:p>
              </w:tc>
              <w:tc>
                <w:tcPr>
                  <w:tcW w:w="2293" w:type="pct"/>
                  <w:vMerge w:val="continue"/>
                  <w:vAlign w:val="center"/>
                </w:tcPr>
                <w:p w14:paraId="4422FDA3">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6AFC9E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5A01E1C7">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0CEDABEB">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动植物油</w:t>
                  </w:r>
                </w:p>
              </w:tc>
              <w:tc>
                <w:tcPr>
                  <w:tcW w:w="902" w:type="pct"/>
                  <w:vAlign w:val="center"/>
                </w:tcPr>
                <w:p w14:paraId="1373BA92">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1</w:t>
                  </w:r>
                </w:p>
              </w:tc>
              <w:tc>
                <w:tcPr>
                  <w:tcW w:w="2293" w:type="pct"/>
                  <w:vMerge w:val="continue"/>
                  <w:vAlign w:val="center"/>
                </w:tcPr>
                <w:p w14:paraId="7E62C5B6">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2B1694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7F0886E0">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0E5686B0">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化学需氧量</w:t>
                  </w:r>
                </w:p>
              </w:tc>
              <w:tc>
                <w:tcPr>
                  <w:tcW w:w="902" w:type="pct"/>
                  <w:vAlign w:val="center"/>
                </w:tcPr>
                <w:p w14:paraId="3E36304F">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50</w:t>
                  </w:r>
                </w:p>
              </w:tc>
              <w:tc>
                <w:tcPr>
                  <w:tcW w:w="2293" w:type="pct"/>
                  <w:vMerge w:val="restart"/>
                  <w:vAlign w:val="center"/>
                </w:tcPr>
                <w:p w14:paraId="758A32C9">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r>
                    <w:rPr>
                      <w:rFonts w:ascii="Times New Roman" w:hAnsi="Times New Roman" w:eastAsia="宋体" w:cs="宋体"/>
                      <w:color w:val="000000" w:themeColor="text1"/>
                      <w:kern w:val="0"/>
                      <w:szCs w:val="21"/>
                      <w:highlight w:val="none"/>
                      <w14:textFill>
                        <w14:solidFill>
                          <w14:schemeClr w14:val="tx1"/>
                        </w14:solidFill>
                      </w14:textFill>
                    </w:rPr>
                    <w:t>《太湖地区城镇污水处理厂及重点工业行业主要水污染物排放限值》（DB32/1072-2018）表2中标准</w:t>
                  </w:r>
                </w:p>
              </w:tc>
            </w:tr>
            <w:tr w14:paraId="4B3489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350ECDA4">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3D3604AC">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氨氮</w:t>
                  </w:r>
                </w:p>
              </w:tc>
              <w:tc>
                <w:tcPr>
                  <w:tcW w:w="902" w:type="pct"/>
                  <w:vAlign w:val="center"/>
                </w:tcPr>
                <w:p w14:paraId="2E3A20A6">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4（6）*</w:t>
                  </w:r>
                </w:p>
              </w:tc>
              <w:tc>
                <w:tcPr>
                  <w:tcW w:w="2293" w:type="pct"/>
                  <w:vMerge w:val="continue"/>
                  <w:vAlign w:val="center"/>
                </w:tcPr>
                <w:p w14:paraId="7316ABAC">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3D8B71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1E05D1A5">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06D89796">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总磷</w:t>
                  </w:r>
                </w:p>
              </w:tc>
              <w:tc>
                <w:tcPr>
                  <w:tcW w:w="902" w:type="pct"/>
                  <w:vAlign w:val="center"/>
                </w:tcPr>
                <w:p w14:paraId="636C2BAF">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0.5</w:t>
                  </w:r>
                </w:p>
              </w:tc>
              <w:tc>
                <w:tcPr>
                  <w:tcW w:w="2293" w:type="pct"/>
                  <w:vMerge w:val="continue"/>
                  <w:vAlign w:val="center"/>
                </w:tcPr>
                <w:p w14:paraId="004D579C">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128E95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21" w:type="pct"/>
                  <w:vMerge w:val="continue"/>
                  <w:vAlign w:val="center"/>
                </w:tcPr>
                <w:p w14:paraId="212CECFE">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c>
                <w:tcPr>
                  <w:tcW w:w="1082" w:type="pct"/>
                  <w:vAlign w:val="center"/>
                </w:tcPr>
                <w:p w14:paraId="38BF5699">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总氮</w:t>
                  </w:r>
                </w:p>
              </w:tc>
              <w:tc>
                <w:tcPr>
                  <w:tcW w:w="902" w:type="pct"/>
                  <w:vAlign w:val="center"/>
                </w:tcPr>
                <w:p w14:paraId="7DFCEA7B">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12（15）*</w:t>
                  </w:r>
                </w:p>
              </w:tc>
              <w:tc>
                <w:tcPr>
                  <w:tcW w:w="2293" w:type="pct"/>
                  <w:vMerge w:val="continue"/>
                  <w:vAlign w:val="center"/>
                </w:tcPr>
                <w:p w14:paraId="0537CAF2">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bl>
          <w:p w14:paraId="341E43C4">
            <w:pPr>
              <w:spacing w:line="360" w:lineRule="auto"/>
              <w:ind w:firstLine="360" w:firstLineChars="200"/>
              <w:rPr>
                <w:rFonts w:ascii="Times New Roman" w:hAnsi="Times New Roman" w:eastAsia="宋体" w:cs="宋体"/>
                <w:color w:val="000000" w:themeColor="text1"/>
                <w:sz w:val="18"/>
                <w:szCs w:val="21"/>
                <w:highlight w:val="none"/>
                <w14:textFill>
                  <w14:solidFill>
                    <w14:schemeClr w14:val="tx1"/>
                  </w14:solidFill>
                </w14:textFill>
              </w:rPr>
            </w:pPr>
            <w:r>
              <w:rPr>
                <w:rFonts w:ascii="Times New Roman" w:hAnsi="Times New Roman" w:eastAsia="宋体" w:cs="宋体"/>
                <w:color w:val="000000" w:themeColor="text1"/>
                <w:sz w:val="18"/>
                <w:szCs w:val="21"/>
                <w:highlight w:val="none"/>
                <w14:textFill>
                  <w14:solidFill>
                    <w14:schemeClr w14:val="tx1"/>
                  </w14:solidFill>
                </w14:textFill>
              </w:rPr>
              <w:t>注：</w:t>
            </w:r>
            <w:r>
              <w:rPr>
                <w:rFonts w:ascii="Times New Roman" w:hAnsi="Times New Roman" w:eastAsia="宋体" w:cs="宋体"/>
                <w:color w:val="000000" w:themeColor="text1"/>
                <w:sz w:val="18"/>
                <w:szCs w:val="18"/>
                <w:highlight w:val="none"/>
                <w14:textFill>
                  <w14:solidFill>
                    <w14:schemeClr w14:val="tx1"/>
                  </w14:solidFill>
                </w14:textFill>
              </w:rPr>
              <w:t>括号外数值为水温＞12</w:t>
            </w:r>
            <w:r>
              <w:rPr>
                <w:rFonts w:hint="eastAsia" w:ascii="Times New Roman" w:hAnsi="Times New Roman" w:eastAsia="宋体" w:cs="宋体"/>
                <w:color w:val="000000" w:themeColor="text1"/>
                <w:sz w:val="18"/>
                <w:szCs w:val="18"/>
                <w:highlight w:val="none"/>
                <w14:textFill>
                  <w14:solidFill>
                    <w14:schemeClr w14:val="tx1"/>
                  </w14:solidFill>
                </w14:textFill>
              </w:rPr>
              <w:t>℃</w:t>
            </w:r>
            <w:r>
              <w:rPr>
                <w:rFonts w:ascii="Times New Roman" w:hAnsi="Times New Roman" w:eastAsia="宋体" w:cs="宋体"/>
                <w:color w:val="000000" w:themeColor="text1"/>
                <w:sz w:val="18"/>
                <w:szCs w:val="18"/>
                <w:highlight w:val="none"/>
                <w14:textFill>
                  <w14:solidFill>
                    <w14:schemeClr w14:val="tx1"/>
                  </w14:solidFill>
                </w14:textFill>
              </w:rPr>
              <w:t>时的控制指标，括号内数值为水温≤12</w:t>
            </w:r>
            <w:r>
              <w:rPr>
                <w:rFonts w:hint="eastAsia" w:ascii="Times New Roman" w:hAnsi="Times New Roman" w:eastAsia="宋体" w:cs="宋体"/>
                <w:color w:val="000000" w:themeColor="text1"/>
                <w:sz w:val="18"/>
                <w:szCs w:val="18"/>
                <w:highlight w:val="none"/>
                <w14:textFill>
                  <w14:solidFill>
                    <w14:schemeClr w14:val="tx1"/>
                  </w14:solidFill>
                </w14:textFill>
              </w:rPr>
              <w:t>℃</w:t>
            </w:r>
            <w:r>
              <w:rPr>
                <w:rFonts w:ascii="Times New Roman" w:hAnsi="Times New Roman" w:eastAsia="宋体" w:cs="宋体"/>
                <w:color w:val="000000" w:themeColor="text1"/>
                <w:sz w:val="18"/>
                <w:szCs w:val="18"/>
                <w:highlight w:val="none"/>
                <w14:textFill>
                  <w14:solidFill>
                    <w14:schemeClr w14:val="tx1"/>
                  </w14:solidFill>
                </w14:textFill>
              </w:rPr>
              <w:t>时的控制指标</w:t>
            </w:r>
            <w:r>
              <w:rPr>
                <w:rFonts w:hint="eastAsia" w:ascii="Times New Roman" w:hAnsi="Times New Roman" w:eastAsia="宋体" w:cs="宋体"/>
                <w:color w:val="000000" w:themeColor="text1"/>
                <w:sz w:val="18"/>
                <w:szCs w:val="21"/>
                <w:highlight w:val="none"/>
                <w14:textFill>
                  <w14:solidFill>
                    <w14:schemeClr w14:val="tx1"/>
                  </w14:solidFill>
                </w14:textFill>
              </w:rPr>
              <w:t>。</w:t>
            </w:r>
          </w:p>
          <w:p w14:paraId="374262CE">
            <w:pPr>
              <w:tabs>
                <w:tab w:val="left" w:pos="960"/>
              </w:tabs>
              <w:spacing w:beforeLines="50"/>
              <w:jc w:val="center"/>
              <w:rPr>
                <w:rFonts w:ascii="Times New Roman" w:hAnsi="Times New Roman" w:eastAsia="宋体" w:cs="宋体"/>
                <w:b/>
                <w:bCs/>
                <w:color w:val="000000" w:themeColor="text1"/>
                <w:spacing w:val="-4"/>
                <w:szCs w:val="21"/>
                <w:highlight w:val="none"/>
                <w14:textFill>
                  <w14:solidFill>
                    <w14:schemeClr w14:val="tx1"/>
                  </w14:solidFill>
                </w14:textFill>
              </w:rPr>
            </w:pPr>
            <w:r>
              <w:rPr>
                <w:rFonts w:ascii="Times New Roman" w:hAnsi="Times New Roman" w:eastAsia="宋体" w:cs="宋体"/>
                <w:b/>
                <w:bCs/>
                <w:color w:val="000000" w:themeColor="text1"/>
                <w:spacing w:val="-4"/>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Cs w:val="21"/>
                <w:highlight w:val="none"/>
                <w14:textFill>
                  <w14:solidFill>
                    <w14:schemeClr w14:val="tx1"/>
                  </w14:solidFill>
                </w14:textFill>
              </w:rPr>
              <w:t>3</w:t>
            </w:r>
            <w:r>
              <w:rPr>
                <w:rFonts w:hint="eastAsia" w:cs="宋体"/>
                <w:b/>
                <w:bCs/>
                <w:color w:val="000000" w:themeColor="text1"/>
                <w:spacing w:val="-4"/>
                <w:szCs w:val="21"/>
                <w:highlight w:val="none"/>
                <w:lang w:val="en-US" w:eastAsia="zh-CN"/>
                <w14:textFill>
                  <w14:solidFill>
                    <w14:schemeClr w14:val="tx1"/>
                  </w14:solidFill>
                </w14:textFill>
              </w:rPr>
              <w:t>-8</w:t>
            </w:r>
            <w:r>
              <w:rPr>
                <w:rFonts w:ascii="Times New Roman" w:hAnsi="Times New Roman" w:eastAsia="宋体" w:cs="宋体"/>
                <w:b/>
                <w:bCs/>
                <w:color w:val="000000" w:themeColor="text1"/>
                <w:spacing w:val="-4"/>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Cs w:val="21"/>
                <w:highlight w:val="none"/>
                <w:lang w:val="en-US" w:eastAsia="zh-CN"/>
                <w14:textFill>
                  <w14:solidFill>
                    <w14:schemeClr w14:val="tx1"/>
                  </w14:solidFill>
                </w14:textFill>
              </w:rPr>
              <w:t>远期污水处理厂尾水</w:t>
            </w:r>
            <w:r>
              <w:rPr>
                <w:rFonts w:ascii="Times New Roman" w:hAnsi="Times New Roman" w:eastAsia="宋体" w:cs="宋体"/>
                <w:b/>
                <w:bCs/>
                <w:color w:val="000000" w:themeColor="text1"/>
                <w:spacing w:val="-4"/>
                <w:szCs w:val="21"/>
                <w:highlight w:val="none"/>
                <w14:textFill>
                  <w14:solidFill>
                    <w14:schemeClr w14:val="tx1"/>
                  </w14:solidFill>
                </w14:textFill>
              </w:rPr>
              <w:t>排放标准  单位：mg/L，</w:t>
            </w:r>
            <w:r>
              <w:rPr>
                <w:rFonts w:hint="eastAsia" w:ascii="Times New Roman" w:hAnsi="Times New Roman" w:eastAsia="宋体" w:cs="宋体"/>
                <w:b/>
                <w:bCs/>
                <w:color w:val="000000" w:themeColor="text1"/>
                <w:spacing w:val="-4"/>
                <w:szCs w:val="21"/>
                <w:highlight w:val="none"/>
                <w14:textFill>
                  <w14:solidFill>
                    <w14:schemeClr w14:val="tx1"/>
                  </w14:solidFill>
                </w14:textFill>
              </w:rPr>
              <w:t>pH值</w:t>
            </w:r>
            <w:r>
              <w:rPr>
                <w:rFonts w:ascii="Times New Roman" w:hAnsi="Times New Roman" w:eastAsia="宋体" w:cs="宋体"/>
                <w:b/>
                <w:bCs/>
                <w:color w:val="000000" w:themeColor="text1"/>
                <w:spacing w:val="-4"/>
                <w:szCs w:val="21"/>
                <w:highlight w:val="none"/>
                <w14:textFill>
                  <w14:solidFill>
                    <w14:schemeClr w14:val="tx1"/>
                  </w14:solidFill>
                </w14:textFill>
              </w:rPr>
              <w:t>无量纲</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389"/>
              <w:gridCol w:w="1680"/>
              <w:gridCol w:w="2237"/>
              <w:gridCol w:w="3102"/>
            </w:tblGrid>
            <w:tr w14:paraId="21F40B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1A8853CF">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项目</w:t>
                  </w:r>
                </w:p>
              </w:tc>
              <w:tc>
                <w:tcPr>
                  <w:tcW w:w="999" w:type="pct"/>
                  <w:vAlign w:val="center"/>
                </w:tcPr>
                <w:p w14:paraId="35A90D44">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hint="eastAsia" w:ascii="Times New Roman" w:hAnsi="Times New Roman" w:eastAsia="宋体" w:cs="宋体"/>
                      <w:b/>
                      <w:color w:val="000000" w:themeColor="text1"/>
                      <w:szCs w:val="21"/>
                      <w:highlight w:val="none"/>
                      <w:lang w:val="en-US" w:eastAsia="zh-CN"/>
                      <w14:textFill>
                        <w14:solidFill>
                          <w14:schemeClr w14:val="tx1"/>
                        </w14:solidFill>
                      </w14:textFill>
                    </w:rPr>
                    <w:t>日均排放</w:t>
                  </w:r>
                  <w:r>
                    <w:rPr>
                      <w:rFonts w:ascii="Times New Roman" w:hAnsi="Times New Roman" w:eastAsia="宋体" w:cs="宋体"/>
                      <w:b/>
                      <w:color w:val="000000" w:themeColor="text1"/>
                      <w:szCs w:val="21"/>
                      <w:highlight w:val="none"/>
                      <w14:textFill>
                        <w14:solidFill>
                          <w14:schemeClr w14:val="tx1"/>
                        </w14:solidFill>
                      </w14:textFill>
                    </w:rPr>
                    <w:t>限值</w:t>
                  </w:r>
                </w:p>
              </w:tc>
              <w:tc>
                <w:tcPr>
                  <w:tcW w:w="1330" w:type="pct"/>
                  <w:vAlign w:val="center"/>
                </w:tcPr>
                <w:p w14:paraId="7CAD6804">
                  <w:pPr>
                    <w:snapToGrid w:val="0"/>
                    <w:jc w:val="center"/>
                    <w:rPr>
                      <w:rFonts w:hint="default" w:ascii="Times New Roman" w:hAnsi="Times New Roman" w:eastAsia="宋体" w:cs="宋体"/>
                      <w:b/>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b/>
                      <w:color w:val="000000" w:themeColor="text1"/>
                      <w:szCs w:val="21"/>
                      <w:highlight w:val="none"/>
                      <w:lang w:val="en-US" w:eastAsia="zh-CN"/>
                      <w14:textFill>
                        <w14:solidFill>
                          <w14:schemeClr w14:val="tx1"/>
                        </w14:solidFill>
                      </w14:textFill>
                    </w:rPr>
                    <w:t>一次监测排放限值</w:t>
                  </w:r>
                </w:p>
              </w:tc>
              <w:tc>
                <w:tcPr>
                  <w:tcW w:w="1844" w:type="pct"/>
                  <w:vAlign w:val="center"/>
                </w:tcPr>
                <w:p w14:paraId="48E189EC">
                  <w:pPr>
                    <w:snapToGrid w:val="0"/>
                    <w:jc w:val="center"/>
                    <w:rPr>
                      <w:rFonts w:ascii="Times New Roman" w:hAnsi="Times New Roman" w:eastAsia="宋体" w:cs="宋体"/>
                      <w:b/>
                      <w:color w:val="000000" w:themeColor="text1"/>
                      <w:szCs w:val="21"/>
                      <w:highlight w:val="none"/>
                      <w14:textFill>
                        <w14:solidFill>
                          <w14:schemeClr w14:val="tx1"/>
                        </w14:solidFill>
                      </w14:textFill>
                    </w:rPr>
                  </w:pPr>
                  <w:r>
                    <w:rPr>
                      <w:rFonts w:ascii="Times New Roman" w:hAnsi="Times New Roman" w:eastAsia="宋体" w:cs="宋体"/>
                      <w:b/>
                      <w:color w:val="000000" w:themeColor="text1"/>
                      <w:szCs w:val="21"/>
                      <w:highlight w:val="none"/>
                      <w14:textFill>
                        <w14:solidFill>
                          <w14:schemeClr w14:val="tx1"/>
                        </w14:solidFill>
                      </w14:textFill>
                    </w:rPr>
                    <w:t>依据</w:t>
                  </w:r>
                </w:p>
              </w:tc>
            </w:tr>
            <w:tr w14:paraId="5D6F72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2250D96A">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14:textFill>
                        <w14:solidFill>
                          <w14:schemeClr w14:val="tx1"/>
                        </w14:solidFill>
                      </w14:textFill>
                    </w:rPr>
                    <w:t>pH值</w:t>
                  </w:r>
                </w:p>
              </w:tc>
              <w:tc>
                <w:tcPr>
                  <w:tcW w:w="999" w:type="pct"/>
                  <w:vAlign w:val="center"/>
                </w:tcPr>
                <w:p w14:paraId="68616771">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6~9</w:t>
                  </w:r>
                </w:p>
              </w:tc>
              <w:tc>
                <w:tcPr>
                  <w:tcW w:w="1330" w:type="pct"/>
                  <w:vAlign w:val="center"/>
                </w:tcPr>
                <w:p w14:paraId="2B585590">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w:t>
                  </w:r>
                </w:p>
              </w:tc>
              <w:tc>
                <w:tcPr>
                  <w:tcW w:w="1844" w:type="pct"/>
                  <w:vMerge w:val="restart"/>
                  <w:vAlign w:val="center"/>
                </w:tcPr>
                <w:p w14:paraId="46F20F5D">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r>
                    <w:rPr>
                      <w:rFonts w:hint="eastAsia" w:ascii="Times New Roman" w:hAnsi="Times New Roman" w:eastAsia="宋体" w:cs="宋体"/>
                      <w:color w:val="000000" w:themeColor="text1"/>
                      <w:kern w:val="0"/>
                      <w:szCs w:val="21"/>
                      <w:highlight w:val="none"/>
                      <w14:textFill>
                        <w14:solidFill>
                          <w14:schemeClr w14:val="tx1"/>
                        </w14:solidFill>
                      </w14:textFill>
                    </w:rPr>
                    <w:t>《城镇污水处理厂污染物排放标准》</w:t>
                  </w:r>
                  <w:r>
                    <w:rPr>
                      <w:rFonts w:hint="eastAsia" w:ascii="Times New Roman" w:hAnsi="Times New Roman" w:eastAsia="宋体" w:cs="宋体"/>
                      <w:color w:val="000000" w:themeColor="text1"/>
                      <w:kern w:val="0"/>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Cs w:val="21"/>
                      <w:highlight w:val="none"/>
                      <w14:textFill>
                        <w14:solidFill>
                          <w14:schemeClr w14:val="tx1"/>
                        </w14:solidFill>
                      </w14:textFill>
                    </w:rPr>
                    <w:t>DB32/4440-2022</w:t>
                  </w:r>
                  <w:r>
                    <w:rPr>
                      <w:rFonts w:hint="eastAsia" w:ascii="Times New Roman" w:hAnsi="Times New Roman" w:eastAsia="宋体" w:cs="宋体"/>
                      <w:color w:val="000000" w:themeColor="text1"/>
                      <w:kern w:val="0"/>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Cs w:val="21"/>
                      <w:highlight w:val="none"/>
                      <w:lang w:val="en-US" w:eastAsia="zh-CN"/>
                      <w14:textFill>
                        <w14:solidFill>
                          <w14:schemeClr w14:val="tx1"/>
                        </w14:solidFill>
                      </w14:textFill>
                    </w:rPr>
                    <w:t>表1和表2中C等级标准</w:t>
                  </w:r>
                </w:p>
              </w:tc>
            </w:tr>
            <w:tr w14:paraId="277170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78C52521">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化学需氧量</w:t>
                  </w:r>
                </w:p>
              </w:tc>
              <w:tc>
                <w:tcPr>
                  <w:tcW w:w="999" w:type="pct"/>
                  <w:vAlign w:val="center"/>
                </w:tcPr>
                <w:p w14:paraId="61C0F157">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50</w:t>
                  </w:r>
                </w:p>
              </w:tc>
              <w:tc>
                <w:tcPr>
                  <w:tcW w:w="1330" w:type="pct"/>
                  <w:vAlign w:val="center"/>
                </w:tcPr>
                <w:p w14:paraId="5893EDF7">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75</w:t>
                  </w:r>
                </w:p>
              </w:tc>
              <w:tc>
                <w:tcPr>
                  <w:tcW w:w="1844" w:type="pct"/>
                  <w:vMerge w:val="continue"/>
                  <w:vAlign w:val="center"/>
                </w:tcPr>
                <w:p w14:paraId="58A1A3B5">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p>
              </w:tc>
            </w:tr>
            <w:tr w14:paraId="17AE01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268CE2DF">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生化需氧量</w:t>
                  </w:r>
                </w:p>
              </w:tc>
              <w:tc>
                <w:tcPr>
                  <w:tcW w:w="999" w:type="pct"/>
                  <w:vAlign w:val="center"/>
                </w:tcPr>
                <w:p w14:paraId="32D28BB6">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10</w:t>
                  </w:r>
                </w:p>
              </w:tc>
              <w:tc>
                <w:tcPr>
                  <w:tcW w:w="1330" w:type="pct"/>
                  <w:vAlign w:val="center"/>
                </w:tcPr>
                <w:p w14:paraId="221A0B70">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w:t>
                  </w:r>
                </w:p>
              </w:tc>
              <w:tc>
                <w:tcPr>
                  <w:tcW w:w="1844" w:type="pct"/>
                  <w:vMerge w:val="continue"/>
                  <w:vAlign w:val="center"/>
                </w:tcPr>
                <w:p w14:paraId="41CB905A">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p>
              </w:tc>
            </w:tr>
            <w:tr w14:paraId="5144DA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6896A0AA">
                  <w:pPr>
                    <w:snapToGrid w:val="0"/>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悬浮物</w:t>
                  </w:r>
                </w:p>
              </w:tc>
              <w:tc>
                <w:tcPr>
                  <w:tcW w:w="999" w:type="pct"/>
                  <w:vAlign w:val="center"/>
                </w:tcPr>
                <w:p w14:paraId="22912029">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10</w:t>
                  </w:r>
                </w:p>
              </w:tc>
              <w:tc>
                <w:tcPr>
                  <w:tcW w:w="1330" w:type="pct"/>
                  <w:vAlign w:val="center"/>
                </w:tcPr>
                <w:p w14:paraId="465D2497">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w:t>
                  </w:r>
                </w:p>
              </w:tc>
              <w:tc>
                <w:tcPr>
                  <w:tcW w:w="1844" w:type="pct"/>
                  <w:vMerge w:val="continue"/>
                  <w:vAlign w:val="center"/>
                </w:tcPr>
                <w:p w14:paraId="7D944BAF">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54AE61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3DE054C1">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氨氮</w:t>
                  </w:r>
                </w:p>
              </w:tc>
              <w:tc>
                <w:tcPr>
                  <w:tcW w:w="999" w:type="pct"/>
                  <w:vAlign w:val="center"/>
                </w:tcPr>
                <w:p w14:paraId="1ECE717F">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4（6）</w:t>
                  </w:r>
                </w:p>
              </w:tc>
              <w:tc>
                <w:tcPr>
                  <w:tcW w:w="1330" w:type="pct"/>
                  <w:vAlign w:val="center"/>
                </w:tcPr>
                <w:p w14:paraId="2C7A24BA">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8（12）</w:t>
                  </w:r>
                </w:p>
              </w:tc>
              <w:tc>
                <w:tcPr>
                  <w:tcW w:w="1844" w:type="pct"/>
                  <w:vMerge w:val="continue"/>
                  <w:vAlign w:val="center"/>
                </w:tcPr>
                <w:p w14:paraId="3A21540A">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641F4A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6D2F570A">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总磷</w:t>
                  </w:r>
                </w:p>
              </w:tc>
              <w:tc>
                <w:tcPr>
                  <w:tcW w:w="999" w:type="pct"/>
                  <w:vAlign w:val="center"/>
                </w:tcPr>
                <w:p w14:paraId="1610EA83">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0.5</w:t>
                  </w:r>
                </w:p>
              </w:tc>
              <w:tc>
                <w:tcPr>
                  <w:tcW w:w="1330" w:type="pct"/>
                  <w:vAlign w:val="center"/>
                </w:tcPr>
                <w:p w14:paraId="1D287C50">
                  <w:pPr>
                    <w:snapToGrid w:val="0"/>
                    <w:jc w:val="center"/>
                    <w:rPr>
                      <w:rFonts w:hint="eastAsia"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w:t>
                  </w:r>
                </w:p>
              </w:tc>
              <w:tc>
                <w:tcPr>
                  <w:tcW w:w="1844" w:type="pct"/>
                  <w:vMerge w:val="continue"/>
                  <w:vAlign w:val="center"/>
                </w:tcPr>
                <w:p w14:paraId="42815151">
                  <w:pPr>
                    <w:snapToGrid w:val="0"/>
                    <w:jc w:val="center"/>
                    <w:rPr>
                      <w:rFonts w:ascii="Times New Roman" w:hAnsi="Times New Roman" w:eastAsia="宋体" w:cs="宋体"/>
                      <w:color w:val="000000" w:themeColor="text1"/>
                      <w:kern w:val="0"/>
                      <w:szCs w:val="21"/>
                      <w:highlight w:val="none"/>
                      <w14:textFill>
                        <w14:solidFill>
                          <w14:schemeClr w14:val="tx1"/>
                        </w14:solidFill>
                      </w14:textFill>
                    </w:rPr>
                  </w:pPr>
                </w:p>
              </w:tc>
            </w:tr>
            <w:tr w14:paraId="5C4057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7C47DF87">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总氮</w:t>
                  </w:r>
                </w:p>
              </w:tc>
              <w:tc>
                <w:tcPr>
                  <w:tcW w:w="999" w:type="pct"/>
                  <w:vAlign w:val="center"/>
                </w:tcPr>
                <w:p w14:paraId="36AF0E41">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t>12（15）</w:t>
                  </w:r>
                </w:p>
              </w:tc>
              <w:tc>
                <w:tcPr>
                  <w:tcW w:w="1330" w:type="pct"/>
                  <w:vAlign w:val="center"/>
                </w:tcPr>
                <w:p w14:paraId="203BB218">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15（20）</w:t>
                  </w:r>
                </w:p>
              </w:tc>
              <w:tc>
                <w:tcPr>
                  <w:tcW w:w="1844" w:type="pct"/>
                  <w:vMerge w:val="continue"/>
                  <w:vAlign w:val="center"/>
                </w:tcPr>
                <w:p w14:paraId="44D23616">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r w14:paraId="70B780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5" w:type="pct"/>
                  <w:vAlign w:val="center"/>
                </w:tcPr>
                <w:p w14:paraId="41E53852">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动植物油</w:t>
                  </w:r>
                </w:p>
              </w:tc>
              <w:tc>
                <w:tcPr>
                  <w:tcW w:w="999" w:type="pct"/>
                  <w:vAlign w:val="center"/>
                </w:tcPr>
                <w:p w14:paraId="518EC139">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1</w:t>
                  </w:r>
                </w:p>
              </w:tc>
              <w:tc>
                <w:tcPr>
                  <w:tcW w:w="1330" w:type="pct"/>
                  <w:vAlign w:val="center"/>
                </w:tcPr>
                <w:p w14:paraId="30758C07">
                  <w:pPr>
                    <w:snapToGrid w:val="0"/>
                    <w:jc w:val="center"/>
                    <w:rPr>
                      <w:rFonts w:hint="default" w:ascii="Times New Roman" w:hAnsi="Times New Roman" w:eastAsia="宋体"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w:t>
                  </w:r>
                </w:p>
              </w:tc>
              <w:tc>
                <w:tcPr>
                  <w:tcW w:w="1844" w:type="pct"/>
                  <w:vMerge w:val="continue"/>
                  <w:vAlign w:val="center"/>
                </w:tcPr>
                <w:p w14:paraId="24C8835F">
                  <w:pPr>
                    <w:snapToGrid w:val="0"/>
                    <w:jc w:val="center"/>
                    <w:rPr>
                      <w:rFonts w:ascii="Times New Roman" w:hAnsi="Times New Roman" w:eastAsia="宋体" w:cs="宋体"/>
                      <w:color w:val="000000" w:themeColor="text1"/>
                      <w:szCs w:val="21"/>
                      <w:highlight w:val="none"/>
                      <w14:textFill>
                        <w14:solidFill>
                          <w14:schemeClr w14:val="tx1"/>
                        </w14:solidFill>
                      </w14:textFill>
                    </w:rPr>
                  </w:pPr>
                </w:p>
              </w:tc>
            </w:tr>
          </w:tbl>
          <w:p w14:paraId="37413834">
            <w:pPr>
              <w:tabs>
                <w:tab w:val="left" w:pos="6725"/>
              </w:tabs>
              <w:spacing w:line="360" w:lineRule="auto"/>
              <w:ind w:firstLine="360" w:firstLineChars="200"/>
              <w:rPr>
                <w:rFonts w:hint="eastAsia" w:ascii="Times New Roman" w:hAnsi="Times New Roman" w:eastAsia="宋体" w:cs="宋体"/>
                <w:color w:val="000000" w:themeColor="text1"/>
                <w:sz w:val="18"/>
                <w:szCs w:val="21"/>
                <w:highlight w:val="none"/>
                <w14:textFill>
                  <w14:solidFill>
                    <w14:schemeClr w14:val="tx1"/>
                  </w14:solidFill>
                </w14:textFill>
              </w:rPr>
            </w:pPr>
            <w:r>
              <w:rPr>
                <w:rFonts w:ascii="Times New Roman" w:hAnsi="Times New Roman" w:eastAsia="宋体" w:cs="宋体"/>
                <w:color w:val="000000" w:themeColor="text1"/>
                <w:sz w:val="18"/>
                <w:szCs w:val="21"/>
                <w:highlight w:val="none"/>
                <w14:textFill>
                  <w14:solidFill>
                    <w14:schemeClr w14:val="tx1"/>
                  </w14:solidFill>
                </w14:textFill>
              </w:rPr>
              <w:t>注：</w:t>
            </w:r>
            <w:r>
              <w:rPr>
                <w:rFonts w:hint="eastAsia" w:ascii="Times New Roman" w:hAnsi="Times New Roman" w:eastAsia="宋体" w:cs="宋体"/>
                <w:color w:val="000000" w:themeColor="text1"/>
                <w:sz w:val="18"/>
                <w:szCs w:val="18"/>
                <w:highlight w:val="none"/>
                <w:lang w:val="en-US" w:eastAsia="zh-CN"/>
                <w14:textFill>
                  <w14:solidFill>
                    <w14:schemeClr w14:val="tx1"/>
                  </w14:solidFill>
                </w14:textFill>
              </w:rPr>
              <w:t>每年11月1日至次年3月31日执行括号内排放限值</w:t>
            </w:r>
            <w:r>
              <w:rPr>
                <w:rFonts w:hint="eastAsia" w:ascii="Times New Roman" w:hAnsi="Times New Roman" w:eastAsia="宋体" w:cs="宋体"/>
                <w:color w:val="000000" w:themeColor="text1"/>
                <w:sz w:val="18"/>
                <w:szCs w:val="21"/>
                <w:highlight w:val="none"/>
                <w14:textFill>
                  <w14:solidFill>
                    <w14:schemeClr w14:val="tx1"/>
                  </w14:solidFill>
                </w14:textFill>
              </w:rPr>
              <w:t>。</w:t>
            </w:r>
          </w:p>
          <w:p w14:paraId="3A311733">
            <w:pPr>
              <w:tabs>
                <w:tab w:val="left" w:pos="6725"/>
              </w:tabs>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3</w:t>
            </w:r>
            <w:r>
              <w:rPr>
                <w:rFonts w:ascii="Times New Roman" w:hAnsi="Times New Roman" w:eastAsia="宋体" w:cs="宋体"/>
                <w:b/>
                <w:color w:val="000000" w:themeColor="text1"/>
                <w:sz w:val="21"/>
                <w:szCs w:val="21"/>
                <w:highlight w:val="none"/>
                <w14:textFill>
                  <w14:solidFill>
                    <w14:schemeClr w14:val="tx1"/>
                  </w14:solidFill>
                </w14:textFill>
              </w:rPr>
              <w:t>、噪声排放标准</w:t>
            </w:r>
          </w:p>
          <w:p w14:paraId="580E4F0D">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本项目运营期厂界噪声执行《工业企业厂界环境噪声排放标准》（GB12348-2008）中</w:t>
            </w:r>
            <w:r>
              <w:rPr>
                <w:rFonts w:hint="eastAsia" w:cs="宋体"/>
                <w:color w:val="000000" w:themeColor="text1"/>
                <w:sz w:val="21"/>
                <w:szCs w:val="21"/>
                <w:highlight w:val="none"/>
                <w:lang w:val="en-US" w:eastAsia="zh-CN"/>
                <w14:textFill>
                  <w14:solidFill>
                    <w14:schemeClr w14:val="tx1"/>
                  </w14:solidFill>
                </w14:textFill>
              </w:rPr>
              <w:t>2类</w:t>
            </w:r>
            <w:r>
              <w:rPr>
                <w:rFonts w:ascii="Times New Roman" w:hAnsi="Times New Roman" w:eastAsia="宋体" w:cs="宋体"/>
                <w:color w:val="000000" w:themeColor="text1"/>
                <w:sz w:val="21"/>
                <w:szCs w:val="21"/>
                <w:highlight w:val="none"/>
                <w14:textFill>
                  <w14:solidFill>
                    <w14:schemeClr w14:val="tx1"/>
                  </w14:solidFill>
                </w14:textFill>
              </w:rPr>
              <w:t>区标准，即昼间≤</w:t>
            </w:r>
            <w:r>
              <w:rPr>
                <w:rFonts w:hint="eastAsia" w:ascii="Times New Roman" w:hAnsi="Times New Roman" w:eastAsia="宋体" w:cs="宋体"/>
                <w:color w:val="000000" w:themeColor="text1"/>
                <w:sz w:val="21"/>
                <w:szCs w:val="21"/>
                <w:highlight w:val="none"/>
                <w14:textFill>
                  <w14:solidFill>
                    <w14:schemeClr w14:val="tx1"/>
                  </w14:solidFill>
                </w14:textFill>
              </w:rPr>
              <w:t>6</w:t>
            </w:r>
            <w:r>
              <w:rPr>
                <w:rFonts w:hint="eastAsia" w:cs="宋体"/>
                <w:color w:val="000000" w:themeColor="text1"/>
                <w:sz w:val="21"/>
                <w:szCs w:val="21"/>
                <w:highlight w:val="none"/>
                <w:lang w:val="en-US" w:eastAsia="zh-CN"/>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dB（A）</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夜间</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5</w:t>
            </w:r>
            <w:r>
              <w:rPr>
                <w:rFonts w:hint="eastAsia" w:cs="宋体"/>
                <w:color w:val="000000" w:themeColor="text1"/>
                <w:sz w:val="21"/>
                <w:szCs w:val="21"/>
                <w:highlight w:val="none"/>
                <w:lang w:val="en-US" w:eastAsia="zh-CN"/>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dB（A）。</w:t>
            </w:r>
          </w:p>
          <w:p w14:paraId="52F3CA29">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4</w:t>
            </w:r>
            <w:r>
              <w:rPr>
                <w:rFonts w:ascii="Times New Roman" w:hAnsi="Times New Roman" w:eastAsia="宋体" w:cs="宋体"/>
                <w:b/>
                <w:color w:val="000000" w:themeColor="text1"/>
                <w:sz w:val="21"/>
                <w:szCs w:val="21"/>
                <w:highlight w:val="none"/>
                <w14:textFill>
                  <w14:solidFill>
                    <w14:schemeClr w14:val="tx1"/>
                  </w14:solidFill>
                </w14:textFill>
              </w:rPr>
              <w:t>、固体废物控制标准</w:t>
            </w:r>
          </w:p>
          <w:p w14:paraId="68BAF671">
            <w:pPr>
              <w:spacing w:line="360" w:lineRule="auto"/>
              <w:ind w:firstLine="420" w:firstLineChars="200"/>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eastAsia="宋体" w:cs="宋体"/>
                <w:color w:val="000000" w:themeColor="text1"/>
                <w:sz w:val="21"/>
                <w:szCs w:val="24"/>
                <w:highlight w:val="none"/>
                <w14:textFill>
                  <w14:solidFill>
                    <w14:schemeClr w14:val="tx1"/>
                  </w14:solidFill>
                </w14:textFill>
              </w:rPr>
              <w:t>一般工业固体废物贮存过程应满足相应防渗漏、防雨淋、防扬尘等环境保护要求；《江苏省固体废物全过程环境监管工作意见》（苏环办〔2024〕16号）中相关规定</w:t>
            </w:r>
            <w:r>
              <w:rPr>
                <w:rFonts w:hint="eastAsia" w:ascii="Times New Roman" w:hAnsi="Times New Roman" w:eastAsia="宋体" w:cs="宋体"/>
                <w:color w:val="000000" w:themeColor="text1"/>
                <w:sz w:val="21"/>
                <w:szCs w:val="21"/>
                <w:highlight w:val="none"/>
                <w14:textFill>
                  <w14:solidFill>
                    <w14:schemeClr w14:val="tx1"/>
                  </w14:solidFill>
                </w14:textFill>
              </w:rPr>
              <w:t>。</w:t>
            </w:r>
          </w:p>
        </w:tc>
      </w:tr>
      <w:tr w14:paraId="779F7F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75" w:hRule="atLeast"/>
        </w:trPr>
        <w:tc>
          <w:tcPr>
            <w:tcW w:w="434" w:type="dxa"/>
            <w:tcBorders>
              <w:tl2br w:val="nil"/>
              <w:tr2bl w:val="nil"/>
            </w:tcBorders>
            <w:vAlign w:val="center"/>
          </w:tcPr>
          <w:p w14:paraId="3C32D9FC">
            <w:pPr>
              <w:pStyle w:val="22"/>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t>总量控制指标</w:t>
            </w:r>
          </w:p>
        </w:tc>
        <w:tc>
          <w:tcPr>
            <w:tcW w:w="8627" w:type="dxa"/>
            <w:tcBorders>
              <w:tl2br w:val="nil"/>
              <w:tr2bl w:val="nil"/>
            </w:tcBorders>
          </w:tcPr>
          <w:p w14:paraId="0113929B">
            <w:pPr>
              <w:spacing w:line="360" w:lineRule="auto"/>
              <w:ind w:firstLine="422" w:firstLineChars="200"/>
              <w:rPr>
                <w:rFonts w:ascii="Times New Roman" w:hAnsi="Times New Roman" w:eastAsia="宋体" w:cs="宋体"/>
                <w:b/>
                <w:bCs/>
                <w:color w:val="000000" w:themeColor="text1"/>
                <w:sz w:val="21"/>
                <w:szCs w:val="24"/>
                <w:highlight w:val="none"/>
                <w14:textFill>
                  <w14:solidFill>
                    <w14:schemeClr w14:val="tx1"/>
                  </w14:solidFill>
                </w14:textFill>
              </w:rPr>
            </w:pPr>
            <w:r>
              <w:rPr>
                <w:rFonts w:ascii="Times New Roman" w:hAnsi="Times New Roman" w:eastAsia="宋体" w:cs="宋体"/>
                <w:b/>
                <w:bCs/>
                <w:color w:val="000000" w:themeColor="text1"/>
                <w:sz w:val="21"/>
                <w:szCs w:val="24"/>
                <w:highlight w:val="none"/>
                <w14:textFill>
                  <w14:solidFill>
                    <w14:schemeClr w14:val="tx1"/>
                  </w14:solidFill>
                </w14:textFill>
              </w:rPr>
              <w:t>1、总量控制因子</w:t>
            </w:r>
          </w:p>
          <w:p w14:paraId="401D6B06">
            <w:pPr>
              <w:autoSpaceDE w:val="0"/>
              <w:autoSpaceDN w:val="0"/>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hint="eastAsia" w:ascii="Times New Roman" w:hAnsi="Times New Roman" w:eastAsia="宋体" w:cs="宋体"/>
                <w:color w:val="000000" w:themeColor="text1"/>
                <w:sz w:val="21"/>
                <w:szCs w:val="24"/>
                <w:highlight w:val="none"/>
                <w14:textFill>
                  <w14:solidFill>
                    <w14:schemeClr w14:val="tx1"/>
                  </w14:solidFill>
                </w14:textFill>
              </w:rPr>
              <w:t>根据《常州市建设项目主要污染物排放总量指标审核及管理实施细则》（常政办发</w:t>
            </w:r>
            <w:r>
              <w:rPr>
                <w:rFonts w:hint="eastAsia" w:ascii="Times New Roman" w:hAnsi="Times New Roman" w:eastAsia="宋体" w:cs="宋体"/>
                <w:color w:val="000000" w:themeColor="text1"/>
                <w:sz w:val="21"/>
                <w:szCs w:val="21"/>
                <w:highlight w:val="none"/>
                <w14:textFill>
                  <w14:solidFill>
                    <w14:schemeClr w14:val="tx1"/>
                  </w14:solidFill>
                </w14:textFill>
              </w:rPr>
              <w:t>〔2015〕</w:t>
            </w:r>
            <w:r>
              <w:rPr>
                <w:rFonts w:hint="eastAsia" w:ascii="Times New Roman" w:hAnsi="Times New Roman" w:eastAsia="宋体" w:cs="宋体"/>
                <w:color w:val="000000" w:themeColor="text1"/>
                <w:sz w:val="21"/>
                <w:szCs w:val="24"/>
                <w:highlight w:val="none"/>
                <w14:textFill>
                  <w14:solidFill>
                    <w14:schemeClr w14:val="tx1"/>
                  </w14:solidFill>
                </w14:textFill>
              </w:rPr>
              <w:t>104号），结合本项目排污特征</w:t>
            </w:r>
            <w:r>
              <w:rPr>
                <w:rFonts w:ascii="Times New Roman" w:hAnsi="Times New Roman" w:eastAsia="宋体" w:cs="宋体"/>
                <w:color w:val="000000" w:themeColor="text1"/>
                <w:sz w:val="21"/>
                <w:szCs w:val="24"/>
                <w:highlight w:val="none"/>
                <w14:textFill>
                  <w14:solidFill>
                    <w14:schemeClr w14:val="tx1"/>
                  </w14:solidFill>
                </w14:textFill>
              </w:rPr>
              <w:t>，总量控制污染因子为：</w:t>
            </w:r>
          </w:p>
          <w:p w14:paraId="0A75F445">
            <w:pPr>
              <w:autoSpaceDE w:val="0"/>
              <w:autoSpaceDN w:val="0"/>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hint="eastAsia" w:cs="宋体"/>
                <w:color w:val="000000" w:themeColor="text1"/>
                <w:sz w:val="21"/>
                <w:szCs w:val="24"/>
                <w:highlight w:val="none"/>
                <w:lang w:val="en-US" w:eastAsia="zh-CN"/>
                <w14:textFill>
                  <w14:solidFill>
                    <w14:schemeClr w14:val="tx1"/>
                  </w14:solidFill>
                </w14:textFill>
              </w:rPr>
              <w:t>大气污染物</w:t>
            </w:r>
            <w:r>
              <w:rPr>
                <w:rFonts w:ascii="Times New Roman" w:hAnsi="Times New Roman" w:eastAsia="宋体" w:cs="宋体"/>
                <w:color w:val="000000" w:themeColor="text1"/>
                <w:sz w:val="21"/>
                <w:szCs w:val="24"/>
                <w:highlight w:val="none"/>
                <w:lang w:val="zh-CN"/>
                <w14:textFill>
                  <w14:solidFill>
                    <w14:schemeClr w14:val="tx1"/>
                  </w14:solidFill>
                </w14:textFill>
              </w:rPr>
              <w:t>总量控制因子</w:t>
            </w:r>
            <w:r>
              <w:rPr>
                <w:rFonts w:ascii="Times New Roman" w:hAnsi="Times New Roman" w:eastAsia="宋体" w:cs="宋体"/>
                <w:color w:val="000000" w:themeColor="text1"/>
                <w:sz w:val="21"/>
                <w:szCs w:val="24"/>
                <w:highlight w:val="none"/>
                <w14:textFill>
                  <w14:solidFill>
                    <w14:schemeClr w14:val="tx1"/>
                  </w14:solidFill>
                </w14:textFill>
              </w:rPr>
              <w:t>：</w:t>
            </w:r>
            <w:r>
              <w:rPr>
                <w:rFonts w:hint="eastAsia" w:cs="宋体"/>
                <w:color w:val="000000" w:themeColor="text1"/>
                <w:sz w:val="21"/>
                <w:szCs w:val="24"/>
                <w:highlight w:val="none"/>
                <w:lang w:val="en-US" w:eastAsia="zh-CN"/>
                <w14:textFill>
                  <w14:solidFill>
                    <w14:schemeClr w14:val="tx1"/>
                  </w14:solidFill>
                </w14:textFill>
              </w:rPr>
              <w:t>/</w:t>
            </w:r>
            <w:r>
              <w:rPr>
                <w:rFonts w:ascii="Times New Roman" w:hAnsi="Times New Roman" w:eastAsia="宋体" w:cs="宋体"/>
                <w:color w:val="000000" w:themeColor="text1"/>
                <w:sz w:val="21"/>
                <w:szCs w:val="24"/>
                <w:highlight w:val="none"/>
                <w14:textFill>
                  <w14:solidFill>
                    <w14:schemeClr w14:val="tx1"/>
                  </w14:solidFill>
                </w14:textFill>
              </w:rPr>
              <w:t>；</w:t>
            </w:r>
            <w:r>
              <w:rPr>
                <w:rFonts w:hint="eastAsia" w:ascii="Times New Roman" w:hAnsi="Times New Roman" w:eastAsia="宋体" w:cs="宋体"/>
                <w:color w:val="000000" w:themeColor="text1"/>
                <w:sz w:val="21"/>
                <w:szCs w:val="24"/>
                <w:highlight w:val="none"/>
                <w:lang w:val="zh-CN"/>
                <w14:textFill>
                  <w14:solidFill>
                    <w14:schemeClr w14:val="tx1"/>
                  </w14:solidFill>
                </w14:textFill>
              </w:rPr>
              <w:t>考核因子</w:t>
            </w:r>
            <w:r>
              <w:rPr>
                <w:rFonts w:hint="eastAsia" w:ascii="Times New Roman" w:hAnsi="Times New Roman" w:eastAsia="宋体" w:cs="宋体"/>
                <w:color w:val="000000" w:themeColor="text1"/>
                <w:sz w:val="21"/>
                <w:szCs w:val="24"/>
                <w:highlight w:val="none"/>
                <w14:textFill>
                  <w14:solidFill>
                    <w14:schemeClr w14:val="tx1"/>
                  </w14:solidFill>
                </w14:textFill>
              </w:rPr>
              <w:t>：</w:t>
            </w:r>
            <w:r>
              <w:rPr>
                <w:rFonts w:hint="eastAsia" w:cs="宋体"/>
                <w:color w:val="000000" w:themeColor="text1"/>
                <w:sz w:val="21"/>
                <w:szCs w:val="24"/>
                <w:highlight w:val="none"/>
                <w:lang w:val="en-US" w:eastAsia="zh-CN"/>
                <w14:textFill>
                  <w14:solidFill>
                    <w14:schemeClr w14:val="tx1"/>
                  </w14:solidFill>
                </w14:textFill>
              </w:rPr>
              <w:t>氨、硫化氢</w:t>
            </w:r>
            <w:r>
              <w:rPr>
                <w:rFonts w:hint="eastAsia" w:ascii="Times New Roman" w:hAnsi="Times New Roman" w:eastAsia="宋体" w:cs="宋体"/>
                <w:color w:val="000000" w:themeColor="text1"/>
                <w:sz w:val="21"/>
                <w:szCs w:val="24"/>
                <w:highlight w:val="none"/>
                <w:lang w:val="zh-CN"/>
                <w14:textFill>
                  <w14:solidFill>
                    <w14:schemeClr w14:val="tx1"/>
                  </w14:solidFill>
                </w14:textFill>
              </w:rPr>
              <w:t>。</w:t>
            </w:r>
          </w:p>
          <w:p w14:paraId="68BF29E9">
            <w:pPr>
              <w:autoSpaceDE w:val="0"/>
              <w:autoSpaceDN w:val="0"/>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ascii="Times New Roman" w:hAnsi="Times New Roman" w:eastAsia="宋体" w:cs="宋体"/>
                <w:color w:val="000000" w:themeColor="text1"/>
                <w:sz w:val="21"/>
                <w:szCs w:val="24"/>
                <w:highlight w:val="none"/>
                <w:lang w:val="zh-CN"/>
                <w14:textFill>
                  <w14:solidFill>
                    <w14:schemeClr w14:val="tx1"/>
                  </w14:solidFill>
                </w14:textFill>
              </w:rPr>
              <w:t>水污染物总量控制因子</w:t>
            </w:r>
            <w:r>
              <w:rPr>
                <w:rFonts w:ascii="Times New Roman" w:hAnsi="Times New Roman" w:eastAsia="宋体" w:cs="宋体"/>
                <w:color w:val="000000" w:themeColor="text1"/>
                <w:sz w:val="21"/>
                <w:szCs w:val="24"/>
                <w:highlight w:val="none"/>
                <w14:textFill>
                  <w14:solidFill>
                    <w14:schemeClr w14:val="tx1"/>
                  </w14:solidFill>
                </w14:textFill>
              </w:rPr>
              <w:t>：</w:t>
            </w:r>
            <w:r>
              <w:rPr>
                <w:rFonts w:hint="eastAsia" w:ascii="Times New Roman" w:hAnsi="Times New Roman" w:eastAsia="宋体" w:cs="宋体"/>
                <w:color w:val="000000" w:themeColor="text1"/>
                <w:sz w:val="21"/>
                <w:szCs w:val="24"/>
                <w:highlight w:val="none"/>
                <w:lang w:val="en-US" w:eastAsia="zh-CN"/>
                <w14:textFill>
                  <w14:solidFill>
                    <w14:schemeClr w14:val="tx1"/>
                  </w14:solidFill>
                </w14:textFill>
              </w:rPr>
              <w:t>化学需氧量</w:t>
            </w:r>
            <w:r>
              <w:rPr>
                <w:rFonts w:ascii="Times New Roman" w:hAnsi="Times New Roman" w:eastAsia="宋体" w:cs="宋体"/>
                <w:color w:val="000000" w:themeColor="text1"/>
                <w:sz w:val="21"/>
                <w:szCs w:val="24"/>
                <w:highlight w:val="none"/>
                <w14:textFill>
                  <w14:solidFill>
                    <w14:schemeClr w14:val="tx1"/>
                  </w14:solidFill>
                </w14:textFill>
              </w:rPr>
              <w:t>；</w:t>
            </w:r>
            <w:r>
              <w:rPr>
                <w:rFonts w:hint="eastAsia" w:ascii="Times New Roman" w:hAnsi="Times New Roman" w:eastAsia="宋体" w:cs="宋体"/>
                <w:color w:val="000000" w:themeColor="text1"/>
                <w:sz w:val="21"/>
                <w:szCs w:val="24"/>
                <w:highlight w:val="none"/>
                <w:lang w:val="zh-CN"/>
                <w14:textFill>
                  <w14:solidFill>
                    <w14:schemeClr w14:val="tx1"/>
                  </w14:solidFill>
                </w14:textFill>
              </w:rPr>
              <w:t>考核因子</w:t>
            </w:r>
            <w:r>
              <w:rPr>
                <w:rFonts w:hint="eastAsia" w:ascii="Times New Roman" w:hAnsi="Times New Roman" w:eastAsia="宋体" w:cs="宋体"/>
                <w:color w:val="000000" w:themeColor="text1"/>
                <w:sz w:val="21"/>
                <w:szCs w:val="24"/>
                <w:highlight w:val="none"/>
                <w14:textFill>
                  <w14:solidFill>
                    <w14:schemeClr w14:val="tx1"/>
                  </w14:solidFill>
                </w14:textFill>
              </w:rPr>
              <w:t>：</w:t>
            </w:r>
            <w:r>
              <w:rPr>
                <w:rFonts w:hint="eastAsia" w:ascii="Times New Roman" w:hAnsi="Times New Roman" w:eastAsia="宋体" w:cs="宋体"/>
                <w:color w:val="000000" w:themeColor="text1"/>
                <w:sz w:val="21"/>
                <w:szCs w:val="24"/>
                <w:highlight w:val="none"/>
                <w:lang w:val="en-US" w:eastAsia="zh-CN"/>
                <w14:textFill>
                  <w14:solidFill>
                    <w14:schemeClr w14:val="tx1"/>
                  </w14:solidFill>
                </w14:textFill>
              </w:rPr>
              <w:t>氨氮、总磷、总氮、悬浮物</w:t>
            </w:r>
            <w:r>
              <w:rPr>
                <w:rFonts w:hint="eastAsia" w:ascii="Times New Roman" w:hAnsi="Times New Roman" w:eastAsia="宋体" w:cs="宋体"/>
                <w:color w:val="000000" w:themeColor="text1"/>
                <w:sz w:val="21"/>
                <w:szCs w:val="24"/>
                <w:highlight w:val="none"/>
                <w:lang w:val="zh-CN"/>
                <w14:textFill>
                  <w14:solidFill>
                    <w14:schemeClr w14:val="tx1"/>
                  </w14:solidFill>
                </w14:textFill>
              </w:rPr>
              <w:t>。</w:t>
            </w:r>
          </w:p>
          <w:p w14:paraId="646E13E0">
            <w:pPr>
              <w:spacing w:line="360" w:lineRule="auto"/>
              <w:ind w:firstLine="422" w:firstLineChars="200"/>
              <w:rPr>
                <w:rFonts w:ascii="Times New Roman" w:hAnsi="Times New Roman" w:eastAsia="宋体" w:cs="宋体"/>
                <w:b/>
                <w:bCs/>
                <w:color w:val="000000" w:themeColor="text1"/>
                <w:sz w:val="21"/>
                <w:szCs w:val="24"/>
                <w:highlight w:val="none"/>
                <w14:textFill>
                  <w14:solidFill>
                    <w14:schemeClr w14:val="tx1"/>
                  </w14:solidFill>
                </w14:textFill>
              </w:rPr>
            </w:pPr>
            <w:r>
              <w:rPr>
                <w:rFonts w:hint="eastAsia" w:ascii="Times New Roman" w:hAnsi="Times New Roman" w:eastAsia="宋体" w:cs="宋体"/>
                <w:b/>
                <w:bCs/>
                <w:color w:val="000000" w:themeColor="text1"/>
                <w:sz w:val="21"/>
                <w:szCs w:val="24"/>
                <w:highlight w:val="none"/>
                <w14:textFill>
                  <w14:solidFill>
                    <w14:schemeClr w14:val="tx1"/>
                  </w14:solidFill>
                </w14:textFill>
              </w:rPr>
              <w:t>2、</w:t>
            </w:r>
            <w:r>
              <w:rPr>
                <w:rFonts w:ascii="Times New Roman" w:hAnsi="Times New Roman" w:eastAsia="宋体" w:cs="宋体"/>
                <w:b/>
                <w:bCs/>
                <w:color w:val="000000" w:themeColor="text1"/>
                <w:sz w:val="21"/>
                <w:szCs w:val="24"/>
                <w:highlight w:val="none"/>
                <w14:textFill>
                  <w14:solidFill>
                    <w14:schemeClr w14:val="tx1"/>
                  </w14:solidFill>
                </w14:textFill>
              </w:rPr>
              <w:t>总量平衡方案</w:t>
            </w:r>
          </w:p>
          <w:p w14:paraId="2D091CFE">
            <w:pPr>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ascii="Times New Roman" w:hAnsi="Times New Roman" w:eastAsia="宋体" w:cs="宋体"/>
                <w:color w:val="000000" w:themeColor="text1"/>
                <w:sz w:val="21"/>
                <w:szCs w:val="24"/>
                <w:highlight w:val="none"/>
                <w14:textFill>
                  <w14:solidFill>
                    <w14:schemeClr w14:val="tx1"/>
                  </w14:solidFill>
                </w14:textFill>
              </w:rPr>
              <w:t>大气污染物：本项目</w:t>
            </w:r>
            <w:r>
              <w:rPr>
                <w:rFonts w:hint="eastAsia" w:ascii="Times New Roman" w:hAnsi="Times New Roman" w:eastAsia="宋体" w:cs="宋体"/>
                <w:color w:val="000000" w:themeColor="text1"/>
                <w:sz w:val="21"/>
                <w:szCs w:val="24"/>
                <w:highlight w:val="none"/>
                <w14:textFill>
                  <w14:solidFill>
                    <w14:schemeClr w14:val="tx1"/>
                  </w14:solidFill>
                </w14:textFill>
              </w:rPr>
              <w:t>废气中各因子在</w:t>
            </w:r>
            <w:r>
              <w:rPr>
                <w:rFonts w:hint="eastAsia" w:cs="宋体"/>
                <w:color w:val="000000" w:themeColor="text1"/>
                <w:sz w:val="21"/>
                <w:szCs w:val="24"/>
                <w:highlight w:val="none"/>
                <w:lang w:val="en-US" w:eastAsia="zh-CN"/>
                <w14:textFill>
                  <w14:solidFill>
                    <w14:schemeClr w14:val="tx1"/>
                  </w14:solidFill>
                </w14:textFill>
              </w:rPr>
              <w:t>金坛</w:t>
            </w:r>
            <w:r>
              <w:rPr>
                <w:rFonts w:hint="eastAsia" w:cs="宋体"/>
                <w:color w:val="000000" w:themeColor="text1"/>
                <w:sz w:val="21"/>
                <w:szCs w:val="24"/>
                <w:highlight w:val="none"/>
                <w:lang w:eastAsia="zh-CN"/>
                <w14:textFill>
                  <w14:solidFill>
                    <w14:schemeClr w14:val="tx1"/>
                  </w14:solidFill>
                </w14:textFill>
              </w:rPr>
              <w:t>区</w:t>
            </w:r>
            <w:r>
              <w:rPr>
                <w:rFonts w:hint="eastAsia" w:ascii="Times New Roman" w:hAnsi="Times New Roman" w:eastAsia="宋体" w:cs="宋体"/>
                <w:color w:val="000000" w:themeColor="text1"/>
                <w:sz w:val="21"/>
                <w:szCs w:val="24"/>
                <w:highlight w:val="none"/>
                <w14:textFill>
                  <w14:solidFill>
                    <w14:schemeClr w14:val="tx1"/>
                  </w14:solidFill>
                </w14:textFill>
              </w:rPr>
              <w:t>范围内平衡</w:t>
            </w:r>
            <w:r>
              <w:rPr>
                <w:rFonts w:ascii="Times New Roman" w:hAnsi="Times New Roman" w:eastAsia="宋体" w:cs="宋体"/>
                <w:color w:val="000000" w:themeColor="text1"/>
                <w:sz w:val="21"/>
                <w:szCs w:val="24"/>
                <w:highlight w:val="none"/>
                <w14:textFill>
                  <w14:solidFill>
                    <w14:schemeClr w14:val="tx1"/>
                  </w14:solidFill>
                </w14:textFill>
              </w:rPr>
              <w:t>。</w:t>
            </w:r>
          </w:p>
          <w:p w14:paraId="259D77A0">
            <w:pPr>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ascii="Times New Roman" w:hAnsi="Times New Roman" w:eastAsia="宋体" w:cs="宋体"/>
                <w:color w:val="000000" w:themeColor="text1"/>
                <w:sz w:val="21"/>
                <w:szCs w:val="24"/>
                <w:highlight w:val="none"/>
                <w14:textFill>
                  <w14:solidFill>
                    <w14:schemeClr w14:val="tx1"/>
                  </w14:solidFill>
                </w14:textFill>
              </w:rPr>
              <w:t>水污染物：本项目</w:t>
            </w:r>
            <w:r>
              <w:rPr>
                <w:rFonts w:hint="eastAsia" w:ascii="Times New Roman" w:hAnsi="Times New Roman" w:eastAsia="宋体" w:cs="宋体"/>
                <w:color w:val="000000" w:themeColor="text1"/>
                <w:sz w:val="21"/>
                <w:szCs w:val="24"/>
                <w:highlight w:val="none"/>
                <w14:textFill>
                  <w14:solidFill>
                    <w14:schemeClr w14:val="tx1"/>
                  </w14:solidFill>
                </w14:textFill>
              </w:rPr>
              <w:t>废水</w:t>
            </w:r>
            <w:r>
              <w:rPr>
                <w:rFonts w:ascii="Times New Roman" w:hAnsi="Times New Roman" w:eastAsia="宋体" w:cs="宋体"/>
                <w:color w:val="000000" w:themeColor="text1"/>
                <w:sz w:val="21"/>
                <w:szCs w:val="24"/>
                <w:highlight w:val="none"/>
                <w14:textFill>
                  <w14:solidFill>
                    <w14:schemeClr w14:val="tx1"/>
                  </w14:solidFill>
                </w14:textFill>
              </w:rPr>
              <w:t>经市政管网接管至</w:t>
            </w:r>
            <w:r>
              <w:rPr>
                <w:rFonts w:hint="eastAsia" w:cs="宋体"/>
                <w:color w:val="000000" w:themeColor="text1"/>
                <w:sz w:val="21"/>
                <w:szCs w:val="24"/>
                <w:highlight w:val="none"/>
                <w:lang w:val="en-US" w:eastAsia="zh-CN"/>
                <w14:textFill>
                  <w14:solidFill>
                    <w14:schemeClr w14:val="tx1"/>
                  </w14:solidFill>
                </w14:textFill>
              </w:rPr>
              <w:t>指前污水处理厂</w:t>
            </w:r>
            <w:r>
              <w:rPr>
                <w:rFonts w:ascii="Times New Roman" w:hAnsi="Times New Roman" w:eastAsia="宋体" w:cs="宋体"/>
                <w:color w:val="000000" w:themeColor="text1"/>
                <w:sz w:val="21"/>
                <w:szCs w:val="24"/>
                <w:highlight w:val="none"/>
                <w14:textFill>
                  <w14:solidFill>
                    <w14:schemeClr w14:val="tx1"/>
                  </w14:solidFill>
                </w14:textFill>
              </w:rPr>
              <w:t>集中处理，废水中各污染物总量在</w:t>
            </w:r>
            <w:r>
              <w:rPr>
                <w:rFonts w:hint="eastAsia" w:cs="宋体"/>
                <w:color w:val="000000" w:themeColor="text1"/>
                <w:sz w:val="21"/>
                <w:szCs w:val="24"/>
                <w:highlight w:val="none"/>
                <w:lang w:val="en-US" w:eastAsia="zh-CN"/>
                <w14:textFill>
                  <w14:solidFill>
                    <w14:schemeClr w14:val="tx1"/>
                  </w14:solidFill>
                </w14:textFill>
              </w:rPr>
              <w:t>指前污水处理厂</w:t>
            </w:r>
            <w:r>
              <w:rPr>
                <w:rFonts w:ascii="Times New Roman" w:hAnsi="Times New Roman" w:eastAsia="宋体" w:cs="宋体"/>
                <w:color w:val="000000" w:themeColor="text1"/>
                <w:sz w:val="21"/>
                <w:szCs w:val="24"/>
                <w:highlight w:val="none"/>
                <w14:textFill>
                  <w14:solidFill>
                    <w14:schemeClr w14:val="tx1"/>
                  </w14:solidFill>
                </w14:textFill>
              </w:rPr>
              <w:t>内实现平衡。</w:t>
            </w:r>
          </w:p>
          <w:p w14:paraId="197150AD">
            <w:pPr>
              <w:spacing w:line="360" w:lineRule="auto"/>
              <w:ind w:firstLine="420" w:firstLineChars="200"/>
              <w:rPr>
                <w:rFonts w:ascii="Times New Roman" w:hAnsi="Times New Roman" w:eastAsia="宋体" w:cs="宋体"/>
                <w:color w:val="000000" w:themeColor="text1"/>
                <w:sz w:val="21"/>
                <w:szCs w:val="24"/>
                <w:highlight w:val="none"/>
                <w14:textFill>
                  <w14:solidFill>
                    <w14:schemeClr w14:val="tx1"/>
                  </w14:solidFill>
                </w14:textFill>
              </w:rPr>
            </w:pPr>
            <w:r>
              <w:rPr>
                <w:rFonts w:hint="eastAsia" w:ascii="Times New Roman" w:hAnsi="Times New Roman" w:eastAsia="宋体" w:cs="宋体"/>
                <w:color w:val="000000" w:themeColor="text1"/>
                <w:sz w:val="21"/>
                <w:szCs w:val="24"/>
                <w:highlight w:val="none"/>
                <w14:textFill>
                  <w14:solidFill>
                    <w14:schemeClr w14:val="tx1"/>
                  </w14:solidFill>
                </w14:textFill>
              </w:rPr>
              <w:t>固体废物：</w:t>
            </w:r>
            <w:r>
              <w:rPr>
                <w:rFonts w:ascii="Times New Roman" w:hAnsi="Times New Roman" w:eastAsia="宋体" w:cs="宋体"/>
                <w:color w:val="000000" w:themeColor="text1"/>
                <w:sz w:val="21"/>
                <w:szCs w:val="24"/>
                <w:highlight w:val="none"/>
                <w14:textFill>
                  <w14:solidFill>
                    <w14:schemeClr w14:val="tx1"/>
                  </w14:solidFill>
                </w14:textFill>
              </w:rPr>
              <w:t>本项目</w:t>
            </w:r>
            <w:r>
              <w:rPr>
                <w:rFonts w:hint="eastAsia" w:cs="宋体"/>
                <w:color w:val="000000" w:themeColor="text1"/>
                <w:sz w:val="21"/>
                <w:szCs w:val="24"/>
                <w:highlight w:val="none"/>
                <w:lang w:val="en-US" w:eastAsia="zh-CN"/>
                <w14:textFill>
                  <w14:solidFill>
                    <w14:schemeClr w14:val="tx1"/>
                  </w14:solidFill>
                </w14:textFill>
              </w:rPr>
              <w:t>固体废物</w:t>
            </w:r>
            <w:r>
              <w:rPr>
                <w:rFonts w:ascii="Times New Roman" w:hAnsi="Times New Roman" w:eastAsia="宋体" w:cs="宋体"/>
                <w:color w:val="000000" w:themeColor="text1"/>
                <w:sz w:val="21"/>
                <w:szCs w:val="24"/>
                <w:highlight w:val="none"/>
                <w14:textFill>
                  <w14:solidFill>
                    <w14:schemeClr w14:val="tx1"/>
                  </w14:solidFill>
                </w14:textFill>
              </w:rPr>
              <w:t>均</w:t>
            </w:r>
            <w:r>
              <w:rPr>
                <w:rFonts w:hint="eastAsia" w:cs="宋体"/>
                <w:color w:val="000000" w:themeColor="text1"/>
                <w:sz w:val="21"/>
                <w:szCs w:val="24"/>
                <w:highlight w:val="none"/>
                <w:lang w:eastAsia="zh-CN"/>
                <w14:textFill>
                  <w14:solidFill>
                    <w14:schemeClr w14:val="tx1"/>
                  </w14:solidFill>
                </w14:textFill>
              </w:rPr>
              <w:t>得到有效的</w:t>
            </w:r>
            <w:r>
              <w:rPr>
                <w:rFonts w:ascii="Times New Roman" w:hAnsi="Times New Roman" w:eastAsia="宋体" w:cs="宋体"/>
                <w:color w:val="000000" w:themeColor="text1"/>
                <w:sz w:val="21"/>
                <w:szCs w:val="24"/>
                <w:highlight w:val="none"/>
                <w14:textFill>
                  <w14:solidFill>
                    <w14:schemeClr w14:val="tx1"/>
                  </w14:solidFill>
                </w14:textFill>
              </w:rPr>
              <w:t>处理处置，不外排，无需申请总量。</w:t>
            </w:r>
          </w:p>
          <w:p w14:paraId="27765C2F">
            <w:pPr>
              <w:spacing w:line="360" w:lineRule="auto"/>
              <w:ind w:firstLine="480" w:firstLineChars="200"/>
              <w:rPr>
                <w:rFonts w:ascii="Times New Roman" w:hAnsi="Times New Roman" w:eastAsia="宋体" w:cs="宋体"/>
                <w:color w:val="000000" w:themeColor="text1"/>
                <w:sz w:val="24"/>
                <w:szCs w:val="32"/>
                <w:highlight w:val="none"/>
                <w14:textFill>
                  <w14:solidFill>
                    <w14:schemeClr w14:val="tx1"/>
                  </w14:solidFill>
                </w14:textFill>
              </w:rPr>
            </w:pPr>
          </w:p>
          <w:p w14:paraId="70786704">
            <w:pPr>
              <w:spacing w:line="360" w:lineRule="auto"/>
              <w:ind w:firstLine="480" w:firstLineChars="200"/>
              <w:rPr>
                <w:rFonts w:ascii="Times New Roman" w:hAnsi="Times New Roman" w:eastAsia="宋体" w:cs="宋体"/>
                <w:color w:val="000000" w:themeColor="text1"/>
                <w:sz w:val="24"/>
                <w:szCs w:val="32"/>
                <w:highlight w:val="none"/>
                <w14:textFill>
                  <w14:solidFill>
                    <w14:schemeClr w14:val="tx1"/>
                  </w14:solidFill>
                </w14:textFill>
              </w:rPr>
            </w:pPr>
          </w:p>
          <w:p w14:paraId="7F6A8B70">
            <w:pPr>
              <w:spacing w:line="360" w:lineRule="auto"/>
              <w:ind w:firstLine="480" w:firstLineChars="200"/>
              <w:rPr>
                <w:rFonts w:hint="eastAsia" w:ascii="Times New Roman" w:hAnsi="Times New Roman" w:eastAsia="宋体" w:cs="宋体"/>
                <w:color w:val="000000" w:themeColor="text1"/>
                <w:sz w:val="24"/>
                <w:szCs w:val="32"/>
                <w:highlight w:val="none"/>
                <w:lang w:val="en-US" w:eastAsia="zh-CN"/>
                <w14:textFill>
                  <w14:solidFill>
                    <w14:schemeClr w14:val="tx1"/>
                  </w14:solidFill>
                </w14:textFill>
              </w:rPr>
            </w:pPr>
          </w:p>
          <w:p w14:paraId="16D96CC2">
            <w:pPr>
              <w:spacing w:line="360" w:lineRule="auto"/>
              <w:ind w:firstLine="420" w:firstLineChars="200"/>
              <w:rPr>
                <w:rFonts w:hint="default" w:ascii="Times New Roman" w:hAnsi="Times New Roman" w:eastAsia="宋体" w:cs="宋体"/>
                <w:snapToGrid w:val="0"/>
                <w:color w:val="000000" w:themeColor="text1"/>
                <w:sz w:val="21"/>
                <w:szCs w:val="21"/>
                <w:highlight w:val="none"/>
                <w:vertAlign w:val="baseline"/>
                <w:lang w:val="en-US" w:eastAsia="zh-CN"/>
                <w14:textFill>
                  <w14:solidFill>
                    <w14:schemeClr w14:val="tx1"/>
                  </w14:solidFill>
                </w14:textFill>
              </w:rPr>
            </w:pPr>
          </w:p>
        </w:tc>
      </w:tr>
    </w:tbl>
    <w:p w14:paraId="5115E431">
      <w:pPr>
        <w:pStyle w:val="22"/>
        <w:widowControl w:val="0"/>
        <w:jc w:val="center"/>
        <w:outlineLvl w:val="0"/>
        <w:rPr>
          <w:rFonts w:hint="eastAsia" w:ascii="Times New Roman" w:hAnsi="Times New Roman" w:eastAsia="宋体" w:cs="宋体"/>
          <w:snapToGrid w:val="0"/>
          <w:color w:val="000000" w:themeColor="text1"/>
          <w:sz w:val="30"/>
          <w:szCs w:val="30"/>
          <w:highlight w:val="none"/>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tbl>
      <w:tblPr>
        <w:tblStyle w:val="24"/>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120"/>
      </w:tblGrid>
      <w:tr w14:paraId="13D39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54" w:hRule="atLeast"/>
        </w:trPr>
        <w:tc>
          <w:tcPr>
            <w:tcW w:w="14034" w:type="dxa"/>
            <w:tcBorders>
              <w:tl2br w:val="nil"/>
              <w:tr2bl w:val="nil"/>
            </w:tcBorders>
          </w:tcPr>
          <w:p w14:paraId="32A18866">
            <w:pPr>
              <w:spacing w:line="360" w:lineRule="auto"/>
              <w:ind w:firstLine="482" w:firstLineChars="200"/>
              <w:rPr>
                <w:rFonts w:ascii="Times New Roman" w:hAnsi="Times New Roman" w:eastAsia="宋体"/>
                <w:b/>
                <w:color w:val="000000" w:themeColor="text1"/>
                <w:sz w:val="24"/>
                <w:highlight w:val="none"/>
                <w14:textFill>
                  <w14:solidFill>
                    <w14:schemeClr w14:val="tx1"/>
                  </w14:solidFill>
                </w14:textFill>
              </w:rPr>
            </w:pPr>
            <w:bookmarkStart w:id="7" w:name="_Toc13968"/>
            <w:r>
              <w:rPr>
                <w:rFonts w:hint="eastAsia" w:ascii="Times New Roman" w:hAnsi="Times New Roman" w:eastAsia="宋体"/>
                <w:b/>
                <w:color w:val="000000" w:themeColor="text1"/>
                <w:sz w:val="24"/>
                <w:highlight w:val="none"/>
                <w14:textFill>
                  <w14:solidFill>
                    <w14:schemeClr w14:val="tx1"/>
                  </w14:solidFill>
                </w14:textFill>
              </w:rPr>
              <w:t>3</w:t>
            </w:r>
            <w:r>
              <w:rPr>
                <w:rFonts w:ascii="Times New Roman" w:hAnsi="Times New Roman" w:eastAsia="宋体"/>
                <w:b/>
                <w:color w:val="000000" w:themeColor="text1"/>
                <w:sz w:val="24"/>
                <w:highlight w:val="none"/>
                <w14:textFill>
                  <w14:solidFill>
                    <w14:schemeClr w14:val="tx1"/>
                  </w14:solidFill>
                </w14:textFill>
              </w:rPr>
              <w:t>、总量控制指标</w:t>
            </w:r>
          </w:p>
          <w:p w14:paraId="3F42E799">
            <w:pPr>
              <w:keepNext w:val="0"/>
              <w:keepLines w:val="0"/>
              <w:pageBreakBefore w:val="0"/>
              <w:widowControl w:val="0"/>
              <w:tabs>
                <w:tab w:val="left" w:pos="960"/>
              </w:tabs>
              <w:kinsoku/>
              <w:wordWrap/>
              <w:overflowPunct/>
              <w:topLinePunct w:val="0"/>
              <w:autoSpaceDE/>
              <w:autoSpaceDN/>
              <w:bidi w:val="0"/>
              <w:adjustRightInd/>
              <w:snapToGrid/>
              <w:spacing w:before="157" w:beforeLines="50"/>
              <w:jc w:val="center"/>
              <w:textAlignment w:val="auto"/>
              <w:rPr>
                <w:rFonts w:hint="eastAsia" w:ascii="Times New Roman" w:hAnsi="Times New Roman" w:eastAsia="宋体" w:cs="Times New Roman"/>
                <w:b/>
                <w:bCs/>
                <w:smallCaps w:val="0"/>
                <w:color w:val="000000" w:themeColor="text1"/>
                <w:spacing w:val="-4"/>
                <w:szCs w:val="21"/>
                <w:highlight w:val="none"/>
                <w:lang w:val="en-US" w:eastAsia="zh-CN"/>
                <w14:textFill>
                  <w14:solidFill>
                    <w14:schemeClr w14:val="tx1"/>
                  </w14:solidFill>
                </w14:textFill>
              </w:rPr>
            </w:pPr>
            <w:r>
              <w:rPr>
                <w:rFonts w:hint="eastAsia" w:ascii="Times New Roman" w:hAnsi="Times New Roman" w:eastAsia="宋体" w:cs="Times New Roman"/>
                <w:b/>
                <w:bCs/>
                <w:smallCaps w:val="0"/>
                <w:color w:val="000000" w:themeColor="text1"/>
                <w:spacing w:val="-4"/>
                <w:szCs w:val="21"/>
                <w:highlight w:val="none"/>
                <w:lang w:val="en-US" w:eastAsia="zh-CN"/>
                <w14:textFill>
                  <w14:solidFill>
                    <w14:schemeClr w14:val="tx1"/>
                  </w14:solidFill>
                </w14:textFill>
              </w:rPr>
              <w:t>表3</w:t>
            </w:r>
            <w:r>
              <w:rPr>
                <w:rFonts w:hint="eastAsia" w:cs="Times New Roman"/>
                <w:b/>
                <w:bCs/>
                <w:smallCaps w:val="0"/>
                <w:color w:val="000000" w:themeColor="text1"/>
                <w:spacing w:val="-4"/>
                <w:szCs w:val="21"/>
                <w:highlight w:val="none"/>
                <w:lang w:val="en-US" w:eastAsia="zh-CN"/>
                <w14:textFill>
                  <w14:solidFill>
                    <w14:schemeClr w14:val="tx1"/>
                  </w14:solidFill>
                </w14:textFill>
              </w:rPr>
              <w:t>-9</w:t>
            </w:r>
            <w:r>
              <w:rPr>
                <w:rFonts w:hint="eastAsia" w:ascii="Times New Roman" w:hAnsi="Times New Roman" w:eastAsia="宋体" w:cs="Times New Roman"/>
                <w:b/>
                <w:bCs/>
                <w:smallCaps w:val="0"/>
                <w:color w:val="000000" w:themeColor="text1"/>
                <w:spacing w:val="-4"/>
                <w:szCs w:val="21"/>
                <w:highlight w:val="none"/>
                <w:lang w:val="en-US" w:eastAsia="zh-CN"/>
                <w14:textFill>
                  <w14:solidFill>
                    <w14:schemeClr w14:val="tx1"/>
                  </w14:solidFill>
                </w14:textFill>
              </w:rPr>
              <w:t xml:space="preserve">  本项目实施后污染物“三本账”  单位：t/a</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586"/>
              <w:gridCol w:w="1179"/>
              <w:gridCol w:w="2338"/>
              <w:gridCol w:w="1066"/>
              <w:gridCol w:w="1066"/>
              <w:gridCol w:w="1066"/>
              <w:gridCol w:w="1066"/>
              <w:gridCol w:w="1068"/>
              <w:gridCol w:w="1154"/>
              <w:gridCol w:w="1154"/>
              <w:gridCol w:w="1156"/>
            </w:tblGrid>
            <w:tr w14:paraId="37F114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4" w:type="pct"/>
                  <w:gridSpan w:val="2"/>
                  <w:vMerge w:val="restart"/>
                  <w:vAlign w:val="center"/>
                </w:tcPr>
                <w:p w14:paraId="7998A96B">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污染物种类</w:t>
                  </w:r>
                </w:p>
              </w:tc>
              <w:tc>
                <w:tcPr>
                  <w:tcW w:w="906" w:type="pct"/>
                  <w:vMerge w:val="restart"/>
                  <w:vAlign w:val="center"/>
                </w:tcPr>
                <w:p w14:paraId="7E82C687">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污染物名称</w:t>
                  </w:r>
                </w:p>
              </w:tc>
              <w:tc>
                <w:tcPr>
                  <w:tcW w:w="826" w:type="pct"/>
                  <w:gridSpan w:val="2"/>
                  <w:vAlign w:val="center"/>
                </w:tcPr>
                <w:p w14:paraId="2A35F199">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现有项目</w:t>
                  </w:r>
                </w:p>
              </w:tc>
              <w:tc>
                <w:tcPr>
                  <w:tcW w:w="1240" w:type="pct"/>
                  <w:gridSpan w:val="3"/>
                  <w:vAlign w:val="center"/>
                </w:tcPr>
                <w:p w14:paraId="0F46ADD6">
                  <w:pPr>
                    <w:widowControl/>
                    <w:snapToGrid w:val="0"/>
                    <w:jc w:val="center"/>
                    <w:textAlignment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本项目</w:t>
                  </w:r>
                </w:p>
              </w:tc>
              <w:tc>
                <w:tcPr>
                  <w:tcW w:w="447" w:type="pct"/>
                  <w:vMerge w:val="restart"/>
                  <w:vAlign w:val="center"/>
                </w:tcPr>
                <w:p w14:paraId="43287E45">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“以新带老”</w:t>
                  </w:r>
                </w:p>
                <w:p w14:paraId="76B96F22">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削减量</w:t>
                  </w:r>
                </w:p>
              </w:tc>
              <w:tc>
                <w:tcPr>
                  <w:tcW w:w="447" w:type="pct"/>
                  <w:vMerge w:val="restart"/>
                  <w:vAlign w:val="center"/>
                </w:tcPr>
                <w:p w14:paraId="1C9D11F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全厂排放量</w:t>
                  </w:r>
                </w:p>
              </w:tc>
              <w:tc>
                <w:tcPr>
                  <w:tcW w:w="448" w:type="pct"/>
                  <w:vMerge w:val="restart"/>
                  <w:vAlign w:val="center"/>
                </w:tcPr>
                <w:p w14:paraId="01485DC7">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变化量</w:t>
                  </w:r>
                </w:p>
              </w:tc>
            </w:tr>
            <w:tr w14:paraId="188B7D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4" w:type="pct"/>
                  <w:gridSpan w:val="2"/>
                  <w:vMerge w:val="continue"/>
                  <w:vAlign w:val="center"/>
                </w:tcPr>
                <w:p w14:paraId="70AA137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906" w:type="pct"/>
                  <w:vMerge w:val="continue"/>
                  <w:vAlign w:val="center"/>
                </w:tcPr>
                <w:p w14:paraId="6ABF7A5A">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13" w:type="pct"/>
                  <w:vAlign w:val="center"/>
                </w:tcPr>
                <w:p w14:paraId="69D8008F">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实际排放量</w:t>
                  </w:r>
                </w:p>
              </w:tc>
              <w:tc>
                <w:tcPr>
                  <w:tcW w:w="413" w:type="pct"/>
                  <w:vAlign w:val="center"/>
                </w:tcPr>
                <w:p w14:paraId="424ECCFB">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hint="eastAsia" w:ascii="Times New Roman" w:hAnsi="Times New Roman" w:eastAsia="宋体"/>
                      <w:color w:val="000000" w:themeColor="text1"/>
                      <w:kern w:val="0"/>
                      <w:szCs w:val="21"/>
                      <w:highlight w:val="none"/>
                      <w14:textFill>
                        <w14:solidFill>
                          <w14:schemeClr w14:val="tx1"/>
                        </w14:solidFill>
                      </w14:textFill>
                    </w:rPr>
                    <w:t>批准量</w:t>
                  </w:r>
                </w:p>
              </w:tc>
              <w:tc>
                <w:tcPr>
                  <w:tcW w:w="413" w:type="pct"/>
                  <w:vAlign w:val="center"/>
                </w:tcPr>
                <w:p w14:paraId="5B5C52F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产生量</w:t>
                  </w:r>
                </w:p>
              </w:tc>
              <w:tc>
                <w:tcPr>
                  <w:tcW w:w="413" w:type="pct"/>
                  <w:vAlign w:val="center"/>
                </w:tcPr>
                <w:p w14:paraId="1B1B0CA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削减量</w:t>
                  </w:r>
                </w:p>
              </w:tc>
              <w:tc>
                <w:tcPr>
                  <w:tcW w:w="413" w:type="pct"/>
                  <w:vAlign w:val="center"/>
                </w:tcPr>
                <w:p w14:paraId="4BF064E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hint="eastAsia" w:ascii="Times New Roman" w:hAnsi="Times New Roman" w:eastAsia="宋体"/>
                      <w:color w:val="000000" w:themeColor="text1"/>
                      <w:kern w:val="0"/>
                      <w:szCs w:val="21"/>
                      <w:highlight w:val="none"/>
                      <w14:textFill>
                        <w14:solidFill>
                          <w14:schemeClr w14:val="tx1"/>
                        </w14:solidFill>
                      </w14:textFill>
                    </w:rPr>
                    <w:t>排放量</w:t>
                  </w:r>
                </w:p>
              </w:tc>
              <w:tc>
                <w:tcPr>
                  <w:tcW w:w="447" w:type="pct"/>
                  <w:vMerge w:val="continue"/>
                  <w:vAlign w:val="center"/>
                </w:tcPr>
                <w:p w14:paraId="247510D2">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47" w:type="pct"/>
                  <w:vMerge w:val="continue"/>
                  <w:vAlign w:val="center"/>
                </w:tcPr>
                <w:p w14:paraId="5A1279C0">
                  <w:pPr>
                    <w:widowControl/>
                    <w:snapToGrid w:val="0"/>
                    <w:jc w:val="center"/>
                    <w:textAlignment w:val="center"/>
                    <w:rPr>
                      <w:rFonts w:ascii="Times New Roman" w:hAnsi="Times New Roman" w:eastAsia="宋体"/>
                      <w:color w:val="000000" w:themeColor="text1"/>
                      <w:kern w:val="0"/>
                      <w:szCs w:val="21"/>
                      <w:highlight w:val="none"/>
                      <w14:textFill>
                        <w14:solidFill>
                          <w14:schemeClr w14:val="tx1"/>
                        </w14:solidFill>
                      </w14:textFill>
                    </w:rPr>
                  </w:pPr>
                </w:p>
              </w:tc>
              <w:tc>
                <w:tcPr>
                  <w:tcW w:w="448" w:type="pct"/>
                  <w:vMerge w:val="continue"/>
                  <w:vAlign w:val="center"/>
                </w:tcPr>
                <w:p w14:paraId="376D3D90">
                  <w:pPr>
                    <w:snapToGrid w:val="0"/>
                    <w:jc w:val="center"/>
                    <w:rPr>
                      <w:rFonts w:ascii="Times New Roman" w:hAnsi="Times New Roman" w:eastAsia="宋体"/>
                      <w:color w:val="000000" w:themeColor="text1"/>
                      <w:kern w:val="0"/>
                      <w:szCs w:val="21"/>
                      <w:highlight w:val="none"/>
                      <w14:textFill>
                        <w14:solidFill>
                          <w14:schemeClr w14:val="tx1"/>
                        </w14:solidFill>
                      </w14:textFill>
                    </w:rPr>
                  </w:pPr>
                </w:p>
              </w:tc>
            </w:tr>
            <w:tr w14:paraId="0B17D3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restart"/>
                  <w:vAlign w:val="center"/>
                </w:tcPr>
                <w:p w14:paraId="68A37CAA">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废气</w:t>
                  </w:r>
                </w:p>
              </w:tc>
              <w:tc>
                <w:tcPr>
                  <w:tcW w:w="457" w:type="pct"/>
                  <w:vMerge w:val="restart"/>
                  <w:vAlign w:val="center"/>
                </w:tcPr>
                <w:p w14:paraId="42D8C92A">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有组织</w:t>
                  </w:r>
                </w:p>
              </w:tc>
              <w:tc>
                <w:tcPr>
                  <w:tcW w:w="906" w:type="pct"/>
                  <w:vAlign w:val="center"/>
                </w:tcPr>
                <w:p w14:paraId="144C1875">
                  <w:pPr>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氨</w:t>
                  </w:r>
                </w:p>
              </w:tc>
              <w:tc>
                <w:tcPr>
                  <w:tcW w:w="413" w:type="pct"/>
                  <w:vAlign w:val="center"/>
                </w:tcPr>
                <w:p w14:paraId="294C88AB">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shd w:val="clear" w:color="auto" w:fill="auto"/>
                  <w:vAlign w:val="center"/>
                </w:tcPr>
                <w:p w14:paraId="05E4A7D9">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vAlign w:val="center"/>
                </w:tcPr>
                <w:p w14:paraId="00C7922D">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1.3799</w:t>
                  </w:r>
                </w:p>
              </w:tc>
              <w:tc>
                <w:tcPr>
                  <w:tcW w:w="413" w:type="pct"/>
                  <w:vAlign w:val="center"/>
                </w:tcPr>
                <w:p w14:paraId="52267F9E">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t>1.2419</w:t>
                  </w:r>
                </w:p>
              </w:tc>
              <w:tc>
                <w:tcPr>
                  <w:tcW w:w="413" w:type="pct"/>
                  <w:vAlign w:val="center"/>
                </w:tcPr>
                <w:p w14:paraId="388D146D">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c>
                <w:tcPr>
                  <w:tcW w:w="447" w:type="pct"/>
                  <w:vAlign w:val="center"/>
                </w:tcPr>
                <w:p w14:paraId="18451233">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w:t>
                  </w:r>
                </w:p>
              </w:tc>
              <w:tc>
                <w:tcPr>
                  <w:tcW w:w="447" w:type="pct"/>
                  <w:shd w:val="clear" w:color="auto" w:fill="auto"/>
                  <w:vAlign w:val="center"/>
                </w:tcPr>
                <w:p w14:paraId="7D46AAA8">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c>
                <w:tcPr>
                  <w:tcW w:w="448" w:type="pct"/>
                  <w:shd w:val="clear" w:color="auto" w:fill="auto"/>
                  <w:vAlign w:val="center"/>
                </w:tcPr>
                <w:p w14:paraId="1E1A412F">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r>
            <w:tr w14:paraId="7ACD70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3B58947E">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5259850E">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906" w:type="pct"/>
                  <w:vAlign w:val="center"/>
                </w:tcPr>
                <w:p w14:paraId="4F3E615D">
                  <w:pPr>
                    <w:snapToGrid w:val="0"/>
                    <w:jc w:val="center"/>
                    <w:rPr>
                      <w:rFonts w:hint="default" w:ascii="Times New Roman" w:hAnsi="Times New Roman" w:eastAsia="宋体"/>
                      <w:smallCaps w:val="0"/>
                      <w:color w:val="000000" w:themeColor="text1"/>
                      <w:kern w:val="0"/>
                      <w:szCs w:val="21"/>
                      <w:highlight w:val="none"/>
                      <w:lang w:val="en-US" w:eastAsia="zh-CN"/>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硫化氢</w:t>
                  </w:r>
                </w:p>
              </w:tc>
              <w:tc>
                <w:tcPr>
                  <w:tcW w:w="413" w:type="pct"/>
                  <w:vAlign w:val="center"/>
                </w:tcPr>
                <w:p w14:paraId="26697ECD">
                  <w:pPr>
                    <w:snapToGrid w:val="0"/>
                    <w:jc w:val="center"/>
                    <w:rPr>
                      <w:rFonts w:hint="default"/>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shd w:val="clear" w:color="auto" w:fill="auto"/>
                  <w:vAlign w:val="center"/>
                </w:tcPr>
                <w:p w14:paraId="06E22535">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vAlign w:val="center"/>
                </w:tcPr>
                <w:p w14:paraId="6727A6C4">
                  <w:pPr>
                    <w:snapToGrid w:val="0"/>
                    <w:jc w:val="center"/>
                    <w:rPr>
                      <w:rFonts w:hint="default"/>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0.123</w:t>
                  </w:r>
                </w:p>
              </w:tc>
              <w:tc>
                <w:tcPr>
                  <w:tcW w:w="413" w:type="pct"/>
                  <w:vAlign w:val="center"/>
                </w:tcPr>
                <w:p w14:paraId="09F80C25">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t>0.1107</w:t>
                  </w:r>
                </w:p>
              </w:tc>
              <w:tc>
                <w:tcPr>
                  <w:tcW w:w="413" w:type="pct"/>
                  <w:vAlign w:val="center"/>
                </w:tcPr>
                <w:p w14:paraId="62583D88">
                  <w:pPr>
                    <w:snapToGrid w:val="0"/>
                    <w:jc w:val="center"/>
                    <w:rPr>
                      <w:rFonts w:hint="default"/>
                      <w:smallCaps w:val="0"/>
                      <w:color w:val="000000" w:themeColor="text1"/>
                      <w:kern w:val="0"/>
                      <w:szCs w:val="21"/>
                      <w:highlight w:val="none"/>
                      <w:lang w:val="en-US" w:eastAsia="zh-CN"/>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c>
                <w:tcPr>
                  <w:tcW w:w="447" w:type="pct"/>
                  <w:vAlign w:val="center"/>
                </w:tcPr>
                <w:p w14:paraId="421E569A">
                  <w:pPr>
                    <w:snapToGrid w:val="0"/>
                    <w:jc w:val="center"/>
                    <w:rPr>
                      <w:rFonts w:hint="default" w:ascii="Times New Roman" w:hAnsi="Times New Roman" w:eastAsia="宋体"/>
                      <w:smallCaps w:val="0"/>
                      <w:color w:val="000000" w:themeColor="text1"/>
                      <w:kern w:val="0"/>
                      <w:szCs w:val="21"/>
                      <w:highlight w:val="none"/>
                      <w:lang w:val="en-US" w:eastAsia="zh-CN"/>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w:t>
                  </w:r>
                </w:p>
              </w:tc>
              <w:tc>
                <w:tcPr>
                  <w:tcW w:w="447" w:type="pct"/>
                  <w:shd w:val="clear" w:color="auto" w:fill="auto"/>
                  <w:vAlign w:val="center"/>
                </w:tcPr>
                <w:p w14:paraId="7875DAEE">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c>
                <w:tcPr>
                  <w:tcW w:w="448" w:type="pct"/>
                  <w:shd w:val="clear" w:color="auto" w:fill="auto"/>
                  <w:vAlign w:val="center"/>
                </w:tcPr>
                <w:p w14:paraId="26FA941F">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r>
            <w:tr w14:paraId="0EC4EE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1112C72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restart"/>
                  <w:vAlign w:val="center"/>
                </w:tcPr>
                <w:p w14:paraId="61713A0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无组织</w:t>
                  </w:r>
                </w:p>
              </w:tc>
              <w:tc>
                <w:tcPr>
                  <w:tcW w:w="906" w:type="pct"/>
                  <w:shd w:val="clear" w:color="auto" w:fill="auto"/>
                  <w:vAlign w:val="center"/>
                </w:tcPr>
                <w:p w14:paraId="301AE772">
                  <w:pPr>
                    <w:snapToGrid w:val="0"/>
                    <w:jc w:val="center"/>
                    <w:rPr>
                      <w:rFonts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氨</w:t>
                  </w:r>
                </w:p>
              </w:tc>
              <w:tc>
                <w:tcPr>
                  <w:tcW w:w="413" w:type="pct"/>
                  <w:vAlign w:val="center"/>
                </w:tcPr>
                <w:p w14:paraId="5BBB357D">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0.0385</w:t>
                  </w:r>
                </w:p>
              </w:tc>
              <w:tc>
                <w:tcPr>
                  <w:tcW w:w="413" w:type="pct"/>
                  <w:shd w:val="clear" w:color="auto" w:fill="auto"/>
                  <w:vAlign w:val="center"/>
                </w:tcPr>
                <w:p w14:paraId="5B6B7338">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shd w:val="clear" w:color="auto" w:fill="auto"/>
                  <w:vAlign w:val="center"/>
                </w:tcPr>
                <w:p w14:paraId="38C8F892">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0.151</w:t>
                  </w:r>
                </w:p>
              </w:tc>
              <w:tc>
                <w:tcPr>
                  <w:tcW w:w="413" w:type="pct"/>
                  <w:vAlign w:val="center"/>
                </w:tcPr>
                <w:p w14:paraId="149FA6D0">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t>0.027</w:t>
                  </w:r>
                </w:p>
              </w:tc>
              <w:tc>
                <w:tcPr>
                  <w:tcW w:w="413" w:type="pct"/>
                  <w:vAlign w:val="center"/>
                </w:tcPr>
                <w:p w14:paraId="1A8B5DCA">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0.124</w:t>
                  </w:r>
                </w:p>
              </w:tc>
              <w:tc>
                <w:tcPr>
                  <w:tcW w:w="1154" w:type="dxa"/>
                  <w:vAlign w:val="center"/>
                </w:tcPr>
                <w:p w14:paraId="528A5E6C">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0.0385</w:t>
                  </w:r>
                </w:p>
              </w:tc>
              <w:tc>
                <w:tcPr>
                  <w:tcW w:w="447" w:type="pct"/>
                  <w:shd w:val="clear" w:color="auto" w:fill="auto"/>
                  <w:vAlign w:val="center"/>
                </w:tcPr>
                <w:p w14:paraId="6FDFA5C6">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0.124</w:t>
                  </w:r>
                </w:p>
              </w:tc>
              <w:tc>
                <w:tcPr>
                  <w:tcW w:w="448" w:type="pct"/>
                  <w:shd w:val="clear" w:color="auto" w:fill="auto"/>
                  <w:vAlign w:val="center"/>
                </w:tcPr>
                <w:p w14:paraId="34876234">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+0.0855</w:t>
                  </w:r>
                </w:p>
              </w:tc>
            </w:tr>
            <w:tr w14:paraId="279665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6A2A7B4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4B3E779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906" w:type="pct"/>
                  <w:shd w:val="clear" w:color="auto" w:fill="auto"/>
                  <w:vAlign w:val="center"/>
                </w:tcPr>
                <w:p w14:paraId="025B39E9">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硫化氢</w:t>
                  </w:r>
                </w:p>
              </w:tc>
              <w:tc>
                <w:tcPr>
                  <w:tcW w:w="413" w:type="pct"/>
                  <w:vAlign w:val="center"/>
                </w:tcPr>
                <w:p w14:paraId="2C58B876">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0.0033</w:t>
                  </w:r>
                </w:p>
              </w:tc>
              <w:tc>
                <w:tcPr>
                  <w:tcW w:w="413" w:type="pct"/>
                  <w:shd w:val="clear" w:color="auto" w:fill="auto"/>
                  <w:vAlign w:val="center"/>
                </w:tcPr>
                <w:p w14:paraId="3455ACD8">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413" w:type="pct"/>
                  <w:shd w:val="clear" w:color="auto" w:fill="auto"/>
                  <w:vAlign w:val="center"/>
                </w:tcPr>
                <w:p w14:paraId="4CEC2525">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0.013</w:t>
                  </w:r>
                </w:p>
              </w:tc>
              <w:tc>
                <w:tcPr>
                  <w:tcW w:w="413" w:type="pct"/>
                  <w:vAlign w:val="center"/>
                </w:tcPr>
                <w:p w14:paraId="3F141AEB">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t>0.0017</w:t>
                  </w:r>
                </w:p>
              </w:tc>
              <w:tc>
                <w:tcPr>
                  <w:tcW w:w="413" w:type="pct"/>
                  <w:vAlign w:val="center"/>
                </w:tcPr>
                <w:p w14:paraId="1D8FC084">
                  <w:pPr>
                    <w:snapToGrid w:val="0"/>
                    <w:jc w:val="center"/>
                    <w:rPr>
                      <w:rFonts w:hint="default"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0.0113</w:t>
                  </w:r>
                </w:p>
              </w:tc>
              <w:tc>
                <w:tcPr>
                  <w:tcW w:w="1154" w:type="dxa"/>
                  <w:vAlign w:val="center"/>
                </w:tcPr>
                <w:p w14:paraId="077DF9CC">
                  <w:pPr>
                    <w:snapToGrid w:val="0"/>
                    <w:jc w:val="center"/>
                    <w:rPr>
                      <w:rFonts w:hint="default" w:ascii="Times New Roman" w:hAnsi="Times New Roman" w:eastAsia="宋体"/>
                      <w:smallCaps w:val="0"/>
                      <w:color w:val="000000" w:themeColor="text1"/>
                      <w:kern w:val="0"/>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0.0033</w:t>
                  </w:r>
                </w:p>
              </w:tc>
              <w:tc>
                <w:tcPr>
                  <w:tcW w:w="447" w:type="pct"/>
                  <w:shd w:val="clear" w:color="auto" w:fill="auto"/>
                  <w:vAlign w:val="center"/>
                </w:tcPr>
                <w:p w14:paraId="1CBA9B59">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0.0113</w:t>
                  </w:r>
                </w:p>
              </w:tc>
              <w:tc>
                <w:tcPr>
                  <w:tcW w:w="448" w:type="pct"/>
                  <w:shd w:val="clear" w:color="auto" w:fill="auto"/>
                  <w:vAlign w:val="center"/>
                </w:tcPr>
                <w:p w14:paraId="0AADF79A">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+0.008</w:t>
                  </w:r>
                </w:p>
              </w:tc>
            </w:tr>
            <w:tr w14:paraId="514BEEB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4" w:type="pct"/>
                  <w:gridSpan w:val="2"/>
                  <w:vMerge w:val="restart"/>
                  <w:vAlign w:val="center"/>
                </w:tcPr>
                <w:p w14:paraId="4684C888">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污染物种类</w:t>
                  </w:r>
                </w:p>
              </w:tc>
              <w:tc>
                <w:tcPr>
                  <w:tcW w:w="906" w:type="pct"/>
                  <w:vMerge w:val="restart"/>
                  <w:vAlign w:val="center"/>
                </w:tcPr>
                <w:p w14:paraId="1F76EAC7">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污染物名称</w:t>
                  </w:r>
                </w:p>
              </w:tc>
              <w:tc>
                <w:tcPr>
                  <w:tcW w:w="826" w:type="pct"/>
                  <w:gridSpan w:val="2"/>
                  <w:vAlign w:val="center"/>
                </w:tcPr>
                <w:p w14:paraId="11DB9AE5">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现有项目</w:t>
                  </w:r>
                </w:p>
              </w:tc>
              <w:tc>
                <w:tcPr>
                  <w:tcW w:w="1240" w:type="pct"/>
                  <w:gridSpan w:val="3"/>
                  <w:vAlign w:val="center"/>
                </w:tcPr>
                <w:p w14:paraId="7906CD1A">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本项目</w:t>
                  </w:r>
                </w:p>
              </w:tc>
              <w:tc>
                <w:tcPr>
                  <w:tcW w:w="447" w:type="pct"/>
                  <w:vMerge w:val="restart"/>
                  <w:vAlign w:val="center"/>
                </w:tcPr>
                <w:p w14:paraId="74615AB8">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“以新带老”</w:t>
                  </w:r>
                </w:p>
                <w:p w14:paraId="588ACC66">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削减量</w:t>
                  </w:r>
                </w:p>
              </w:tc>
              <w:tc>
                <w:tcPr>
                  <w:tcW w:w="447" w:type="pct"/>
                  <w:vMerge w:val="restart"/>
                  <w:vAlign w:val="center"/>
                </w:tcPr>
                <w:p w14:paraId="09AB4AB8">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全厂</w:t>
                  </w:r>
                  <w:r>
                    <w:rPr>
                      <w:rFonts w:hint="eastAsia" w:ascii="Times New Roman" w:hAnsi="Times New Roman" w:eastAsia="宋体"/>
                      <w:color w:val="000000" w:themeColor="text1"/>
                      <w:kern w:val="0"/>
                      <w:szCs w:val="21"/>
                      <w:highlight w:val="none"/>
                      <w14:textFill>
                        <w14:solidFill>
                          <w14:schemeClr w14:val="tx1"/>
                        </w14:solidFill>
                      </w14:textFill>
                    </w:rPr>
                    <w:t>接管</w:t>
                  </w:r>
                  <w:r>
                    <w:rPr>
                      <w:rFonts w:ascii="Times New Roman" w:hAnsi="Times New Roman" w:eastAsia="宋体"/>
                      <w:color w:val="000000" w:themeColor="text1"/>
                      <w:kern w:val="0"/>
                      <w:szCs w:val="21"/>
                      <w:highlight w:val="none"/>
                      <w14:textFill>
                        <w14:solidFill>
                          <w14:schemeClr w14:val="tx1"/>
                        </w14:solidFill>
                      </w14:textFill>
                    </w:rPr>
                    <w:t>量</w:t>
                  </w:r>
                </w:p>
              </w:tc>
              <w:tc>
                <w:tcPr>
                  <w:tcW w:w="448" w:type="pct"/>
                  <w:vMerge w:val="restart"/>
                  <w:vAlign w:val="center"/>
                </w:tcPr>
                <w:p w14:paraId="4CA70B6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变化量</w:t>
                  </w:r>
                </w:p>
              </w:tc>
            </w:tr>
            <w:tr w14:paraId="1547E3F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84" w:type="pct"/>
                  <w:gridSpan w:val="2"/>
                  <w:vMerge w:val="continue"/>
                  <w:vAlign w:val="center"/>
                </w:tcPr>
                <w:p w14:paraId="0F9EE3D3">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906" w:type="pct"/>
                  <w:vMerge w:val="continue"/>
                  <w:vAlign w:val="center"/>
                </w:tcPr>
                <w:p w14:paraId="0E23C643">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13" w:type="pct"/>
                  <w:vAlign w:val="center"/>
                </w:tcPr>
                <w:p w14:paraId="14775C27">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实际</w:t>
                  </w:r>
                  <w:r>
                    <w:rPr>
                      <w:rFonts w:hint="eastAsia" w:ascii="Times New Roman" w:hAnsi="Times New Roman" w:eastAsia="宋体"/>
                      <w:color w:val="000000" w:themeColor="text1"/>
                      <w:kern w:val="0"/>
                      <w:szCs w:val="21"/>
                      <w:highlight w:val="none"/>
                      <w14:textFill>
                        <w14:solidFill>
                          <w14:schemeClr w14:val="tx1"/>
                        </w14:solidFill>
                      </w14:textFill>
                    </w:rPr>
                    <w:t>接管</w:t>
                  </w:r>
                  <w:r>
                    <w:rPr>
                      <w:rFonts w:ascii="Times New Roman" w:hAnsi="Times New Roman" w:eastAsia="宋体"/>
                      <w:color w:val="000000" w:themeColor="text1"/>
                      <w:kern w:val="0"/>
                      <w:szCs w:val="21"/>
                      <w:highlight w:val="none"/>
                      <w14:textFill>
                        <w14:solidFill>
                          <w14:schemeClr w14:val="tx1"/>
                        </w14:solidFill>
                      </w14:textFill>
                    </w:rPr>
                    <w:t>量</w:t>
                  </w:r>
                </w:p>
              </w:tc>
              <w:tc>
                <w:tcPr>
                  <w:tcW w:w="413" w:type="pct"/>
                  <w:vAlign w:val="center"/>
                </w:tcPr>
                <w:p w14:paraId="1DFDE8D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hint="eastAsia" w:ascii="Times New Roman" w:hAnsi="Times New Roman" w:eastAsia="宋体"/>
                      <w:color w:val="000000" w:themeColor="text1"/>
                      <w:kern w:val="0"/>
                      <w:szCs w:val="21"/>
                      <w:highlight w:val="none"/>
                      <w14:textFill>
                        <w14:solidFill>
                          <w14:schemeClr w14:val="tx1"/>
                        </w14:solidFill>
                      </w14:textFill>
                    </w:rPr>
                    <w:t>批准量</w:t>
                  </w:r>
                </w:p>
              </w:tc>
              <w:tc>
                <w:tcPr>
                  <w:tcW w:w="413" w:type="pct"/>
                  <w:vAlign w:val="center"/>
                </w:tcPr>
                <w:p w14:paraId="1D9C1030">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产生量</w:t>
                  </w:r>
                </w:p>
              </w:tc>
              <w:tc>
                <w:tcPr>
                  <w:tcW w:w="413" w:type="pct"/>
                  <w:vAlign w:val="center"/>
                </w:tcPr>
                <w:p w14:paraId="4B58D17F">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ascii="Times New Roman" w:hAnsi="Times New Roman" w:eastAsia="宋体"/>
                      <w:color w:val="000000" w:themeColor="text1"/>
                      <w:kern w:val="0"/>
                      <w:szCs w:val="21"/>
                      <w:highlight w:val="none"/>
                      <w14:textFill>
                        <w14:solidFill>
                          <w14:schemeClr w14:val="tx1"/>
                        </w14:solidFill>
                      </w14:textFill>
                    </w:rPr>
                    <w:t>削减量</w:t>
                  </w:r>
                </w:p>
              </w:tc>
              <w:tc>
                <w:tcPr>
                  <w:tcW w:w="413" w:type="pct"/>
                  <w:vAlign w:val="center"/>
                </w:tcPr>
                <w:p w14:paraId="744103E6">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r>
                    <w:rPr>
                      <w:rFonts w:hint="eastAsia" w:ascii="Times New Roman" w:hAnsi="Times New Roman" w:eastAsia="宋体"/>
                      <w:color w:val="000000" w:themeColor="text1"/>
                      <w:kern w:val="0"/>
                      <w:szCs w:val="21"/>
                      <w:highlight w:val="none"/>
                      <w14:textFill>
                        <w14:solidFill>
                          <w14:schemeClr w14:val="tx1"/>
                        </w14:solidFill>
                      </w14:textFill>
                    </w:rPr>
                    <w:t>接管量</w:t>
                  </w:r>
                </w:p>
              </w:tc>
              <w:tc>
                <w:tcPr>
                  <w:tcW w:w="447" w:type="pct"/>
                  <w:vMerge w:val="continue"/>
                  <w:vAlign w:val="center"/>
                </w:tcPr>
                <w:p w14:paraId="7F3FA8F2">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47" w:type="pct"/>
                  <w:vMerge w:val="continue"/>
                  <w:vAlign w:val="center"/>
                </w:tcPr>
                <w:p w14:paraId="7B2FEF83">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48" w:type="pct"/>
                  <w:vMerge w:val="continue"/>
                  <w:vAlign w:val="center"/>
                </w:tcPr>
                <w:p w14:paraId="56BAD069">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r>
            <w:tr w14:paraId="166D60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restart"/>
                  <w:vAlign w:val="center"/>
                </w:tcPr>
                <w:p w14:paraId="2CEF6E5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restart"/>
                  <w:vAlign w:val="center"/>
                </w:tcPr>
                <w:p w14:paraId="012CC045">
                  <w:pPr>
                    <w:widowControl/>
                    <w:snapToGrid w:val="0"/>
                    <w:jc w:val="center"/>
                    <w:rPr>
                      <w:rFonts w:hint="eastAsia" w:ascii="Times New Roman" w:hAnsi="Times New Roman" w:eastAsia="宋体"/>
                      <w:color w:val="000000" w:themeColor="text1"/>
                      <w:kern w:val="0"/>
                      <w:szCs w:val="21"/>
                      <w:highlight w:val="none"/>
                      <w:lang w:val="en-US" w:eastAsia="zh-CN"/>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混合废水</w:t>
                  </w:r>
                </w:p>
              </w:tc>
              <w:tc>
                <w:tcPr>
                  <w:tcW w:w="0" w:type="auto"/>
                  <w:shd w:val="clear" w:color="auto" w:fill="auto"/>
                  <w:vAlign w:val="center"/>
                </w:tcPr>
                <w:p w14:paraId="5B3FF610">
                  <w:pPr>
                    <w:snapToGrid w:val="0"/>
                    <w:jc w:val="center"/>
                    <w:rPr>
                      <w:rFonts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olor w:val="000000" w:themeColor="text1"/>
                      <w:szCs w:val="21"/>
                      <w:highlight w:val="none"/>
                      <w14:textFill>
                        <w14:solidFill>
                          <w14:schemeClr w14:val="tx1"/>
                        </w14:solidFill>
                      </w14:textFill>
                    </w:rPr>
                    <w:t>废水量</w:t>
                  </w:r>
                </w:p>
              </w:tc>
              <w:tc>
                <w:tcPr>
                  <w:tcW w:w="0" w:type="auto"/>
                  <w:shd w:val="clear" w:color="auto" w:fill="auto"/>
                  <w:vAlign w:val="center"/>
                </w:tcPr>
                <w:p w14:paraId="044690F1">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0</w:t>
                  </w:r>
                </w:p>
              </w:tc>
              <w:tc>
                <w:tcPr>
                  <w:tcW w:w="0" w:type="auto"/>
                  <w:vAlign w:val="center"/>
                </w:tcPr>
                <w:p w14:paraId="549222B8">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6F13A941">
                  <w:pPr>
                    <w:keepNext w:val="0"/>
                    <w:keepLines w:val="0"/>
                    <w:widowControl/>
                    <w:suppressLineNumbers w:val="0"/>
                    <w:jc w:val="center"/>
                    <w:textAlignment w:val="center"/>
                    <w:rPr>
                      <w:rFonts w:hint="default" w:ascii="Times New Roman" w:hAnsi="Times New Roman" w:eastAsia="宋体"/>
                      <w:color w:val="000000" w:themeColor="text1"/>
                      <w:szCs w:val="21"/>
                      <w:highlight w:val="none"/>
                      <w:lang w:val="en-US" w:eastAsia="zh-CN"/>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c>
                <w:tcPr>
                  <w:tcW w:w="1066" w:type="dxa"/>
                  <w:vAlign w:val="center"/>
                </w:tcPr>
                <w:p w14:paraId="2EC170A3">
                  <w:pPr>
                    <w:keepNext w:val="0"/>
                    <w:keepLines w:val="0"/>
                    <w:widowControl/>
                    <w:suppressLineNumbers w:val="0"/>
                    <w:jc w:val="center"/>
                    <w:textAlignment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0</w:t>
                  </w:r>
                </w:p>
              </w:tc>
              <w:tc>
                <w:tcPr>
                  <w:tcW w:w="1068" w:type="dxa"/>
                  <w:vAlign w:val="center"/>
                </w:tcPr>
                <w:p w14:paraId="44695B18">
                  <w:pPr>
                    <w:keepNext w:val="0"/>
                    <w:keepLines w:val="0"/>
                    <w:widowControl/>
                    <w:suppressLineNumbers w:val="0"/>
                    <w:jc w:val="center"/>
                    <w:textAlignment w:val="cente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c>
                <w:tcPr>
                  <w:tcW w:w="0" w:type="auto"/>
                  <w:shd w:val="clear" w:color="auto" w:fill="auto"/>
                  <w:vAlign w:val="center"/>
                </w:tcPr>
                <w:p w14:paraId="0E6EB93B">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vAlign w:val="center"/>
                </w:tcPr>
                <w:p w14:paraId="4B7D4D17">
                  <w:pPr>
                    <w:snapToGrid w:val="0"/>
                    <w:jc w:val="center"/>
                    <w:textAlignment w:val="center"/>
                    <w:rPr>
                      <w:rFonts w:hint="default" w:ascii="Times New Roman" w:hAnsi="Times New Roman" w:eastAsia="宋体" w:cs="宋体"/>
                      <w:bCs/>
                      <w:color w:val="000000" w:themeColor="text1"/>
                      <w:szCs w:val="21"/>
                      <w:highlight w:val="none"/>
                      <w:lang w:val="en-US" w:eastAsia="zh-CN"/>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c>
                <w:tcPr>
                  <w:tcW w:w="1156" w:type="dxa"/>
                  <w:shd w:val="clear" w:color="auto" w:fill="auto"/>
                  <w:vAlign w:val="center"/>
                </w:tcPr>
                <w:p w14:paraId="14CED071">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color w:val="000000" w:themeColor="text1"/>
                      <w:kern w:val="2"/>
                      <w:sz w:val="21"/>
                      <w:szCs w:val="21"/>
                      <w:highlight w:val="none"/>
                      <w:lang w:val="en-US" w:eastAsia="zh-CN" w:bidi="ar-SA"/>
                      <w14:textFill>
                        <w14:solidFill>
                          <w14:schemeClr w14:val="tx1"/>
                        </w14:solidFill>
                      </w14:textFill>
                    </w:rPr>
                    <w:t>+</w:t>
                  </w: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r>
            <w:tr w14:paraId="44A86D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4A76A670">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4B5A070D">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3CEF9A5C">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COD</w:t>
                  </w:r>
                </w:p>
              </w:tc>
              <w:tc>
                <w:tcPr>
                  <w:tcW w:w="0" w:type="auto"/>
                  <w:shd w:val="clear" w:color="auto" w:fill="auto"/>
                  <w:vAlign w:val="center"/>
                </w:tcPr>
                <w:p w14:paraId="4AAA4318">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0</w:t>
                  </w:r>
                </w:p>
              </w:tc>
              <w:tc>
                <w:tcPr>
                  <w:tcW w:w="0" w:type="auto"/>
                  <w:vAlign w:val="center"/>
                </w:tcPr>
                <w:p w14:paraId="52132F6C">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060CAF73">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15.113 </w:t>
                  </w:r>
                </w:p>
              </w:tc>
              <w:tc>
                <w:tcPr>
                  <w:tcW w:w="1066" w:type="dxa"/>
                  <w:vAlign w:val="center"/>
                </w:tcPr>
                <w:p w14:paraId="48DCA8C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14.2858</w:t>
                  </w:r>
                </w:p>
              </w:tc>
              <w:tc>
                <w:tcPr>
                  <w:tcW w:w="1068" w:type="dxa"/>
                  <w:vAlign w:val="center"/>
                </w:tcPr>
                <w:p w14:paraId="34A2A252">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c>
                <w:tcPr>
                  <w:tcW w:w="0" w:type="auto"/>
                  <w:shd w:val="clear" w:color="auto" w:fill="auto"/>
                  <w:vAlign w:val="center"/>
                </w:tcPr>
                <w:p w14:paraId="629032C2">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7A579C2E">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c>
                <w:tcPr>
                  <w:tcW w:w="1156" w:type="dxa"/>
                  <w:shd w:val="clear" w:color="auto" w:fill="auto"/>
                  <w:vAlign w:val="center"/>
                </w:tcPr>
                <w:p w14:paraId="6A21C6B7">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0.8272 </w:t>
                  </w:r>
                </w:p>
              </w:tc>
            </w:tr>
            <w:tr w14:paraId="637343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0EE6F249">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7FB68829">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5B070FDC">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BOD</w:t>
                  </w:r>
                  <w:r>
                    <w:rPr>
                      <w:rFonts w:hint="eastAsia" w:cs="宋体"/>
                      <w:color w:val="000000" w:themeColor="text1"/>
                      <w:szCs w:val="21"/>
                      <w:highlight w:val="none"/>
                      <w:vertAlign w:val="subscript"/>
                      <w:lang w:val="en-US" w:eastAsia="zh-CN"/>
                      <w14:textFill>
                        <w14:solidFill>
                          <w14:schemeClr w14:val="tx1"/>
                        </w14:solidFill>
                      </w14:textFill>
                    </w:rPr>
                    <w:t>5</w:t>
                  </w:r>
                </w:p>
              </w:tc>
              <w:tc>
                <w:tcPr>
                  <w:tcW w:w="0" w:type="auto"/>
                  <w:shd w:val="clear" w:color="auto" w:fill="auto"/>
                  <w:vAlign w:val="center"/>
                </w:tcPr>
                <w:p w14:paraId="501080C0">
                  <w:pPr>
                    <w:snapToGrid w:val="0"/>
                    <w:jc w:val="center"/>
                    <w:textAlignment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0</w:t>
                  </w:r>
                </w:p>
              </w:tc>
              <w:tc>
                <w:tcPr>
                  <w:tcW w:w="0" w:type="auto"/>
                  <w:vAlign w:val="center"/>
                </w:tcPr>
                <w:p w14:paraId="688384F9">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178FED3D">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7.517 </w:t>
                  </w:r>
                </w:p>
              </w:tc>
              <w:tc>
                <w:tcPr>
                  <w:tcW w:w="1066" w:type="dxa"/>
                  <w:vAlign w:val="center"/>
                </w:tcPr>
                <w:p w14:paraId="39B111B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7.2084</w:t>
                  </w:r>
                </w:p>
              </w:tc>
              <w:tc>
                <w:tcPr>
                  <w:tcW w:w="1068" w:type="dxa"/>
                  <w:vAlign w:val="center"/>
                </w:tcPr>
                <w:p w14:paraId="2DE14794">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c>
                <w:tcPr>
                  <w:tcW w:w="0" w:type="auto"/>
                  <w:shd w:val="clear" w:color="auto" w:fill="auto"/>
                  <w:vAlign w:val="center"/>
                </w:tcPr>
                <w:p w14:paraId="4CC33782">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3E38AB62">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c>
                <w:tcPr>
                  <w:tcW w:w="1156" w:type="dxa"/>
                  <w:shd w:val="clear" w:color="auto" w:fill="auto"/>
                  <w:vAlign w:val="center"/>
                </w:tcPr>
                <w:p w14:paraId="257F8DC7">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0.3086 </w:t>
                  </w:r>
                </w:p>
              </w:tc>
            </w:tr>
            <w:tr w14:paraId="4C4A15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43868E23">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2931349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60EE0664">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SS</w:t>
                  </w:r>
                </w:p>
              </w:tc>
              <w:tc>
                <w:tcPr>
                  <w:tcW w:w="1066" w:type="dxa"/>
                  <w:shd w:val="clear" w:color="auto" w:fill="auto"/>
                  <w:vAlign w:val="center"/>
                </w:tcPr>
                <w:p w14:paraId="456273A7">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0</w:t>
                  </w:r>
                </w:p>
              </w:tc>
              <w:tc>
                <w:tcPr>
                  <w:tcW w:w="0" w:type="auto"/>
                  <w:vAlign w:val="center"/>
                </w:tcPr>
                <w:p w14:paraId="6851EFF5">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6C0267B7">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7.280 </w:t>
                  </w:r>
                </w:p>
              </w:tc>
              <w:tc>
                <w:tcPr>
                  <w:tcW w:w="1066" w:type="dxa"/>
                  <w:vAlign w:val="center"/>
                </w:tcPr>
                <w:p w14:paraId="7057831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7.1206</w:t>
                  </w:r>
                </w:p>
              </w:tc>
              <w:tc>
                <w:tcPr>
                  <w:tcW w:w="1068" w:type="dxa"/>
                  <w:vAlign w:val="center"/>
                </w:tcPr>
                <w:p w14:paraId="5859E949">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c>
                <w:tcPr>
                  <w:tcW w:w="0" w:type="auto"/>
                  <w:shd w:val="clear" w:color="auto" w:fill="auto"/>
                  <w:vAlign w:val="center"/>
                </w:tcPr>
                <w:p w14:paraId="6E7B6854">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2D087056">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c>
                <w:tcPr>
                  <w:tcW w:w="1156" w:type="dxa"/>
                  <w:shd w:val="clear" w:color="auto" w:fill="auto"/>
                  <w:vAlign w:val="center"/>
                </w:tcPr>
                <w:p w14:paraId="7CA3C9A3">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0.1594 </w:t>
                  </w:r>
                </w:p>
              </w:tc>
            </w:tr>
            <w:tr w14:paraId="7624D3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7FA0E057">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500A3C7F">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02FE2C73">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NH</w:t>
                  </w:r>
                  <w:r>
                    <w:rPr>
                      <w:rFonts w:ascii="Times New Roman" w:hAnsi="Times New Roman" w:eastAsia="宋体" w:cs="宋体"/>
                      <w:color w:val="000000" w:themeColor="text1"/>
                      <w:szCs w:val="21"/>
                      <w:highlight w:val="none"/>
                      <w:vertAlign w:val="subscript"/>
                      <w14:textFill>
                        <w14:solidFill>
                          <w14:schemeClr w14:val="tx1"/>
                        </w14:solidFill>
                      </w14:textFill>
                    </w:rPr>
                    <w:t>3</w:t>
                  </w:r>
                  <w:r>
                    <w:rPr>
                      <w:rFonts w:ascii="Times New Roman" w:hAnsi="Times New Roman" w:eastAsia="宋体" w:cs="宋体"/>
                      <w:color w:val="000000" w:themeColor="text1"/>
                      <w:szCs w:val="21"/>
                      <w:highlight w:val="none"/>
                      <w14:textFill>
                        <w14:solidFill>
                          <w14:schemeClr w14:val="tx1"/>
                        </w14:solidFill>
                      </w14:textFill>
                    </w:rPr>
                    <w:t>-N</w:t>
                  </w:r>
                </w:p>
              </w:tc>
              <w:tc>
                <w:tcPr>
                  <w:tcW w:w="1066" w:type="dxa"/>
                  <w:shd w:val="clear" w:color="auto" w:fill="auto"/>
                  <w:vAlign w:val="center"/>
                </w:tcPr>
                <w:p w14:paraId="531BDF88">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0</w:t>
                  </w:r>
                </w:p>
              </w:tc>
              <w:tc>
                <w:tcPr>
                  <w:tcW w:w="0" w:type="auto"/>
                  <w:vAlign w:val="center"/>
                </w:tcPr>
                <w:p w14:paraId="237D3587">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6E5DB65C">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1.072 </w:t>
                  </w:r>
                </w:p>
              </w:tc>
              <w:tc>
                <w:tcPr>
                  <w:tcW w:w="1066" w:type="dxa"/>
                  <w:vAlign w:val="center"/>
                </w:tcPr>
                <w:p w14:paraId="4519C3C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0.9781</w:t>
                  </w:r>
                </w:p>
              </w:tc>
              <w:tc>
                <w:tcPr>
                  <w:tcW w:w="1068" w:type="dxa"/>
                  <w:vAlign w:val="center"/>
                </w:tcPr>
                <w:p w14:paraId="24336E35">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c>
                <w:tcPr>
                  <w:tcW w:w="0" w:type="auto"/>
                  <w:shd w:val="clear" w:color="auto" w:fill="auto"/>
                  <w:vAlign w:val="center"/>
                </w:tcPr>
                <w:p w14:paraId="5ABB9545">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6ACBA6FD">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c>
                <w:tcPr>
                  <w:tcW w:w="1156" w:type="dxa"/>
                  <w:shd w:val="clear" w:color="auto" w:fill="auto"/>
                  <w:vAlign w:val="center"/>
                </w:tcPr>
                <w:p w14:paraId="12EE73ED">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0.0939 </w:t>
                  </w:r>
                </w:p>
              </w:tc>
            </w:tr>
            <w:tr w14:paraId="6453BE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553A6B31">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725DEA06">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3022B218">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动植物油</w:t>
                  </w:r>
                </w:p>
              </w:tc>
              <w:tc>
                <w:tcPr>
                  <w:tcW w:w="1066" w:type="dxa"/>
                  <w:shd w:val="clear" w:color="auto" w:fill="auto"/>
                  <w:vAlign w:val="center"/>
                </w:tcPr>
                <w:p w14:paraId="2EC6F3A0">
                  <w:pPr>
                    <w:snapToGrid w:val="0"/>
                    <w:jc w:val="center"/>
                    <w:textAlignment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0</w:t>
                  </w:r>
                </w:p>
              </w:tc>
              <w:tc>
                <w:tcPr>
                  <w:tcW w:w="0" w:type="auto"/>
                  <w:vAlign w:val="center"/>
                </w:tcPr>
                <w:p w14:paraId="34C65DCA">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75CF4422">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1.397 </w:t>
                  </w:r>
                </w:p>
              </w:tc>
              <w:tc>
                <w:tcPr>
                  <w:tcW w:w="1066" w:type="dxa"/>
                  <w:vAlign w:val="center"/>
                </w:tcPr>
                <w:p w14:paraId="650F387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1.3741</w:t>
                  </w:r>
                </w:p>
              </w:tc>
              <w:tc>
                <w:tcPr>
                  <w:tcW w:w="1068" w:type="dxa"/>
                  <w:vAlign w:val="center"/>
                </w:tcPr>
                <w:p w14:paraId="49DBC8DE">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c>
                <w:tcPr>
                  <w:tcW w:w="0" w:type="auto"/>
                  <w:shd w:val="clear" w:color="auto" w:fill="auto"/>
                  <w:vAlign w:val="center"/>
                </w:tcPr>
                <w:p w14:paraId="14A01265">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10FEB5D9">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c>
                <w:tcPr>
                  <w:tcW w:w="1156" w:type="dxa"/>
                  <w:shd w:val="clear" w:color="auto" w:fill="auto"/>
                  <w:vAlign w:val="center"/>
                </w:tcPr>
                <w:p w14:paraId="55AD3C2C">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0.0229 </w:t>
                  </w:r>
                </w:p>
              </w:tc>
            </w:tr>
            <w:tr w14:paraId="06E37D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44BDDF54">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1C319438">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51ED9EA8">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TP</w:t>
                  </w:r>
                </w:p>
              </w:tc>
              <w:tc>
                <w:tcPr>
                  <w:tcW w:w="1066" w:type="dxa"/>
                  <w:shd w:val="clear" w:color="auto" w:fill="auto"/>
                  <w:vAlign w:val="center"/>
                </w:tcPr>
                <w:p w14:paraId="6BA514AE">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0</w:t>
                  </w:r>
                </w:p>
              </w:tc>
              <w:tc>
                <w:tcPr>
                  <w:tcW w:w="0" w:type="auto"/>
                  <w:vAlign w:val="center"/>
                </w:tcPr>
                <w:p w14:paraId="331576A9">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3BC9E954">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0.103 </w:t>
                  </w:r>
                </w:p>
              </w:tc>
              <w:tc>
                <w:tcPr>
                  <w:tcW w:w="1066" w:type="dxa"/>
                  <w:vAlign w:val="center"/>
                </w:tcPr>
                <w:p w14:paraId="64E6B00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0.0934</w:t>
                  </w:r>
                </w:p>
              </w:tc>
              <w:tc>
                <w:tcPr>
                  <w:tcW w:w="1068" w:type="dxa"/>
                  <w:vAlign w:val="center"/>
                </w:tcPr>
                <w:p w14:paraId="353B80DD">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c>
                <w:tcPr>
                  <w:tcW w:w="0" w:type="auto"/>
                  <w:shd w:val="clear" w:color="auto" w:fill="auto"/>
                  <w:vAlign w:val="center"/>
                </w:tcPr>
                <w:p w14:paraId="08DECF6D">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4A657992">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c>
                <w:tcPr>
                  <w:tcW w:w="1156" w:type="dxa"/>
                  <w:shd w:val="clear" w:color="auto" w:fill="auto"/>
                  <w:vAlign w:val="center"/>
                </w:tcPr>
                <w:p w14:paraId="0B111A17">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0.0096 </w:t>
                  </w:r>
                </w:p>
              </w:tc>
            </w:tr>
            <w:tr w14:paraId="677EDC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7" w:type="pct"/>
                  <w:vMerge w:val="continue"/>
                  <w:vAlign w:val="center"/>
                </w:tcPr>
                <w:p w14:paraId="30D7A5C9">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457" w:type="pct"/>
                  <w:vMerge w:val="continue"/>
                  <w:vAlign w:val="center"/>
                </w:tcPr>
                <w:p w14:paraId="6150E1AF">
                  <w:pPr>
                    <w:widowControl/>
                    <w:snapToGrid w:val="0"/>
                    <w:jc w:val="center"/>
                    <w:rPr>
                      <w:rFonts w:ascii="Times New Roman" w:hAnsi="Times New Roman" w:eastAsia="宋体"/>
                      <w:color w:val="000000" w:themeColor="text1"/>
                      <w:kern w:val="0"/>
                      <w:szCs w:val="21"/>
                      <w:highlight w:val="none"/>
                      <w14:textFill>
                        <w14:solidFill>
                          <w14:schemeClr w14:val="tx1"/>
                        </w14:solidFill>
                      </w14:textFill>
                    </w:rPr>
                  </w:pPr>
                </w:p>
              </w:tc>
              <w:tc>
                <w:tcPr>
                  <w:tcW w:w="0" w:type="auto"/>
                  <w:shd w:val="clear" w:color="auto" w:fill="auto"/>
                  <w:vAlign w:val="center"/>
                </w:tcPr>
                <w:p w14:paraId="1D7B03E1">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TN</w:t>
                  </w:r>
                </w:p>
              </w:tc>
              <w:tc>
                <w:tcPr>
                  <w:tcW w:w="1066" w:type="dxa"/>
                  <w:shd w:val="clear" w:color="auto" w:fill="auto"/>
                  <w:vAlign w:val="center"/>
                </w:tcPr>
                <w:p w14:paraId="58AEB956">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0</w:t>
                  </w:r>
                </w:p>
              </w:tc>
              <w:tc>
                <w:tcPr>
                  <w:tcW w:w="0" w:type="auto"/>
                  <w:vAlign w:val="center"/>
                </w:tcPr>
                <w:p w14:paraId="1C5ECBF7">
                  <w:pPr>
                    <w:snapToGrid w:val="0"/>
                    <w:jc w:val="center"/>
                    <w:textAlignment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066" w:type="dxa"/>
                  <w:vAlign w:val="center"/>
                </w:tcPr>
                <w:p w14:paraId="0405BB7F">
                  <w:pPr>
                    <w:keepNext w:val="0"/>
                    <w:keepLines w:val="0"/>
                    <w:widowControl/>
                    <w:suppressLineNumbers w:val="0"/>
                    <w:jc w:val="center"/>
                    <w:textAlignment w:val="center"/>
                    <w:rPr>
                      <w:rFonts w:hint="eastAsia" w:ascii="Times New Roman" w:hAnsi="Times New Roman" w:eastAsia="宋体"/>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1.719 </w:t>
                  </w:r>
                </w:p>
              </w:tc>
              <w:tc>
                <w:tcPr>
                  <w:tcW w:w="1066" w:type="dxa"/>
                  <w:vAlign w:val="center"/>
                </w:tcPr>
                <w:p w14:paraId="1332E2B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1.5684</w:t>
                  </w:r>
                </w:p>
              </w:tc>
              <w:tc>
                <w:tcPr>
                  <w:tcW w:w="1068" w:type="dxa"/>
                  <w:vAlign w:val="center"/>
                </w:tcPr>
                <w:p w14:paraId="36B1A2D3">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c>
                <w:tcPr>
                  <w:tcW w:w="0" w:type="auto"/>
                  <w:shd w:val="clear" w:color="auto" w:fill="auto"/>
                  <w:vAlign w:val="center"/>
                </w:tcPr>
                <w:p w14:paraId="28140B30">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154" w:type="dxa"/>
                  <w:shd w:val="clear" w:color="auto" w:fill="auto"/>
                  <w:vAlign w:val="center"/>
                </w:tcPr>
                <w:p w14:paraId="20CF301E">
                  <w:pPr>
                    <w:keepNext w:val="0"/>
                    <w:keepLines w:val="0"/>
                    <w:widowControl/>
                    <w:suppressLineNumbers w:val="0"/>
                    <w:jc w:val="center"/>
                    <w:textAlignment w:val="center"/>
                    <w:rPr>
                      <w:rFonts w:hint="eastAsia" w:ascii="Times New Roman" w:hAnsi="Times New Roman" w:eastAsia="宋体" w:cs="宋体"/>
                      <w:bCs/>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c>
                <w:tcPr>
                  <w:tcW w:w="1156" w:type="dxa"/>
                  <w:shd w:val="clear" w:color="auto" w:fill="auto"/>
                  <w:vAlign w:val="center"/>
                </w:tcPr>
                <w:p w14:paraId="1E447AB3">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 xml:space="preserve">0.1506 </w:t>
                  </w:r>
                </w:p>
              </w:tc>
            </w:tr>
          </w:tbl>
          <w:p w14:paraId="0EE7CE3F">
            <w:pPr>
              <w:rPr>
                <w:rFonts w:ascii="Times New Roman" w:hAnsi="Times New Roman" w:eastAsia="宋体"/>
                <w:color w:val="000000" w:themeColor="text1"/>
                <w:highlight w:val="none"/>
                <w14:textFill>
                  <w14:solidFill>
                    <w14:schemeClr w14:val="tx1"/>
                  </w14:solidFill>
                </w14:textFill>
              </w:rPr>
            </w:pPr>
          </w:p>
        </w:tc>
      </w:tr>
    </w:tbl>
    <w:p w14:paraId="6AAE76DA">
      <w:pPr>
        <w:pStyle w:val="22"/>
        <w:widowControl w:val="0"/>
        <w:jc w:val="center"/>
        <w:outlineLvl w:val="0"/>
        <w:rPr>
          <w:rFonts w:hint="eastAsia" w:ascii="Times New Roman" w:hAnsi="Times New Roman" w:eastAsia="宋体" w:cs="宋体"/>
          <w:snapToGrid w:val="0"/>
          <w:color w:val="000000" w:themeColor="text1"/>
          <w:sz w:val="30"/>
          <w:szCs w:val="30"/>
          <w:highlight w:val="none"/>
          <w14:textFill>
            <w14:solidFill>
              <w14:schemeClr w14:val="tx1"/>
            </w14:solidFill>
          </w14:textFill>
        </w:rPr>
        <w:sectPr>
          <w:pgSz w:w="16840" w:h="11907" w:orient="landscape"/>
          <w:pgMar w:top="1531" w:right="1701" w:bottom="1531" w:left="2127" w:header="851" w:footer="851" w:gutter="0"/>
          <w:pgBorders>
            <w:top w:val="none" w:sz="0" w:space="0"/>
            <w:left w:val="none" w:sz="0" w:space="0"/>
            <w:bottom w:val="none" w:sz="0" w:space="0"/>
            <w:right w:val="none" w:sz="0" w:space="0"/>
          </w:pgBorders>
          <w:cols w:space="720" w:num="1"/>
          <w:docGrid w:linePitch="312" w:charSpace="0"/>
        </w:sectPr>
      </w:pPr>
    </w:p>
    <w:p w14:paraId="2911F29D">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pPr>
      <w:r>
        <w:rPr>
          <w:rFonts w:hint="eastAsia" w:ascii="Times New Roman" w:hAnsi="Times New Roman" w:eastAsia="宋体" w:cs="宋体"/>
          <w:snapToGrid w:val="0"/>
          <w:color w:val="000000" w:themeColor="text1"/>
          <w:sz w:val="30"/>
          <w:szCs w:val="30"/>
          <w:highlight w:val="none"/>
          <w14:textFill>
            <w14:solidFill>
              <w14:schemeClr w14:val="tx1"/>
            </w14:solidFill>
          </w14:textFill>
        </w:rPr>
        <w:t>四、主要环境影响和保护措施</w:t>
      </w:r>
      <w:bookmarkEnd w:id="7"/>
    </w:p>
    <w:tbl>
      <w:tblPr>
        <w:tblStyle w:val="24"/>
        <w:tblW w:w="89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70" w:type="dxa"/>
          <w:bottom w:w="0" w:type="dxa"/>
          <w:right w:w="170" w:type="dxa"/>
        </w:tblCellMar>
      </w:tblPr>
      <w:tblGrid>
        <w:gridCol w:w="397"/>
        <w:gridCol w:w="8599"/>
      </w:tblGrid>
      <w:tr w14:paraId="0E680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63" w:hRule="atLeast"/>
          <w:jc w:val="center"/>
        </w:trPr>
        <w:tc>
          <w:tcPr>
            <w:tcW w:w="397" w:type="dxa"/>
            <w:tcMar>
              <w:left w:w="28" w:type="dxa"/>
              <w:right w:w="28" w:type="dxa"/>
            </w:tcMar>
            <w:vAlign w:val="center"/>
          </w:tcPr>
          <w:p w14:paraId="7CA3C4B3">
            <w:pPr>
              <w:pStyle w:val="22"/>
              <w:widowControl w:val="0"/>
              <w:adjustRightInd w:val="0"/>
              <w:snapToGrid w:val="0"/>
              <w:spacing w:before="0" w:beforeAutospacing="0" w:after="0" w:afterAutospacing="0"/>
              <w:jc w:val="center"/>
              <w:rPr>
                <w:rFonts w:ascii="Times New Roman" w:hAnsi="Times New Roman" w:eastAsia="宋体" w:cs="宋体"/>
                <w:bCs/>
                <w:color w:val="000000" w:themeColor="text1"/>
                <w:kern w:val="2"/>
                <w:sz w:val="21"/>
                <w:szCs w:val="21"/>
                <w:highlight w:val="none"/>
                <w14:textFill>
                  <w14:solidFill>
                    <w14:schemeClr w14:val="tx1"/>
                  </w14:solidFill>
                </w14:textFill>
              </w:rPr>
            </w:pPr>
            <w:r>
              <w:rPr>
                <w:rFonts w:hint="eastAsia" w:ascii="Times New Roman" w:hAnsi="Times New Roman" w:eastAsia="宋体" w:cs="宋体"/>
                <w:color w:val="000000" w:themeColor="text1"/>
                <w:kern w:val="2"/>
                <w:sz w:val="21"/>
                <w:szCs w:val="21"/>
                <w:highlight w:val="none"/>
                <w14:textFill>
                  <w14:solidFill>
                    <w14:schemeClr w14:val="tx1"/>
                  </w14:solidFill>
                </w14:textFill>
              </w:rPr>
              <w:t>施工期环境保护措施</w:t>
            </w:r>
          </w:p>
        </w:tc>
        <w:tc>
          <w:tcPr>
            <w:tcW w:w="8599" w:type="dxa"/>
            <w:vAlign w:val="center"/>
          </w:tcPr>
          <w:p w14:paraId="0A93A82E">
            <w:pPr>
              <w:autoSpaceDE w:val="0"/>
              <w:autoSpaceDN w:val="0"/>
              <w:spacing w:line="360" w:lineRule="auto"/>
              <w:ind w:firstLine="420" w:firstLineChars="200"/>
              <w:jc w:val="left"/>
              <w:rPr>
                <w:rFonts w:ascii="Times New Roman" w:hAnsi="Times New Roman" w:eastAsia="宋体" w:cs="宋体"/>
                <w:bCs/>
                <w:color w:val="000000" w:themeColor="text1"/>
                <w:spacing w:val="-1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w:t>
            </w:r>
            <w:r>
              <w:rPr>
                <w:rFonts w:hint="eastAsia" w:ascii="Times New Roman" w:hAnsi="Times New Roman" w:eastAsia="宋体" w:cs="宋体"/>
                <w:color w:val="000000" w:themeColor="text1"/>
                <w:kern w:val="0"/>
                <w:sz w:val="21"/>
                <w:szCs w:val="21"/>
                <w:highlight w:val="none"/>
                <w14:textFill>
                  <w14:solidFill>
                    <w14:schemeClr w14:val="tx1"/>
                  </w14:solidFill>
                </w14:textFill>
              </w:rPr>
              <w:t>利用</w:t>
            </w:r>
            <w:r>
              <w:rPr>
                <w:rFonts w:ascii="Times New Roman" w:hAnsi="Times New Roman" w:eastAsia="宋体" w:cs="宋体"/>
                <w:color w:val="000000" w:themeColor="text1"/>
                <w:kern w:val="0"/>
                <w:sz w:val="21"/>
                <w:szCs w:val="21"/>
                <w:highlight w:val="none"/>
                <w14:textFill>
                  <w14:solidFill>
                    <w14:schemeClr w14:val="tx1"/>
                  </w14:solidFill>
                </w14:textFill>
              </w:rPr>
              <w:t>现有的空置厂房以及设施进行建设，施工期主要内容为设备安装，不新建建筑，在施工期间对周围环境的影响主要是生产设备的安装和调试期间产生的少量设备包装箱等。为减少施工期间对周围环境的影响，项目在设备安装施工期间，</w:t>
            </w:r>
            <w:r>
              <w:rPr>
                <w:rFonts w:hint="eastAsia" w:cs="宋体"/>
                <w:color w:val="000000" w:themeColor="text1"/>
                <w:kern w:val="0"/>
                <w:sz w:val="21"/>
                <w:szCs w:val="21"/>
                <w:highlight w:val="none"/>
                <w:lang w:eastAsia="zh-CN"/>
                <w14:textFill>
                  <w14:solidFill>
                    <w14:schemeClr w14:val="tx1"/>
                  </w14:solidFill>
                </w14:textFill>
              </w:rPr>
              <w:t>垃圾清运至</w:t>
            </w:r>
            <w:r>
              <w:rPr>
                <w:rFonts w:ascii="Times New Roman" w:hAnsi="Times New Roman" w:eastAsia="宋体" w:cs="宋体"/>
                <w:color w:val="000000" w:themeColor="text1"/>
                <w:kern w:val="0"/>
                <w:sz w:val="21"/>
                <w:szCs w:val="21"/>
                <w:highlight w:val="none"/>
                <w14:textFill>
                  <w14:solidFill>
                    <w14:schemeClr w14:val="tx1"/>
                  </w14:solidFill>
                </w14:textFill>
              </w:rPr>
              <w:t>指定的堆放场所。本项目工程量较小，施工期短，施工期产生的</w:t>
            </w:r>
            <w:r>
              <w:rPr>
                <w:rFonts w:hint="eastAsia" w:ascii="Times New Roman" w:hAnsi="Times New Roman" w:eastAsia="宋体" w:cs="宋体"/>
                <w:color w:val="000000" w:themeColor="text1"/>
                <w:kern w:val="0"/>
                <w:sz w:val="21"/>
                <w:szCs w:val="21"/>
                <w:highlight w:val="none"/>
                <w14:textFill>
                  <w14:solidFill>
                    <w14:schemeClr w14:val="tx1"/>
                  </w14:solidFill>
                </w14:textFill>
              </w:rPr>
              <w:t>设备包装箱</w:t>
            </w:r>
            <w:r>
              <w:rPr>
                <w:rFonts w:ascii="Times New Roman" w:hAnsi="Times New Roman" w:eastAsia="宋体" w:cs="宋体"/>
                <w:color w:val="000000" w:themeColor="text1"/>
                <w:kern w:val="0"/>
                <w:sz w:val="21"/>
                <w:szCs w:val="21"/>
                <w:highlight w:val="none"/>
                <w14:textFill>
                  <w14:solidFill>
                    <w14:schemeClr w14:val="tx1"/>
                  </w14:solidFill>
                </w14:textFill>
              </w:rPr>
              <w:t>等外售综合利用，固废均能合理处置，因此施工期间对周围环境的影响较小。</w:t>
            </w:r>
          </w:p>
        </w:tc>
      </w:tr>
      <w:tr w14:paraId="419B9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70" w:type="dxa"/>
            <w:bottom w:w="0" w:type="dxa"/>
            <w:right w:w="170" w:type="dxa"/>
          </w:tblCellMar>
        </w:tblPrEx>
        <w:trPr>
          <w:trHeight w:val="2863" w:hRule="atLeast"/>
          <w:jc w:val="center"/>
        </w:trPr>
        <w:tc>
          <w:tcPr>
            <w:tcW w:w="397" w:type="dxa"/>
            <w:tcMar>
              <w:left w:w="28" w:type="dxa"/>
              <w:right w:w="28" w:type="dxa"/>
            </w:tcMar>
            <w:vAlign w:val="center"/>
          </w:tcPr>
          <w:p w14:paraId="149345AA">
            <w:pPr>
              <w:adjustRightInd w:val="0"/>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运营期环境影响和保护措施</w:t>
            </w:r>
          </w:p>
        </w:tc>
        <w:tc>
          <w:tcPr>
            <w:tcW w:w="8599" w:type="dxa"/>
            <w:vAlign w:val="center"/>
          </w:tcPr>
          <w:p w14:paraId="5D1DC17B">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1、</w:t>
            </w:r>
            <w:r>
              <w:rPr>
                <w:rFonts w:ascii="Times New Roman" w:hAnsi="Times New Roman" w:eastAsia="宋体" w:cs="宋体"/>
                <w:b/>
                <w:color w:val="000000" w:themeColor="text1"/>
                <w:sz w:val="21"/>
                <w:szCs w:val="21"/>
                <w:highlight w:val="none"/>
                <w14:textFill>
                  <w14:solidFill>
                    <w14:schemeClr w14:val="tx1"/>
                  </w14:solidFill>
                </w14:textFill>
              </w:rPr>
              <w:t>废气</w:t>
            </w:r>
          </w:p>
          <w:p w14:paraId="0CDFD10D">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（1）产生情况</w:t>
            </w:r>
          </w:p>
          <w:p w14:paraId="10A9031D">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待宰废气G1-1</w:t>
            </w:r>
            <w:r>
              <w:rPr>
                <w:rFonts w:hint="eastAsia" w:ascii="Times New Roman" w:hAnsi="Times New Roman" w:eastAsia="宋体" w:cs="宋体"/>
                <w:color w:val="000000" w:themeColor="text1"/>
                <w:sz w:val="21"/>
                <w:szCs w:val="21"/>
                <w:highlight w:val="none"/>
                <w14:textFill>
                  <w14:solidFill>
                    <w14:schemeClr w14:val="tx1"/>
                  </w14:solidFill>
                </w14:textFill>
              </w:rPr>
              <w:t>：待宰圈的恶臭主要来自牲畜的粪便，这些粪便会产生氨、硫化等恶臭有害物质，若未及时清除或清除后不能及时处理，将会使臭味成倍增加，进一步产生甲基硫醇、二甲基二硫醚、甲硫醚、二甲胺等恶臭气体，并会</w:t>
            </w:r>
            <w:r>
              <w:rPr>
                <w:rFonts w:hint="eastAsia" w:cs="宋体"/>
                <w:color w:val="000000" w:themeColor="text1"/>
                <w:sz w:val="21"/>
                <w:szCs w:val="21"/>
                <w:highlight w:val="none"/>
                <w:lang w:val="en-US" w:eastAsia="zh-CN"/>
                <w14:textFill>
                  <w14:solidFill>
                    <w14:schemeClr w14:val="tx1"/>
                  </w14:solidFill>
                </w14:textFill>
              </w:rPr>
              <w:t>滋生</w:t>
            </w:r>
            <w:r>
              <w:rPr>
                <w:rFonts w:hint="eastAsia" w:ascii="Times New Roman" w:hAnsi="Times New Roman" w:eastAsia="宋体" w:cs="宋体"/>
                <w:color w:val="000000" w:themeColor="text1"/>
                <w:sz w:val="21"/>
                <w:szCs w:val="21"/>
                <w:highlight w:val="none"/>
                <w14:textFill>
                  <w14:solidFill>
                    <w14:schemeClr w14:val="tx1"/>
                  </w14:solidFill>
                </w14:textFill>
              </w:rPr>
              <w:t>大量蚊蝇，影响环境卫生。</w:t>
            </w:r>
          </w:p>
          <w:p w14:paraId="364B651F">
            <w:pPr>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根据农业统计数据，牛粪化学成分统计结果</w:t>
            </w:r>
            <w:r>
              <w:rPr>
                <w:rFonts w:hint="eastAsia" w:cs="宋体"/>
                <w:color w:val="000000" w:themeColor="text1"/>
                <w:sz w:val="21"/>
                <w:szCs w:val="21"/>
                <w:highlight w:val="none"/>
                <w:lang w:val="en-US" w:eastAsia="zh-CN"/>
                <w14:textFill>
                  <w14:solidFill>
                    <w14:schemeClr w14:val="tx1"/>
                  </w14:solidFill>
                </w14:textFill>
              </w:rPr>
              <w:t>大致为：干燥重量167g/kg，粗蛋白质145g/kg，N3.2g/kg，P2.5g/kg，K1.6g/kg，S0.3g/kg，其他14.4g/kg，本次评价保守以N、S全部转化分析待宰圈氨及硫化氢的产生情况。</w:t>
            </w:r>
          </w:p>
          <w:p w14:paraId="53598FA6">
            <w:pPr>
              <w:spacing w:line="360" w:lineRule="auto"/>
              <w:ind w:firstLine="420" w:firstLineChars="200"/>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根据《排污许可证申请与核发技术规范 畜禽养殖行业》（HJ1029-2019）表9各类畜禽污染物产生量-肉牛粪便产生量为10.88kg/d·头/只，本项目存栏量为7000头/a，粪便产生量为76.16t/a。氨产生量系数为3.89g/kg，硫化氢产生系数为0.32g/kg，则一期项目氨产生量为0.296t/a，硫化氢产生量为0.024t/a。</w:t>
            </w:r>
          </w:p>
          <w:p w14:paraId="44EF326A">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借鉴同行业待宰圈臭气治理的成功经验，</w:t>
            </w:r>
            <w:r>
              <w:rPr>
                <w:rFonts w:hint="eastAsia" w:cs="宋体"/>
                <w:color w:val="000000" w:themeColor="text1"/>
                <w:sz w:val="21"/>
                <w:szCs w:val="21"/>
                <w:highlight w:val="none"/>
                <w:lang w:val="en-US" w:eastAsia="zh-CN"/>
                <w14:textFill>
                  <w14:solidFill>
                    <w14:schemeClr w14:val="tx1"/>
                  </w14:solidFill>
                </w14:textFill>
              </w:rPr>
              <w:t>采取下列措施：①</w:t>
            </w:r>
            <w:r>
              <w:rPr>
                <w:rFonts w:hint="eastAsia" w:ascii="Times New Roman" w:hAnsi="Times New Roman" w:eastAsia="宋体" w:cs="宋体"/>
                <w:color w:val="000000" w:themeColor="text1"/>
                <w:sz w:val="21"/>
                <w:szCs w:val="21"/>
                <w:highlight w:val="none"/>
                <w14:textFill>
                  <w14:solidFill>
                    <w14:schemeClr w14:val="tx1"/>
                  </w14:solidFill>
                </w14:textFill>
              </w:rPr>
              <w:t>待宰圈设专人管理，待宰圈及时清扫、牛粪做到日产日清，及时冲洗待宰圈，冲洗废水及时处理，减少恶臭源的散发时间</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②</w:t>
            </w:r>
            <w:r>
              <w:rPr>
                <w:rFonts w:hint="eastAsia" w:ascii="Times New Roman" w:hAnsi="Times New Roman" w:eastAsia="宋体" w:cs="宋体"/>
                <w:color w:val="000000" w:themeColor="text1"/>
                <w:sz w:val="21"/>
                <w:szCs w:val="21"/>
                <w:highlight w:val="none"/>
                <w14:textFill>
                  <w14:solidFill>
                    <w14:schemeClr w14:val="tx1"/>
                  </w14:solidFill>
                </w14:textFill>
              </w:rPr>
              <w:t>待宰圈定时喷洒环保型生物除臭剂</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③</w:t>
            </w:r>
            <w:r>
              <w:rPr>
                <w:rFonts w:hint="eastAsia" w:ascii="Times New Roman" w:hAnsi="Times New Roman" w:eastAsia="宋体" w:cs="宋体"/>
                <w:color w:val="000000" w:themeColor="text1"/>
                <w:sz w:val="21"/>
                <w:szCs w:val="21"/>
                <w:highlight w:val="none"/>
                <w14:textFill>
                  <w14:solidFill>
                    <w14:schemeClr w14:val="tx1"/>
                  </w14:solidFill>
                </w14:textFill>
              </w:rPr>
              <w:t>采用密闭圈棚、棚顶安装集排风装置，待宰圈风量</w:t>
            </w:r>
            <w:r>
              <w:rPr>
                <w:rFonts w:hint="eastAsia" w:cs="宋体"/>
                <w:color w:val="000000" w:themeColor="text1"/>
                <w:sz w:val="21"/>
                <w:szCs w:val="21"/>
                <w:highlight w:val="none"/>
                <w:lang w:val="en-US" w:eastAsia="zh-CN"/>
                <w14:textFill>
                  <w14:solidFill>
                    <w14:schemeClr w14:val="tx1"/>
                  </w14:solidFill>
                </w14:textFill>
              </w:rPr>
              <w:t>为50</w:t>
            </w:r>
            <w:r>
              <w:rPr>
                <w:rFonts w:hint="eastAsia" w:ascii="Times New Roman" w:hAnsi="Times New Roman" w:eastAsia="宋体" w:cs="宋体"/>
                <w:color w:val="000000" w:themeColor="text1"/>
                <w:sz w:val="21"/>
                <w:szCs w:val="21"/>
                <w:highlight w:val="none"/>
                <w14:textFill>
                  <w14:solidFill>
                    <w14:schemeClr w14:val="tx1"/>
                  </w14:solidFill>
                </w14:textFill>
              </w:rPr>
              <w:t>00m</w:t>
            </w:r>
            <w:r>
              <w:rPr>
                <w:rFonts w:hint="eastAsia" w:cs="宋体"/>
                <w:color w:val="000000" w:themeColor="text1"/>
                <w:sz w:val="21"/>
                <w:szCs w:val="21"/>
                <w:highlight w:val="none"/>
                <w:vertAlign w:val="superscript"/>
                <w:lang w:val="en-US" w:eastAsia="zh-CN"/>
                <w14:textFill>
                  <w14:solidFill>
                    <w14:schemeClr w14:val="tx1"/>
                  </w14:solidFill>
                </w14:textFill>
              </w:rPr>
              <w:t>3</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h，收集效率按照90%计算，采用生物除臭装置处理，去除率以90%计。</w:t>
            </w:r>
          </w:p>
          <w:p w14:paraId="2EFB37A3">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为了控制待宰圈无组织恶臭污染物浓度，建设单位通过在待宰圈定期喷洒环保型</w:t>
            </w:r>
            <w:r>
              <w:rPr>
                <w:rFonts w:hint="eastAsia" w:ascii="Times New Roman" w:hAnsi="Times New Roman" w:eastAsia="宋体" w:cs="宋体"/>
                <w:color w:val="000000" w:themeColor="text1"/>
                <w:sz w:val="21"/>
                <w:szCs w:val="21"/>
                <w:highlight w:val="none"/>
                <w14:textFill>
                  <w14:solidFill>
                    <w14:schemeClr w14:val="tx1"/>
                  </w14:solidFill>
                </w14:textFill>
              </w:rPr>
              <w:t>生物除臭剂，来降低待宰圈的无组织恶臭。根据《自然科学》</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现代化农业，2011年第6期</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总第383期</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“微生物除臭剂研究进展”</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赵晓锋，隋文志</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的资料</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经国家环境分析测试中心和陕西环境监测中心测试养殖场生物除臭剂</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大力克</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万洁芬等</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对</w:t>
            </w:r>
            <w:r>
              <w:rPr>
                <w:rFonts w:hint="eastAsia" w:cs="宋体"/>
                <w:color w:val="000000" w:themeColor="text1"/>
                <w:sz w:val="21"/>
                <w:szCs w:val="21"/>
                <w:highlight w:val="none"/>
                <w:lang w:val="en-US" w:eastAsia="zh-CN"/>
                <w14:textFill>
                  <w14:solidFill>
                    <w14:schemeClr w14:val="tx1"/>
                  </w14:solidFill>
                </w14:textFill>
              </w:rPr>
              <w:t>NH</w:t>
            </w:r>
            <w:r>
              <w:rPr>
                <w:rFonts w:hint="eastAsia" w:cs="宋体"/>
                <w:color w:val="000000" w:themeColor="text1"/>
                <w:sz w:val="21"/>
                <w:szCs w:val="21"/>
                <w:highlight w:val="none"/>
                <w:vertAlign w:val="subscript"/>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和</w:t>
            </w:r>
            <w:r>
              <w:rPr>
                <w:rFonts w:hint="eastAsia" w:cs="宋体"/>
                <w:color w:val="000000" w:themeColor="text1"/>
                <w:sz w:val="21"/>
                <w:szCs w:val="21"/>
                <w:highlight w:val="none"/>
                <w:lang w:val="en-US" w:eastAsia="zh-CN"/>
                <w14:textFill>
                  <w14:solidFill>
                    <w14:schemeClr w14:val="tx1"/>
                  </w14:solidFill>
                </w14:textFill>
              </w:rPr>
              <w:t>H</w:t>
            </w:r>
            <w:r>
              <w:rPr>
                <w:rFonts w:hint="eastAsia" w:cs="宋体"/>
                <w:color w:val="000000" w:themeColor="text1"/>
                <w:sz w:val="21"/>
                <w:szCs w:val="21"/>
                <w:highlight w:val="none"/>
                <w:vertAlign w:val="subscript"/>
                <w:lang w:val="en-US" w:eastAsia="zh-CN"/>
                <w14:textFill>
                  <w14:solidFill>
                    <w14:schemeClr w14:val="tx1"/>
                  </w14:solidFill>
                </w14:textFill>
              </w:rPr>
              <w:t>2</w:t>
            </w:r>
            <w:r>
              <w:rPr>
                <w:rFonts w:hint="eastAsia" w:cs="宋体"/>
                <w:color w:val="000000" w:themeColor="text1"/>
                <w:sz w:val="21"/>
                <w:szCs w:val="21"/>
                <w:highlight w:val="none"/>
                <w:lang w:val="en-US" w:eastAsia="zh-CN"/>
                <w14:textFill>
                  <w14:solidFill>
                    <w14:schemeClr w14:val="tx1"/>
                  </w14:solidFill>
                </w14:textFill>
              </w:rPr>
              <w:t>S</w:t>
            </w:r>
            <w:r>
              <w:rPr>
                <w:rFonts w:hint="eastAsia" w:ascii="Times New Roman" w:hAnsi="Times New Roman" w:eastAsia="宋体" w:cs="宋体"/>
                <w:color w:val="000000" w:themeColor="text1"/>
                <w:sz w:val="21"/>
                <w:szCs w:val="21"/>
                <w:highlight w:val="none"/>
                <w14:textFill>
                  <w14:solidFill>
                    <w14:schemeClr w14:val="tx1"/>
                  </w14:solidFill>
                </w14:textFill>
              </w:rPr>
              <w:t>的去除效率分别为92.6%和89%</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因此通过在待宰圈定期喷洒环保型</w:t>
            </w:r>
            <w:r>
              <w:rPr>
                <w:rFonts w:hint="eastAsia" w:ascii="Times New Roman" w:hAnsi="Times New Roman" w:eastAsia="宋体" w:cs="宋体"/>
                <w:color w:val="000000" w:themeColor="text1"/>
                <w:sz w:val="21"/>
                <w:szCs w:val="21"/>
                <w:highlight w:val="none"/>
                <w14:textFill>
                  <w14:solidFill>
                    <w14:schemeClr w14:val="tx1"/>
                  </w14:solidFill>
                </w14:textFill>
              </w:rPr>
              <w:t>生物除臭剂</w:t>
            </w:r>
            <w:r>
              <w:rPr>
                <w:rFonts w:hint="eastAsia" w:cs="宋体"/>
                <w:color w:val="000000" w:themeColor="text1"/>
                <w:sz w:val="21"/>
                <w:szCs w:val="21"/>
                <w:highlight w:val="none"/>
                <w:lang w:val="en-US" w:eastAsia="zh-CN"/>
                <w14:textFill>
                  <w14:solidFill>
                    <w14:schemeClr w14:val="tx1"/>
                  </w14:solidFill>
                </w14:textFill>
              </w:rPr>
              <w:t>可进一步去除无组织废气排放，本次评价保守取值除臭剂NH</w:t>
            </w:r>
            <w:r>
              <w:rPr>
                <w:rFonts w:hint="eastAsia" w:cs="宋体"/>
                <w:color w:val="000000" w:themeColor="text1"/>
                <w:sz w:val="21"/>
                <w:szCs w:val="21"/>
                <w:highlight w:val="none"/>
                <w:vertAlign w:val="subscript"/>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和</w:t>
            </w:r>
            <w:r>
              <w:rPr>
                <w:rFonts w:hint="eastAsia" w:cs="宋体"/>
                <w:color w:val="000000" w:themeColor="text1"/>
                <w:sz w:val="21"/>
                <w:szCs w:val="21"/>
                <w:highlight w:val="none"/>
                <w:lang w:val="en-US" w:eastAsia="zh-CN"/>
                <w14:textFill>
                  <w14:solidFill>
                    <w14:schemeClr w14:val="tx1"/>
                  </w14:solidFill>
                </w14:textFill>
              </w:rPr>
              <w:t>H</w:t>
            </w:r>
            <w:r>
              <w:rPr>
                <w:rFonts w:hint="eastAsia" w:cs="宋体"/>
                <w:color w:val="000000" w:themeColor="text1"/>
                <w:sz w:val="21"/>
                <w:szCs w:val="21"/>
                <w:highlight w:val="none"/>
                <w:vertAlign w:val="subscript"/>
                <w:lang w:val="en-US" w:eastAsia="zh-CN"/>
                <w14:textFill>
                  <w14:solidFill>
                    <w14:schemeClr w14:val="tx1"/>
                  </w14:solidFill>
                </w14:textFill>
              </w:rPr>
              <w:t>2</w:t>
            </w:r>
            <w:r>
              <w:rPr>
                <w:rFonts w:hint="eastAsia" w:cs="宋体"/>
                <w:color w:val="000000" w:themeColor="text1"/>
                <w:sz w:val="21"/>
                <w:szCs w:val="21"/>
                <w:highlight w:val="none"/>
                <w:lang w:val="en-US" w:eastAsia="zh-CN"/>
                <w14:textFill>
                  <w14:solidFill>
                    <w14:schemeClr w14:val="tx1"/>
                  </w14:solidFill>
                </w14:textFill>
              </w:rPr>
              <w:t>S</w:t>
            </w:r>
            <w:r>
              <w:rPr>
                <w:rFonts w:hint="eastAsia" w:ascii="Times New Roman" w:hAnsi="Times New Roman" w:eastAsia="宋体" w:cs="宋体"/>
                <w:color w:val="000000" w:themeColor="text1"/>
                <w:sz w:val="21"/>
                <w:szCs w:val="21"/>
                <w:highlight w:val="none"/>
                <w14:textFill>
                  <w14:solidFill>
                    <w14:schemeClr w14:val="tx1"/>
                  </w14:solidFill>
                </w14:textFill>
              </w:rPr>
              <w:t>的去除效率</w:t>
            </w:r>
            <w:r>
              <w:rPr>
                <w:rFonts w:hint="eastAsia" w:cs="宋体"/>
                <w:color w:val="000000" w:themeColor="text1"/>
                <w:sz w:val="21"/>
                <w:szCs w:val="21"/>
                <w:highlight w:val="none"/>
                <w:lang w:val="en-US" w:eastAsia="zh-CN"/>
                <w14:textFill>
                  <w14:solidFill>
                    <w14:schemeClr w14:val="tx1"/>
                  </w14:solidFill>
                </w14:textFill>
              </w:rPr>
              <w:t>分别为90%和85%</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1AF557D5">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屠宰臭气</w:t>
            </w:r>
            <w:r>
              <w:rPr>
                <w:rFonts w:hint="eastAsia" w:cs="宋体"/>
                <w:color w:val="000000" w:themeColor="text1"/>
                <w:sz w:val="21"/>
                <w:szCs w:val="21"/>
                <w:highlight w:val="none"/>
                <w:lang w:val="en-US" w:eastAsia="zh-CN"/>
                <w14:textFill>
                  <w14:solidFill>
                    <w14:schemeClr w14:val="tx1"/>
                  </w14:solidFill>
                </w14:textFill>
              </w:rPr>
              <w:t>G1-2：</w:t>
            </w:r>
            <w:r>
              <w:rPr>
                <w:rFonts w:hint="eastAsia" w:ascii="Times New Roman" w:hAnsi="Times New Roman" w:eastAsia="宋体" w:cs="宋体"/>
                <w:color w:val="000000" w:themeColor="text1"/>
                <w:sz w:val="21"/>
                <w:szCs w:val="21"/>
                <w:highlight w:val="none"/>
                <w14:textFill>
                  <w14:solidFill>
                    <w14:schemeClr w14:val="tx1"/>
                  </w14:solidFill>
                </w14:textFill>
              </w:rPr>
              <w:t>屠宰车间内许多作业都要使用热水或冷水，地面上容易积有大量冷热水，所以空气湿度很高。室温各处相差悬殊，屠宰和消毒等需要热水的工序的工作场所温度最高。由于屠宰车间较大，而且通常没有隔墙，因而空气流动量相当大，畜类的湿皮、血、肠胃内容物和粪污等的臭气混杂在一起，容易产生刺鼻的恶臭并且扩散到整个厂区及周围地区。如果有血、肉、骨或脂肪残留而不及时处理便会迅速腐烂，恶臭更为严重。</w:t>
            </w:r>
          </w:p>
          <w:p w14:paraId="4CC86FBB">
            <w:pPr>
              <w:spacing w:line="360" w:lineRule="auto"/>
              <w:ind w:firstLine="420" w:firstLineChars="200"/>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正常生产过程中，屠宰加工作业恶臭产生量与其加工量成比例关系。类比《江苏富康食品有限公司生猪定点屠宰场改造提升环境影响报告书》可知</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生猪屠宰车间屠宰100头生猪时恶臭污染物产生量为氨0.76kg、硫化氢0.07kg</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根据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《排污许可证申请与核发技术规范 农副食品加工工业</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屠宰及肉类加工工业》（</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HJ860.3-2018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生猪的活屠重为110kg/头，肉牛的活屠重为500kg/头，则一期项目氨产生量为1.209t/a，硫化氢产生量为0.111t/a。屠宰间为封闭车间，本项目针对产生恶臭的环节进行集中收集处理，在棚顶安装集排风装置进行收集，屠宰间风量为5000m</w:t>
            </w:r>
            <w:r>
              <w:rPr>
                <w:rFonts w:hint="eastAsia" w:cs="宋体"/>
                <w:color w:val="000000" w:themeColor="text1"/>
                <w:sz w:val="21"/>
                <w:szCs w:val="21"/>
                <w:highlight w:val="none"/>
                <w:vertAlign w:val="superscript"/>
                <w:lang w:val="en-US" w:eastAsia="zh-CN"/>
                <w14:textFill>
                  <w14:solidFill>
                    <w14:schemeClr w14:val="tx1"/>
                  </w14:solidFill>
                </w14:textFill>
              </w:rPr>
              <w:t>3</w:t>
            </w:r>
            <w:r>
              <w:rPr>
                <w:rFonts w:hint="eastAsia" w:cs="宋体"/>
                <w:color w:val="000000" w:themeColor="text1"/>
                <w:sz w:val="21"/>
                <w:szCs w:val="21"/>
                <w:highlight w:val="none"/>
                <w:lang w:val="en-US" w:eastAsia="zh-CN"/>
                <w14:textFill>
                  <w14:solidFill>
                    <w14:schemeClr w14:val="tx1"/>
                  </w14:solidFill>
                </w14:textFill>
              </w:rPr>
              <w:t>/h，收集效率按照90%计，采用生物除臭装置处理，去除率以90%计。</w:t>
            </w:r>
          </w:p>
          <w:p w14:paraId="0D9729BD">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卤制异味</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本项目酱卤肉生产在煮制过程中使用的辣椒油、香辛料等调味料将会挥发产生异味，根据类比调查冠生园调味品等生产企业类别分析及现场调查，产生的总挥发物的浓度在1~100mg/kg，其中单一化合物的浓度在</w:t>
            </w:r>
            <w:r>
              <w:rPr>
                <w:rFonts w:hint="default" w:ascii="Times New Roman" w:hAnsi="Times New Roman" w:eastAsia="宋体" w:cs="Times New Roman"/>
                <w:color w:val="000000" w:themeColor="text1"/>
                <w:sz w:val="21"/>
                <w:szCs w:val="21"/>
                <w:highlight w:val="none"/>
                <w14:textFill>
                  <w14:solidFill>
                    <w14:schemeClr w14:val="tx1"/>
                  </w14:solidFill>
                </w14:textFill>
              </w:rPr>
              <w:t>μ</w:t>
            </w:r>
            <w:r>
              <w:rPr>
                <w:rFonts w:hint="eastAsia" w:cs="宋体"/>
                <w:color w:val="000000" w:themeColor="text1"/>
                <w:sz w:val="21"/>
                <w:szCs w:val="21"/>
                <w:highlight w:val="none"/>
                <w:lang w:val="en-US" w:eastAsia="zh-CN"/>
                <w14:textFill>
                  <w14:solidFill>
                    <w14:schemeClr w14:val="tx1"/>
                  </w14:solidFill>
                </w14:textFill>
              </w:rPr>
              <w:t>g/kg或者ng/kg级</w:t>
            </w:r>
            <w:r>
              <w:rPr>
                <w:rFonts w:hint="eastAsia" w:ascii="Times New Roman" w:hAnsi="Times New Roman" w:eastAsia="宋体" w:cs="宋体"/>
                <w:color w:val="000000" w:themeColor="text1"/>
                <w:sz w:val="21"/>
                <w:szCs w:val="21"/>
                <w:highlight w:val="none"/>
                <w14:textFill>
                  <w14:solidFill>
                    <w14:schemeClr w14:val="tx1"/>
                  </w14:solidFill>
                </w14:textFill>
              </w:rPr>
              <w:t>，产品中对应的香气物质含量是原料的10</w:t>
            </w:r>
            <w:r>
              <w:rPr>
                <w:rFonts w:hint="eastAsia" w:ascii="Times New Roman" w:hAnsi="Times New Roman" w:eastAsia="宋体" w:cs="宋体"/>
                <w:color w:val="000000" w:themeColor="text1"/>
                <w:sz w:val="21"/>
                <w:szCs w:val="21"/>
                <w:highlight w:val="none"/>
                <w:vertAlign w:val="superscript"/>
                <w14:textFill>
                  <w14:solidFill>
                    <w14:schemeClr w14:val="tx1"/>
                  </w14:solidFill>
                </w14:textFill>
              </w:rPr>
              <w:t>-</w:t>
            </w:r>
            <w:r>
              <w:rPr>
                <w:rFonts w:hint="eastAsia" w:cs="宋体"/>
                <w:color w:val="000000" w:themeColor="text1"/>
                <w:sz w:val="21"/>
                <w:szCs w:val="21"/>
                <w:highlight w:val="none"/>
                <w:vertAlign w:val="superscript"/>
                <w:lang w:val="en-US" w:eastAsia="zh-CN"/>
                <w14:textFill>
                  <w14:solidFill>
                    <w14:schemeClr w14:val="tx1"/>
                  </w14:solidFill>
                </w14:textFill>
              </w:rPr>
              <w:t>6</w:t>
            </w:r>
            <w:r>
              <w:rPr>
                <w:rFonts w:hint="eastAsia" w:ascii="Times New Roman" w:hAnsi="Times New Roman" w:eastAsia="宋体" w:cs="宋体"/>
                <w:color w:val="000000" w:themeColor="text1"/>
                <w:sz w:val="21"/>
                <w:szCs w:val="21"/>
                <w:highlight w:val="none"/>
                <w14:textFill>
                  <w14:solidFill>
                    <w14:schemeClr w14:val="tx1"/>
                  </w14:solidFill>
                </w14:textFill>
              </w:rPr>
              <w:t>~10</w:t>
            </w:r>
            <w:r>
              <w:rPr>
                <w:rFonts w:hint="eastAsia" w:ascii="Times New Roman" w:hAnsi="Times New Roman" w:eastAsia="宋体" w:cs="宋体"/>
                <w:color w:val="000000" w:themeColor="text1"/>
                <w:sz w:val="21"/>
                <w:szCs w:val="21"/>
                <w:highlight w:val="none"/>
                <w:vertAlign w:val="superscript"/>
                <w14:textFill>
                  <w14:solidFill>
                    <w14:schemeClr w14:val="tx1"/>
                  </w14:solidFill>
                </w14:textFill>
              </w:rPr>
              <w:t>-9</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产生的臭气浓度不大于20</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无量纲</w:t>
            </w:r>
            <w:r>
              <w:rPr>
                <w:rFonts w:hint="eastAsia"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生产中在卤料配制及拌料过程中均加盖操作，因此异味产生量较小，本项目不做定量分析。</w:t>
            </w:r>
          </w:p>
          <w:p w14:paraId="49FE7BCE">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臭气</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恶臭主要产生于污水预处理区和污泥脱水等，污染物主要成分为氨和硫化氢，根据美国EPA对城市污水处理厂恶臭污染物产生情况的研究，氨和硫化氢的产生与BOD</w:t>
            </w:r>
            <w:r>
              <w:rPr>
                <w:rFonts w:hint="eastAsia" w:cs="宋体"/>
                <w:color w:val="000000" w:themeColor="text1"/>
                <w:sz w:val="21"/>
                <w:szCs w:val="21"/>
                <w:highlight w:val="none"/>
                <w:vertAlign w:val="subscript"/>
                <w:lang w:val="en-US" w:eastAsia="zh-CN"/>
                <w14:textFill>
                  <w14:solidFill>
                    <w14:schemeClr w14:val="tx1"/>
                  </w14:solidFill>
                </w14:textFill>
              </w:rPr>
              <w:t>5</w:t>
            </w:r>
            <w:r>
              <w:rPr>
                <w:rFonts w:hint="eastAsia" w:ascii="Times New Roman" w:hAnsi="Times New Roman" w:eastAsia="宋体" w:cs="宋体"/>
                <w:color w:val="000000" w:themeColor="text1"/>
                <w:sz w:val="21"/>
                <w:szCs w:val="21"/>
                <w:highlight w:val="none"/>
                <w14:textFill>
                  <w14:solidFill>
                    <w14:schemeClr w14:val="tx1"/>
                  </w14:solidFill>
                </w14:textFill>
              </w:rPr>
              <w:t>的去除量有关，每处理1g的BOD</w:t>
            </w:r>
            <w:r>
              <w:rPr>
                <w:rFonts w:hint="eastAsia" w:cs="宋体"/>
                <w:color w:val="000000" w:themeColor="text1"/>
                <w:sz w:val="21"/>
                <w:szCs w:val="21"/>
                <w:highlight w:val="none"/>
                <w:vertAlign w:val="subscript"/>
                <w:lang w:val="en-US" w:eastAsia="zh-CN"/>
                <w14:textFill>
                  <w14:solidFill>
                    <w14:schemeClr w14:val="tx1"/>
                  </w14:solidFill>
                </w14:textFill>
              </w:rPr>
              <w:t>5</w:t>
            </w:r>
            <w:r>
              <w:rPr>
                <w:rFonts w:hint="eastAsia" w:ascii="Times New Roman" w:hAnsi="Times New Roman" w:eastAsia="宋体" w:cs="宋体"/>
                <w:color w:val="000000" w:themeColor="text1"/>
                <w:sz w:val="21"/>
                <w:szCs w:val="21"/>
                <w:highlight w:val="none"/>
                <w14:textFill>
                  <w14:solidFill>
                    <w14:schemeClr w14:val="tx1"/>
                  </w14:solidFill>
                </w14:textFill>
              </w:rPr>
              <w:t>,可产生0.0031g的NH</w:t>
            </w:r>
            <w:r>
              <w:rPr>
                <w:rFonts w:hint="eastAsia" w:cs="宋体"/>
                <w:color w:val="000000" w:themeColor="text1"/>
                <w:sz w:val="21"/>
                <w:szCs w:val="21"/>
                <w:highlight w:val="none"/>
                <w:vertAlign w:val="subscript"/>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和0.00012g的H</w:t>
            </w:r>
            <w:r>
              <w:rPr>
                <w:rFonts w:hint="eastAsia" w:cs="宋体"/>
                <w:color w:val="000000" w:themeColor="text1"/>
                <w:sz w:val="21"/>
                <w:szCs w:val="21"/>
                <w:highlight w:val="none"/>
                <w:vertAlign w:val="subscript"/>
                <w:lang w:val="en-US" w:eastAsia="zh-CN"/>
                <w14:textFill>
                  <w14:solidFill>
                    <w14:schemeClr w14:val="tx1"/>
                  </w14:solidFill>
                </w14:textFill>
              </w:rPr>
              <w:t>2</w:t>
            </w:r>
            <w:r>
              <w:rPr>
                <w:rFonts w:hint="eastAsia" w:ascii="Times New Roman" w:hAnsi="Times New Roman" w:eastAsia="宋体" w:cs="宋体"/>
                <w:color w:val="000000" w:themeColor="text1"/>
                <w:sz w:val="21"/>
                <w:szCs w:val="21"/>
                <w:highlight w:val="none"/>
                <w14:textFill>
                  <w14:solidFill>
                    <w14:schemeClr w14:val="tx1"/>
                  </w14:solidFill>
                </w14:textFill>
              </w:rPr>
              <w:t>S。根据废水章节计算，</w:t>
            </w:r>
            <w:r>
              <w:rPr>
                <w:rFonts w:hint="eastAsia" w:cs="宋体"/>
                <w:color w:val="000000" w:themeColor="text1"/>
                <w:sz w:val="21"/>
                <w:szCs w:val="21"/>
                <w:highlight w:val="none"/>
                <w:lang w:val="en-US" w:eastAsia="zh-CN"/>
                <w14:textFill>
                  <w14:solidFill>
                    <w14:schemeClr w14:val="tx1"/>
                  </w14:solidFill>
                </w14:textFill>
              </w:rPr>
              <w:t>一期项目废水处理设施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去除的BOD</w:t>
            </w:r>
            <w:r>
              <w:rPr>
                <w:rFonts w:hint="eastAsia" w:cs="宋体"/>
                <w:color w:val="000000" w:themeColor="text1"/>
                <w:sz w:val="21"/>
                <w:szCs w:val="21"/>
                <w:highlight w:val="none"/>
                <w:vertAlign w:val="subscript"/>
                <w:lang w:val="en-US" w:eastAsia="zh-CN"/>
                <w14:textFill>
                  <w14:solidFill>
                    <w14:schemeClr w14:val="tx1"/>
                  </w14:solidFill>
                </w14:textFill>
              </w:rPr>
              <w:t>5</w:t>
            </w:r>
            <w:r>
              <w:rPr>
                <w:rFonts w:hint="eastAsia" w:ascii="Times New Roman" w:hAnsi="Times New Roman" w:eastAsia="宋体" w:cs="宋体"/>
                <w:color w:val="000000" w:themeColor="text1"/>
                <w:sz w:val="21"/>
                <w:szCs w:val="21"/>
                <w:highlight w:val="none"/>
                <w14:textFill>
                  <w14:solidFill>
                    <w14:schemeClr w14:val="tx1"/>
                  </w14:solidFill>
                </w14:textFill>
              </w:rPr>
              <w:t>量为</w:t>
            </w:r>
            <w:r>
              <w:rPr>
                <w:rFonts w:hint="eastAsia" w:cs="宋体"/>
                <w:color w:val="000000" w:themeColor="text1"/>
                <w:sz w:val="21"/>
                <w:szCs w:val="21"/>
                <w:highlight w:val="none"/>
                <w:lang w:val="en-US" w:eastAsia="zh-CN"/>
                <w14:textFill>
                  <w14:solidFill>
                    <w14:schemeClr w14:val="tx1"/>
                  </w14:solidFill>
                </w14:textFill>
              </w:rPr>
              <w:t>8.3538</w:t>
            </w:r>
            <w:r>
              <w:rPr>
                <w:rFonts w:hint="eastAsia" w:ascii="Times New Roman" w:hAnsi="Times New Roman" w:eastAsia="宋体" w:cs="宋体"/>
                <w:color w:val="000000" w:themeColor="text1"/>
                <w:sz w:val="21"/>
                <w:szCs w:val="21"/>
                <w:highlight w:val="none"/>
                <w14:textFill>
                  <w14:solidFill>
                    <w14:schemeClr w14:val="tx1"/>
                  </w14:solidFill>
                </w14:textFill>
              </w:rPr>
              <w:t>t/a，则恶臭气体产生量为NH</w:t>
            </w:r>
            <w:r>
              <w:rPr>
                <w:rFonts w:hint="eastAsia" w:cs="宋体"/>
                <w:color w:val="000000" w:themeColor="text1"/>
                <w:sz w:val="21"/>
                <w:szCs w:val="21"/>
                <w:highlight w:val="none"/>
                <w:vertAlign w:val="subscript"/>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0.</w:t>
            </w:r>
            <w:r>
              <w:rPr>
                <w:rFonts w:hint="eastAsia" w:cs="宋体"/>
                <w:color w:val="000000" w:themeColor="text1"/>
                <w:sz w:val="21"/>
                <w:szCs w:val="21"/>
                <w:highlight w:val="none"/>
                <w:lang w:val="en-US" w:eastAsia="zh-CN"/>
                <w14:textFill>
                  <w14:solidFill>
                    <w14:schemeClr w14:val="tx1"/>
                  </w14:solidFill>
                </w14:textFill>
              </w:rPr>
              <w:t>0259</w:t>
            </w:r>
            <w:r>
              <w:rPr>
                <w:rFonts w:hint="eastAsia" w:ascii="Times New Roman" w:hAnsi="Times New Roman" w:eastAsia="宋体" w:cs="宋体"/>
                <w:color w:val="000000" w:themeColor="text1"/>
                <w:sz w:val="21"/>
                <w:szCs w:val="21"/>
                <w:highlight w:val="none"/>
                <w14:textFill>
                  <w14:solidFill>
                    <w14:schemeClr w14:val="tx1"/>
                  </w14:solidFill>
                </w14:textFill>
              </w:rPr>
              <w:t>ta、H</w:t>
            </w:r>
            <w:r>
              <w:rPr>
                <w:rFonts w:hint="eastAsia" w:cs="宋体"/>
                <w:color w:val="000000" w:themeColor="text1"/>
                <w:sz w:val="21"/>
                <w:szCs w:val="21"/>
                <w:highlight w:val="none"/>
                <w:vertAlign w:val="subscript"/>
                <w:lang w:val="en-US" w:eastAsia="zh-CN"/>
                <w14:textFill>
                  <w14:solidFill>
                    <w14:schemeClr w14:val="tx1"/>
                  </w14:solidFill>
                </w14:textFill>
              </w:rPr>
              <w:t>2</w:t>
            </w:r>
            <w:r>
              <w:rPr>
                <w:rFonts w:hint="eastAsia" w:ascii="Times New Roman" w:hAnsi="Times New Roman" w:eastAsia="宋体" w:cs="宋体"/>
                <w:color w:val="000000" w:themeColor="text1"/>
                <w:sz w:val="21"/>
                <w:szCs w:val="21"/>
                <w:highlight w:val="none"/>
                <w14:textFill>
                  <w14:solidFill>
                    <w14:schemeClr w14:val="tx1"/>
                  </w14:solidFill>
                </w14:textFill>
              </w:rPr>
              <w:t>S0.00</w:t>
            </w:r>
            <w:r>
              <w:rPr>
                <w:rFonts w:hint="eastAsia"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t/a</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0BC325EC">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根据建设方提供的资料，本项目</w:t>
            </w:r>
            <w:r>
              <w:rPr>
                <w:rFonts w:hint="eastAsia" w:cs="宋体"/>
                <w:color w:val="000000" w:themeColor="text1"/>
                <w:sz w:val="21"/>
                <w:szCs w:val="21"/>
                <w:highlight w:val="none"/>
                <w:lang w:eastAsia="zh-CN"/>
                <w14:textFill>
                  <w14:solidFill>
                    <w14:schemeClr w14:val="tx1"/>
                  </w14:solidFill>
                </w14:textFill>
              </w:rPr>
              <w:t>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为地埋式一体化污水处理设备</w:t>
            </w:r>
            <w:r>
              <w:rPr>
                <w:rFonts w:hint="eastAsia" w:cs="宋体"/>
                <w:color w:val="000000" w:themeColor="text1"/>
                <w:sz w:val="21"/>
                <w:szCs w:val="21"/>
                <w:highlight w:val="none"/>
                <w:lang w:eastAsia="zh-CN"/>
                <w14:textFill>
                  <w14:solidFill>
                    <w14:schemeClr w14:val="tx1"/>
                  </w14:solidFill>
                </w14:textFill>
              </w:rPr>
              <w:t>，废水处理设施</w:t>
            </w:r>
            <w:r>
              <w:rPr>
                <w:rFonts w:hint="eastAsia" w:cs="宋体"/>
                <w:color w:val="000000" w:themeColor="text1"/>
                <w:sz w:val="21"/>
                <w:szCs w:val="21"/>
                <w:highlight w:val="none"/>
                <w:lang w:val="en-US" w:eastAsia="zh-CN"/>
                <w14:textFill>
                  <w14:solidFill>
                    <w14:schemeClr w14:val="tx1"/>
                  </w14:solidFill>
                </w14:textFill>
              </w:rPr>
              <w:t>设</w:t>
            </w:r>
            <w:r>
              <w:rPr>
                <w:rFonts w:hint="eastAsia" w:ascii="Times New Roman" w:hAnsi="Times New Roman" w:eastAsia="宋体" w:cs="宋体"/>
                <w:color w:val="000000" w:themeColor="text1"/>
                <w:sz w:val="21"/>
                <w:szCs w:val="21"/>
                <w:highlight w:val="none"/>
                <w14:textFill>
                  <w14:solidFill>
                    <w14:schemeClr w14:val="tx1"/>
                  </w14:solidFill>
                </w14:textFill>
              </w:rPr>
              <w:t>有排风装置，设计风量2000</w:t>
            </w:r>
            <w:r>
              <w:rPr>
                <w:rFonts w:hint="eastAsia" w:cs="宋体"/>
                <w:color w:val="000000" w:themeColor="text1"/>
                <w:sz w:val="21"/>
                <w:szCs w:val="21"/>
                <w:highlight w:val="none"/>
                <w:lang w:val="en-US" w:eastAsia="zh-CN"/>
                <w14:textFill>
                  <w14:solidFill>
                    <w14:schemeClr w14:val="tx1"/>
                  </w14:solidFill>
                </w14:textFill>
              </w:rPr>
              <w:t>m</w:t>
            </w:r>
            <w:r>
              <w:rPr>
                <w:rFonts w:hint="eastAsia" w:cs="宋体"/>
                <w:color w:val="000000" w:themeColor="text1"/>
                <w:sz w:val="21"/>
                <w:szCs w:val="21"/>
                <w:highlight w:val="none"/>
                <w:vertAlign w:val="superscript"/>
                <w:lang w:val="en-US" w:eastAsia="zh-CN"/>
                <w14:textFill>
                  <w14:solidFill>
                    <w14:schemeClr w14:val="tx1"/>
                  </w14:solidFill>
                </w14:textFill>
              </w:rPr>
              <w:t>3</w:t>
            </w:r>
            <w:r>
              <w:rPr>
                <w:rFonts w:hint="eastAsia" w:cs="宋体"/>
                <w:color w:val="000000" w:themeColor="text1"/>
                <w:sz w:val="21"/>
                <w:szCs w:val="21"/>
                <w:highlight w:val="none"/>
                <w:lang w:val="en-US" w:eastAsia="zh-CN"/>
                <w14:textFill>
                  <w14:solidFill>
                    <w14:schemeClr w14:val="tx1"/>
                  </w14:solidFill>
                </w14:textFill>
              </w:rPr>
              <w:t>/h</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eastAsia="zh-CN"/>
                <w14:textFill>
                  <w14:solidFill>
                    <w14:schemeClr w14:val="tx1"/>
                  </w14:solidFill>
                </w14:textFill>
              </w:rPr>
              <w:t>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为一体化污水处理设备，密封性好，</w:t>
            </w:r>
            <w:r>
              <w:rPr>
                <w:rFonts w:hint="eastAsia" w:cs="宋体"/>
                <w:color w:val="000000" w:themeColor="text1"/>
                <w:sz w:val="21"/>
                <w:szCs w:val="21"/>
                <w:highlight w:val="none"/>
                <w:lang w:eastAsia="zh-CN"/>
                <w14:textFill>
                  <w14:solidFill>
                    <w14:schemeClr w14:val="tx1"/>
                  </w14:solidFill>
                </w14:textFill>
              </w:rPr>
              <w:t>废水处理设施</w:t>
            </w:r>
            <w:r>
              <w:rPr>
                <w:rFonts w:hint="eastAsia" w:ascii="Times New Roman" w:hAnsi="Times New Roman" w:eastAsia="宋体" w:cs="宋体"/>
                <w:color w:val="000000" w:themeColor="text1"/>
                <w:sz w:val="21"/>
                <w:szCs w:val="21"/>
                <w:highlight w:val="none"/>
                <w14:textFill>
                  <w14:solidFill>
                    <w14:schemeClr w14:val="tx1"/>
                  </w14:solidFill>
                </w14:textFill>
              </w:rPr>
              <w:t>恶臭经负压收集后，全部进入生物除臭装置，去除</w:t>
            </w:r>
            <w:r>
              <w:rPr>
                <w:rFonts w:hint="eastAsia" w:cs="宋体"/>
                <w:color w:val="000000" w:themeColor="text1"/>
                <w:sz w:val="21"/>
                <w:szCs w:val="21"/>
                <w:highlight w:val="none"/>
                <w:lang w:val="en-US" w:eastAsia="zh-CN"/>
                <w14:textFill>
                  <w14:solidFill>
                    <w14:schemeClr w14:val="tx1"/>
                  </w14:solidFill>
                </w14:textFill>
              </w:rPr>
              <w:t>效率以90%计。</w:t>
            </w:r>
          </w:p>
          <w:p w14:paraId="777AAEC9">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1  </w:t>
            </w:r>
            <w:r>
              <w:rPr>
                <w:rFonts w:ascii="Times New Roman" w:hAnsi="Times New Roman" w:eastAsia="宋体" w:cs="宋体"/>
                <w:b/>
                <w:bCs/>
                <w:color w:val="000000" w:themeColor="text1"/>
                <w:spacing w:val="-4"/>
                <w:sz w:val="21"/>
                <w:szCs w:val="21"/>
                <w:highlight w:val="none"/>
                <w14:textFill>
                  <w14:solidFill>
                    <w14:schemeClr w14:val="tx1"/>
                  </w14:solidFill>
                </w14:textFill>
              </w:rPr>
              <w:t>有组织</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废气产生情况表</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996"/>
              <w:gridCol w:w="1039"/>
              <w:gridCol w:w="1188"/>
              <w:gridCol w:w="1586"/>
              <w:gridCol w:w="1135"/>
              <w:gridCol w:w="1135"/>
              <w:gridCol w:w="1180"/>
            </w:tblGrid>
            <w:tr w14:paraId="6E2427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32" w:type="pct"/>
                  <w:gridSpan w:val="2"/>
                  <w:vAlign w:val="center"/>
                </w:tcPr>
                <w:p w14:paraId="70D0FD52">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污染源</w:t>
                  </w:r>
                </w:p>
              </w:tc>
              <w:tc>
                <w:tcPr>
                  <w:tcW w:w="719" w:type="pct"/>
                  <w:vMerge w:val="restart"/>
                  <w:vAlign w:val="center"/>
                </w:tcPr>
                <w:p w14:paraId="1E464028">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工序</w:t>
                  </w:r>
                </w:p>
              </w:tc>
              <w:tc>
                <w:tcPr>
                  <w:tcW w:w="960" w:type="pct"/>
                  <w:vMerge w:val="restart"/>
                  <w:vAlign w:val="center"/>
                </w:tcPr>
                <w:p w14:paraId="7913D369">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污染物名称</w:t>
                  </w:r>
                </w:p>
              </w:tc>
              <w:tc>
                <w:tcPr>
                  <w:tcW w:w="2088" w:type="pct"/>
                  <w:gridSpan w:val="3"/>
                  <w:vAlign w:val="center"/>
                </w:tcPr>
                <w:p w14:paraId="1FC8BAFE">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产生情况</w:t>
                  </w:r>
                </w:p>
              </w:tc>
            </w:tr>
            <w:tr w14:paraId="07CC88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restart"/>
                  <w:vAlign w:val="center"/>
                </w:tcPr>
                <w:p w14:paraId="18A14099">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排气筒</w:t>
                  </w:r>
                </w:p>
              </w:tc>
              <w:tc>
                <w:tcPr>
                  <w:tcW w:w="629" w:type="pct"/>
                  <w:vAlign w:val="center"/>
                </w:tcPr>
                <w:p w14:paraId="6392ED8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排气量</w:t>
                  </w:r>
                </w:p>
              </w:tc>
              <w:tc>
                <w:tcPr>
                  <w:tcW w:w="719" w:type="pct"/>
                  <w:vMerge w:val="continue"/>
                  <w:vAlign w:val="center"/>
                </w:tcPr>
                <w:p w14:paraId="19DA857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960" w:type="pct"/>
                  <w:vMerge w:val="continue"/>
                  <w:vAlign w:val="center"/>
                </w:tcPr>
                <w:p w14:paraId="485248C1">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687" w:type="pct"/>
                  <w:vAlign w:val="center"/>
                </w:tcPr>
                <w:p w14:paraId="789DA86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浓度</w:t>
                  </w:r>
                </w:p>
              </w:tc>
              <w:tc>
                <w:tcPr>
                  <w:tcW w:w="687" w:type="pct"/>
                  <w:vAlign w:val="center"/>
                </w:tcPr>
                <w:p w14:paraId="2C607560">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速率</w:t>
                  </w:r>
                </w:p>
              </w:tc>
              <w:tc>
                <w:tcPr>
                  <w:tcW w:w="713" w:type="pct"/>
                  <w:vAlign w:val="center"/>
                </w:tcPr>
                <w:p w14:paraId="5E1C3B6B">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产生量</w:t>
                  </w:r>
                </w:p>
              </w:tc>
            </w:tr>
            <w:tr w14:paraId="5218FC9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25A27E6C">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629" w:type="pct"/>
                  <w:vAlign w:val="center"/>
                </w:tcPr>
                <w:p w14:paraId="12AB6E81">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/h</w:t>
                  </w:r>
                </w:p>
              </w:tc>
              <w:tc>
                <w:tcPr>
                  <w:tcW w:w="719" w:type="pct"/>
                  <w:vMerge w:val="continue"/>
                  <w:vAlign w:val="center"/>
                </w:tcPr>
                <w:p w14:paraId="4E58984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960" w:type="pct"/>
                  <w:vMerge w:val="continue"/>
                  <w:vAlign w:val="center"/>
                </w:tcPr>
                <w:p w14:paraId="6F1DFD76">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687" w:type="pct"/>
                  <w:vAlign w:val="center"/>
                </w:tcPr>
                <w:p w14:paraId="79E283F9">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mg/m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p>
              </w:tc>
              <w:tc>
                <w:tcPr>
                  <w:tcW w:w="687" w:type="pct"/>
                  <w:vAlign w:val="center"/>
                </w:tcPr>
                <w:p w14:paraId="1B0D1ED8">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kg/h</w:t>
                  </w:r>
                </w:p>
              </w:tc>
              <w:tc>
                <w:tcPr>
                  <w:tcW w:w="713" w:type="pct"/>
                  <w:vAlign w:val="center"/>
                </w:tcPr>
                <w:p w14:paraId="3C77FDEE">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t/a</w:t>
                  </w:r>
                </w:p>
              </w:tc>
            </w:tr>
            <w:tr w14:paraId="7DCDC9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restart"/>
                  <w:vAlign w:val="center"/>
                </w:tcPr>
                <w:p w14:paraId="5BC904D7">
                  <w:pPr>
                    <w:snapToGrid w:val="0"/>
                    <w:jc w:val="cente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cs="宋体"/>
                      <w:color w:val="000000" w:themeColor="text1"/>
                      <w:kern w:val="0"/>
                      <w:sz w:val="21"/>
                      <w:szCs w:val="21"/>
                      <w:highlight w:val="none"/>
                      <w:lang w:val="en-US" w:eastAsia="zh-CN"/>
                      <w14:textFill>
                        <w14:solidFill>
                          <w14:schemeClr w14:val="tx1"/>
                        </w14:solidFill>
                      </w14:textFill>
                    </w:rPr>
                    <w:t>1</w:t>
                  </w:r>
                </w:p>
              </w:tc>
              <w:tc>
                <w:tcPr>
                  <w:tcW w:w="629" w:type="pct"/>
                  <w:vMerge w:val="restart"/>
                  <w:vAlign w:val="center"/>
                </w:tcPr>
                <w:p w14:paraId="653FF3C8">
                  <w:pPr>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20000</w:t>
                  </w:r>
                </w:p>
              </w:tc>
              <w:tc>
                <w:tcPr>
                  <w:tcW w:w="719" w:type="pct"/>
                  <w:vMerge w:val="restart"/>
                  <w:vAlign w:val="center"/>
                </w:tcPr>
                <w:p w14:paraId="7210FBBB">
                  <w:pPr>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待宰</w:t>
                  </w:r>
                </w:p>
              </w:tc>
              <w:tc>
                <w:tcPr>
                  <w:tcW w:w="960" w:type="pct"/>
                  <w:vAlign w:val="center"/>
                </w:tcPr>
                <w:p w14:paraId="4876A5BC">
                  <w:pPr>
                    <w:tabs>
                      <w:tab w:val="left" w:pos="960"/>
                    </w:tabs>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1135" w:type="dxa"/>
                  <w:vAlign w:val="bottom"/>
                </w:tcPr>
                <w:p w14:paraId="3B084608">
                  <w:pPr>
                    <w:keepNext w:val="0"/>
                    <w:keepLines w:val="0"/>
                    <w:widowControl/>
                    <w:suppressLineNumbers w:val="0"/>
                    <w:jc w:val="center"/>
                    <w:textAlignment w:val="bottom"/>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4.43 </w:t>
                  </w:r>
                </w:p>
              </w:tc>
              <w:tc>
                <w:tcPr>
                  <w:tcW w:w="1135" w:type="dxa"/>
                  <w:vAlign w:val="bottom"/>
                </w:tcPr>
                <w:p w14:paraId="1D5637D8">
                  <w:pPr>
                    <w:keepNext w:val="0"/>
                    <w:keepLines w:val="0"/>
                    <w:widowControl/>
                    <w:suppressLineNumbers w:val="0"/>
                    <w:jc w:val="center"/>
                    <w:textAlignment w:val="bottom"/>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0.0887 </w:t>
                  </w:r>
                </w:p>
              </w:tc>
              <w:tc>
                <w:tcPr>
                  <w:tcW w:w="1180" w:type="dxa"/>
                  <w:vAlign w:val="bottom"/>
                </w:tcPr>
                <w:p w14:paraId="6D1455F4">
                  <w:pPr>
                    <w:keepNext w:val="0"/>
                    <w:keepLines w:val="0"/>
                    <w:widowControl/>
                    <w:suppressLineNumbers w:val="0"/>
                    <w:jc w:val="center"/>
                    <w:textAlignment w:val="bottom"/>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0.266</w:t>
                  </w:r>
                </w:p>
              </w:tc>
            </w:tr>
            <w:tr w14:paraId="508511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2ECDCA8B">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629" w:type="pct"/>
                  <w:vMerge w:val="continue"/>
                  <w:vAlign w:val="center"/>
                </w:tcPr>
                <w:p w14:paraId="19DB243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719" w:type="pct"/>
                  <w:vMerge w:val="continue"/>
                  <w:vAlign w:val="center"/>
                </w:tcPr>
                <w:p w14:paraId="1A4B2FE0">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960" w:type="pct"/>
                  <w:vAlign w:val="center"/>
                </w:tcPr>
                <w:p w14:paraId="28169697">
                  <w:pPr>
                    <w:tabs>
                      <w:tab w:val="left" w:pos="960"/>
                    </w:tabs>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1135" w:type="dxa"/>
                  <w:vAlign w:val="bottom"/>
                </w:tcPr>
                <w:p w14:paraId="651CB26E">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0.37 </w:t>
                  </w:r>
                </w:p>
              </w:tc>
              <w:tc>
                <w:tcPr>
                  <w:tcW w:w="1135" w:type="dxa"/>
                  <w:vAlign w:val="bottom"/>
                </w:tcPr>
                <w:p w14:paraId="31A5647E">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0.0073 </w:t>
                  </w:r>
                </w:p>
              </w:tc>
              <w:tc>
                <w:tcPr>
                  <w:tcW w:w="1180" w:type="dxa"/>
                  <w:vAlign w:val="bottom"/>
                </w:tcPr>
                <w:p w14:paraId="32BC92B9">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0.022</w:t>
                  </w:r>
                </w:p>
              </w:tc>
            </w:tr>
            <w:tr w14:paraId="2FCBC6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28CF1CA9">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629" w:type="pct"/>
                  <w:vMerge w:val="continue"/>
                  <w:vAlign w:val="center"/>
                </w:tcPr>
                <w:p w14:paraId="21F4B1E3">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719" w:type="pct"/>
                  <w:vMerge w:val="restart"/>
                  <w:vAlign w:val="center"/>
                </w:tcPr>
                <w:p w14:paraId="00A2025D">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屠宰</w:t>
                  </w:r>
                </w:p>
              </w:tc>
              <w:tc>
                <w:tcPr>
                  <w:tcW w:w="960" w:type="pct"/>
                  <w:shd w:val="clear" w:color="auto" w:fill="auto"/>
                  <w:vAlign w:val="center"/>
                </w:tcPr>
                <w:p w14:paraId="4C7267BB">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1135" w:type="dxa"/>
                  <w:vAlign w:val="bottom"/>
                </w:tcPr>
                <w:p w14:paraId="2AC9D61E">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18.13 </w:t>
                  </w:r>
                </w:p>
              </w:tc>
              <w:tc>
                <w:tcPr>
                  <w:tcW w:w="1135" w:type="dxa"/>
                  <w:vAlign w:val="bottom"/>
                </w:tcPr>
                <w:p w14:paraId="7E74B8C5">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0.3627 </w:t>
                  </w:r>
                </w:p>
              </w:tc>
              <w:tc>
                <w:tcPr>
                  <w:tcW w:w="1180" w:type="dxa"/>
                  <w:vAlign w:val="bottom"/>
                </w:tcPr>
                <w:p w14:paraId="4EA8305C">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1.088</w:t>
                  </w:r>
                </w:p>
              </w:tc>
            </w:tr>
            <w:tr w14:paraId="77AD1A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6C13B428">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629" w:type="pct"/>
                  <w:vMerge w:val="continue"/>
                  <w:vAlign w:val="center"/>
                </w:tcPr>
                <w:p w14:paraId="04BBB21C">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719" w:type="pct"/>
                  <w:vMerge w:val="continue"/>
                  <w:vAlign w:val="center"/>
                </w:tcPr>
                <w:p w14:paraId="08E8F703">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960" w:type="pct"/>
                  <w:shd w:val="clear" w:color="auto" w:fill="auto"/>
                  <w:vAlign w:val="center"/>
                </w:tcPr>
                <w:p w14:paraId="0604585D">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1135" w:type="dxa"/>
                  <w:vAlign w:val="bottom"/>
                </w:tcPr>
                <w:p w14:paraId="72C40AAE">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1.67 </w:t>
                  </w:r>
                </w:p>
              </w:tc>
              <w:tc>
                <w:tcPr>
                  <w:tcW w:w="1135" w:type="dxa"/>
                  <w:vAlign w:val="bottom"/>
                </w:tcPr>
                <w:p w14:paraId="4AFA72C3">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0.0333 </w:t>
                  </w:r>
                </w:p>
              </w:tc>
              <w:tc>
                <w:tcPr>
                  <w:tcW w:w="1180" w:type="dxa"/>
                  <w:vAlign w:val="bottom"/>
                </w:tcPr>
                <w:p w14:paraId="05227BD3">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0.1</w:t>
                  </w:r>
                </w:p>
              </w:tc>
            </w:tr>
            <w:tr w14:paraId="300B77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2BBDE08D">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629" w:type="pct"/>
                  <w:vMerge w:val="continue"/>
                  <w:vAlign w:val="center"/>
                </w:tcPr>
                <w:p w14:paraId="6EA0253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719" w:type="pct"/>
                  <w:vMerge w:val="restart"/>
                  <w:vAlign w:val="center"/>
                </w:tcPr>
                <w:p w14:paraId="25A5F1FE">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废水处理设施</w:t>
                  </w:r>
                </w:p>
              </w:tc>
              <w:tc>
                <w:tcPr>
                  <w:tcW w:w="960" w:type="pct"/>
                  <w:shd w:val="clear" w:color="auto" w:fill="auto"/>
                  <w:vAlign w:val="center"/>
                </w:tcPr>
                <w:p w14:paraId="64A93CF9">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1135" w:type="dxa"/>
                  <w:vAlign w:val="bottom"/>
                </w:tcPr>
                <w:p w14:paraId="30125B42">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0.43 </w:t>
                  </w:r>
                </w:p>
              </w:tc>
              <w:tc>
                <w:tcPr>
                  <w:tcW w:w="1135" w:type="dxa"/>
                  <w:vAlign w:val="bottom"/>
                </w:tcPr>
                <w:p w14:paraId="5941B213">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0.0086 </w:t>
                  </w:r>
                </w:p>
              </w:tc>
              <w:tc>
                <w:tcPr>
                  <w:tcW w:w="1180" w:type="dxa"/>
                  <w:vAlign w:val="bottom"/>
                </w:tcPr>
                <w:p w14:paraId="4FC72EF0">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0.0259</w:t>
                  </w:r>
                </w:p>
              </w:tc>
            </w:tr>
            <w:tr w14:paraId="3F882F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03" w:type="pct"/>
                  <w:vMerge w:val="continue"/>
                  <w:vAlign w:val="center"/>
                </w:tcPr>
                <w:p w14:paraId="3AA20821">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629" w:type="pct"/>
                  <w:vMerge w:val="continue"/>
                  <w:vAlign w:val="center"/>
                </w:tcPr>
                <w:p w14:paraId="31AC6B1B">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719" w:type="pct"/>
                  <w:vMerge w:val="continue"/>
                  <w:vAlign w:val="center"/>
                </w:tcPr>
                <w:p w14:paraId="56B76D1F">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960" w:type="pct"/>
                  <w:shd w:val="clear" w:color="auto" w:fill="auto"/>
                  <w:vAlign w:val="center"/>
                </w:tcPr>
                <w:p w14:paraId="6C1BD563">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1135" w:type="dxa"/>
                  <w:vAlign w:val="bottom"/>
                </w:tcPr>
                <w:p w14:paraId="5E5ADA9E">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0.02 </w:t>
                  </w:r>
                </w:p>
              </w:tc>
              <w:tc>
                <w:tcPr>
                  <w:tcW w:w="1135" w:type="dxa"/>
                  <w:vAlign w:val="bottom"/>
                </w:tcPr>
                <w:p w14:paraId="5E46CFE3">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0.0003 </w:t>
                  </w:r>
                </w:p>
              </w:tc>
              <w:tc>
                <w:tcPr>
                  <w:tcW w:w="1180" w:type="dxa"/>
                  <w:vAlign w:val="bottom"/>
                </w:tcPr>
                <w:p w14:paraId="44894DA8">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0.001</w:t>
                  </w:r>
                </w:p>
              </w:tc>
            </w:tr>
          </w:tbl>
          <w:p w14:paraId="337F188B">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2  无</w:t>
            </w:r>
            <w:r>
              <w:rPr>
                <w:rFonts w:ascii="Times New Roman" w:hAnsi="Times New Roman" w:eastAsia="宋体" w:cs="宋体"/>
                <w:b/>
                <w:bCs/>
                <w:color w:val="000000" w:themeColor="text1"/>
                <w:spacing w:val="-4"/>
                <w:sz w:val="21"/>
                <w:szCs w:val="21"/>
                <w:highlight w:val="none"/>
                <w14:textFill>
                  <w14:solidFill>
                    <w14:schemeClr w14:val="tx1"/>
                  </w14:solidFill>
                </w14:textFill>
              </w:rPr>
              <w:t>组织</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废气产生情况表</w:t>
            </w:r>
          </w:p>
          <w:tbl>
            <w:tblPr>
              <w:tblStyle w:val="24"/>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098"/>
              <w:gridCol w:w="1715"/>
              <w:gridCol w:w="1435"/>
              <w:gridCol w:w="1313"/>
              <w:gridCol w:w="1313"/>
              <w:gridCol w:w="1382"/>
            </w:tblGrid>
            <w:tr w14:paraId="06EB2C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restart"/>
                  <w:vAlign w:val="center"/>
                </w:tcPr>
                <w:p w14:paraId="499C69FA">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污染源位置</w:t>
                  </w:r>
                </w:p>
              </w:tc>
              <w:tc>
                <w:tcPr>
                  <w:tcW w:w="1038" w:type="pct"/>
                  <w:vMerge w:val="restart"/>
                  <w:vAlign w:val="center"/>
                </w:tcPr>
                <w:p w14:paraId="4CF439DB">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工序</w:t>
                  </w:r>
                </w:p>
              </w:tc>
              <w:tc>
                <w:tcPr>
                  <w:tcW w:w="869" w:type="pct"/>
                  <w:vMerge w:val="restart"/>
                  <w:vAlign w:val="center"/>
                </w:tcPr>
                <w:p w14:paraId="46865F8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污染物名称</w:t>
                  </w:r>
                </w:p>
              </w:tc>
              <w:tc>
                <w:tcPr>
                  <w:tcW w:w="795" w:type="pct"/>
                  <w:vAlign w:val="center"/>
                </w:tcPr>
                <w:p w14:paraId="7B30B54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产生量</w:t>
                  </w:r>
                </w:p>
              </w:tc>
              <w:tc>
                <w:tcPr>
                  <w:tcW w:w="795" w:type="pct"/>
                  <w:vAlign w:val="center"/>
                </w:tcPr>
                <w:p w14:paraId="1885898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面源面积</w:t>
                  </w:r>
                </w:p>
              </w:tc>
              <w:tc>
                <w:tcPr>
                  <w:tcW w:w="836" w:type="pct"/>
                  <w:vAlign w:val="center"/>
                </w:tcPr>
                <w:p w14:paraId="3B048194">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面源高度</w:t>
                  </w:r>
                </w:p>
              </w:tc>
            </w:tr>
            <w:tr w14:paraId="3AEA71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continue"/>
                  <w:vAlign w:val="center"/>
                </w:tcPr>
                <w:p w14:paraId="055183F6">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1038" w:type="pct"/>
                  <w:vMerge w:val="continue"/>
                  <w:vAlign w:val="center"/>
                </w:tcPr>
                <w:p w14:paraId="4044A29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869" w:type="pct"/>
                  <w:vMerge w:val="continue"/>
                  <w:vAlign w:val="center"/>
                </w:tcPr>
                <w:p w14:paraId="27F2A46F">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795" w:type="pct"/>
                  <w:vAlign w:val="center"/>
                </w:tcPr>
                <w:p w14:paraId="74F69456">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t/a</w:t>
                  </w:r>
                </w:p>
              </w:tc>
              <w:tc>
                <w:tcPr>
                  <w:tcW w:w="795" w:type="pct"/>
                  <w:vAlign w:val="center"/>
                </w:tcPr>
                <w:p w14:paraId="0033C9E9">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2</w:t>
                  </w:r>
                </w:p>
              </w:tc>
              <w:tc>
                <w:tcPr>
                  <w:tcW w:w="836" w:type="pct"/>
                  <w:vAlign w:val="center"/>
                </w:tcPr>
                <w:p w14:paraId="0C91921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p>
              </w:tc>
            </w:tr>
            <w:tr w14:paraId="29CC709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restart"/>
                  <w:vAlign w:val="center"/>
                </w:tcPr>
                <w:p w14:paraId="50CC35A6">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圈养区域</w:t>
                  </w:r>
                </w:p>
              </w:tc>
              <w:tc>
                <w:tcPr>
                  <w:tcW w:w="1038" w:type="pct"/>
                  <w:vMerge w:val="restart"/>
                  <w:shd w:val="clear" w:color="auto" w:fill="auto"/>
                  <w:vAlign w:val="center"/>
                </w:tcPr>
                <w:p w14:paraId="3D3FCBB3">
                  <w:pPr>
                    <w:snapToGrid w:val="0"/>
                    <w:jc w:val="center"/>
                    <w:rPr>
                      <w:rFonts w:hint="default"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待宰</w:t>
                  </w:r>
                </w:p>
              </w:tc>
              <w:tc>
                <w:tcPr>
                  <w:tcW w:w="869" w:type="pct"/>
                  <w:shd w:val="clear" w:color="auto" w:fill="auto"/>
                  <w:vAlign w:val="center"/>
                </w:tcPr>
                <w:p w14:paraId="08761047">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795" w:type="pct"/>
                  <w:vAlign w:val="center"/>
                </w:tcPr>
                <w:p w14:paraId="0FB7C938">
                  <w:pPr>
                    <w:snapToGrid w:val="0"/>
                    <w:jc w:val="center"/>
                    <w:rPr>
                      <w:rFonts w:hint="default" w:ascii="Times New Roman" w:hAnsi="Times New Roman" w:eastAsia="宋体" w:cs="宋体"/>
                      <w:bCs/>
                      <w:color w:val="000000" w:themeColor="text1"/>
                      <w:kern w:val="0"/>
                      <w:sz w:val="21"/>
                      <w:szCs w:val="21"/>
                      <w:highlight w:val="none"/>
                      <w:lang w:val="en-US" w:eastAsia="zh-CN"/>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0.03</w:t>
                  </w:r>
                </w:p>
              </w:tc>
              <w:tc>
                <w:tcPr>
                  <w:tcW w:w="795" w:type="pct"/>
                  <w:vMerge w:val="restart"/>
                  <w:vAlign w:val="center"/>
                </w:tcPr>
                <w:p w14:paraId="064B4E05">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2000</w:t>
                  </w:r>
                </w:p>
              </w:tc>
              <w:tc>
                <w:tcPr>
                  <w:tcW w:w="836" w:type="pct"/>
                  <w:vMerge w:val="restart"/>
                  <w:vAlign w:val="center"/>
                </w:tcPr>
                <w:p w14:paraId="0B685FB6">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w:t>
                  </w:r>
                </w:p>
              </w:tc>
            </w:tr>
            <w:tr w14:paraId="5DCABB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continue"/>
                  <w:vAlign w:val="center"/>
                </w:tcPr>
                <w:p w14:paraId="5A770DF5">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1038" w:type="pct"/>
                  <w:vMerge w:val="continue"/>
                  <w:shd w:val="clear" w:color="auto" w:fill="auto"/>
                  <w:vAlign w:val="center"/>
                </w:tcPr>
                <w:p w14:paraId="15A4BB2E">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869" w:type="pct"/>
                  <w:shd w:val="clear" w:color="auto" w:fill="auto"/>
                  <w:vAlign w:val="center"/>
                </w:tcPr>
                <w:p w14:paraId="25B52121">
                  <w:pPr>
                    <w:tabs>
                      <w:tab w:val="left" w:pos="960"/>
                    </w:tabs>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795" w:type="pct"/>
                  <w:vAlign w:val="center"/>
                </w:tcPr>
                <w:p w14:paraId="450B8217">
                  <w:pPr>
                    <w:snapToGrid w:val="0"/>
                    <w:jc w:val="center"/>
                    <w:rPr>
                      <w:rFonts w:hint="default" w:cs="宋体"/>
                      <w:bCs/>
                      <w:color w:val="000000" w:themeColor="text1"/>
                      <w:kern w:val="0"/>
                      <w:sz w:val="21"/>
                      <w:szCs w:val="21"/>
                      <w:highlight w:val="none"/>
                      <w:lang w:val="en-US" w:eastAsia="zh-CN"/>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0.002</w:t>
                  </w:r>
                </w:p>
              </w:tc>
              <w:tc>
                <w:tcPr>
                  <w:tcW w:w="795" w:type="pct"/>
                  <w:vMerge w:val="continue"/>
                  <w:vAlign w:val="center"/>
                </w:tcPr>
                <w:p w14:paraId="5AFC1C88">
                  <w:pPr>
                    <w:pStyle w:val="62"/>
                    <w:autoSpaceDE w:val="0"/>
                    <w:autoSpaceDN w:val="0"/>
                    <w:snapToGrid w:val="0"/>
                    <w:jc w:val="cente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pPr>
                </w:p>
              </w:tc>
              <w:tc>
                <w:tcPr>
                  <w:tcW w:w="836" w:type="pct"/>
                  <w:vMerge w:val="continue"/>
                  <w:vAlign w:val="center"/>
                </w:tcPr>
                <w:p w14:paraId="6B305007">
                  <w:pPr>
                    <w:pStyle w:val="62"/>
                    <w:autoSpaceDE w:val="0"/>
                    <w:autoSpaceDN w:val="0"/>
                    <w:snapToGrid w:val="0"/>
                    <w:jc w:val="cente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pPr>
                </w:p>
              </w:tc>
            </w:tr>
            <w:tr w14:paraId="4115A8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restart"/>
                  <w:vAlign w:val="center"/>
                </w:tcPr>
                <w:p w14:paraId="783D5ABF">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屠宰车间</w:t>
                  </w:r>
                </w:p>
              </w:tc>
              <w:tc>
                <w:tcPr>
                  <w:tcW w:w="1038" w:type="pct"/>
                  <w:vMerge w:val="restart"/>
                  <w:shd w:val="clear" w:color="auto" w:fill="auto"/>
                  <w:vAlign w:val="center"/>
                </w:tcPr>
                <w:p w14:paraId="16E8B782">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屠宰</w:t>
                  </w:r>
                </w:p>
              </w:tc>
              <w:tc>
                <w:tcPr>
                  <w:tcW w:w="869" w:type="pct"/>
                  <w:shd w:val="clear" w:color="auto" w:fill="auto"/>
                  <w:vAlign w:val="center"/>
                </w:tcPr>
                <w:p w14:paraId="36517A9F">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795" w:type="pct"/>
                  <w:vAlign w:val="center"/>
                </w:tcPr>
                <w:p w14:paraId="5030AD7B">
                  <w:pPr>
                    <w:snapToGrid w:val="0"/>
                    <w:jc w:val="center"/>
                    <w:rPr>
                      <w:rFonts w:hint="default" w:cs="宋体"/>
                      <w:bCs/>
                      <w:color w:val="000000" w:themeColor="text1"/>
                      <w:kern w:val="0"/>
                      <w:sz w:val="21"/>
                      <w:szCs w:val="21"/>
                      <w:highlight w:val="none"/>
                      <w:lang w:val="en-US" w:eastAsia="zh-CN"/>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0.121</w:t>
                  </w:r>
                </w:p>
              </w:tc>
              <w:tc>
                <w:tcPr>
                  <w:tcW w:w="795" w:type="pct"/>
                  <w:vMerge w:val="restart"/>
                  <w:vAlign w:val="center"/>
                </w:tcPr>
                <w:p w14:paraId="10848F38">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500</w:t>
                  </w:r>
                </w:p>
              </w:tc>
              <w:tc>
                <w:tcPr>
                  <w:tcW w:w="836" w:type="pct"/>
                  <w:vMerge w:val="restart"/>
                  <w:vAlign w:val="center"/>
                </w:tcPr>
                <w:p w14:paraId="6DC2E9F7">
                  <w:pPr>
                    <w:pStyle w:val="62"/>
                    <w:autoSpaceDE w:val="0"/>
                    <w:autoSpaceDN w:val="0"/>
                    <w:snapToGrid w:val="0"/>
                    <w:jc w:val="center"/>
                    <w:rPr>
                      <w:rFonts w:hint="default" w:ascii="Times New Roman" w:hAnsi="Times New Roman"/>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w:t>
                  </w:r>
                </w:p>
              </w:tc>
            </w:tr>
            <w:tr w14:paraId="396E448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65" w:type="pct"/>
                  <w:vMerge w:val="continue"/>
                  <w:vAlign w:val="center"/>
                </w:tcPr>
                <w:p w14:paraId="0E7E1520">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1038" w:type="pct"/>
                  <w:vMerge w:val="continue"/>
                  <w:shd w:val="clear" w:color="auto" w:fill="auto"/>
                  <w:vAlign w:val="center"/>
                </w:tcPr>
                <w:p w14:paraId="464FAF6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869" w:type="pct"/>
                  <w:shd w:val="clear" w:color="auto" w:fill="auto"/>
                  <w:vAlign w:val="center"/>
                </w:tcPr>
                <w:p w14:paraId="5922734E">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795" w:type="pct"/>
                  <w:vAlign w:val="center"/>
                </w:tcPr>
                <w:p w14:paraId="76EC2C87">
                  <w:pPr>
                    <w:snapToGrid w:val="0"/>
                    <w:jc w:val="center"/>
                    <w:rPr>
                      <w:rFonts w:hint="default" w:cs="宋体"/>
                      <w:bCs/>
                      <w:color w:val="000000" w:themeColor="text1"/>
                      <w:kern w:val="0"/>
                      <w:sz w:val="21"/>
                      <w:szCs w:val="21"/>
                      <w:highlight w:val="none"/>
                      <w:lang w:val="en-US" w:eastAsia="zh-CN"/>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0.011</w:t>
                  </w:r>
                </w:p>
              </w:tc>
              <w:tc>
                <w:tcPr>
                  <w:tcW w:w="795" w:type="pct"/>
                  <w:vMerge w:val="continue"/>
                  <w:vAlign w:val="center"/>
                </w:tcPr>
                <w:p w14:paraId="1193DBB7">
                  <w:pPr>
                    <w:pStyle w:val="62"/>
                    <w:autoSpaceDE w:val="0"/>
                    <w:autoSpaceDN w:val="0"/>
                    <w:snapToGrid w:val="0"/>
                    <w:jc w:val="cente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pPr>
                </w:p>
              </w:tc>
              <w:tc>
                <w:tcPr>
                  <w:tcW w:w="836" w:type="pct"/>
                  <w:vMerge w:val="continue"/>
                  <w:vAlign w:val="center"/>
                </w:tcPr>
                <w:p w14:paraId="71350698">
                  <w:pPr>
                    <w:pStyle w:val="62"/>
                    <w:autoSpaceDE w:val="0"/>
                    <w:autoSpaceDN w:val="0"/>
                    <w:snapToGrid w:val="0"/>
                    <w:jc w:val="cente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pPr>
                </w:p>
              </w:tc>
            </w:tr>
          </w:tbl>
          <w:p w14:paraId="2CD25487">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（2）污染防治措施</w:t>
            </w:r>
          </w:p>
          <w:p w14:paraId="2C6D701D">
            <w:pPr>
              <w:spacing w:line="360" w:lineRule="auto"/>
              <w:ind w:firstLine="420" w:firstLineChars="200"/>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建设单位委托专业设计单位进行废气处理设计，待宰圈臭气经密闭圈棚、棚顶安装集排风装置收集</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收集效率90%</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w:t>
            </w:r>
            <w:r>
              <w:rPr>
                <w:rFonts w:hint="eastAsia" w:cs="宋体"/>
                <w:b w:val="0"/>
                <w:bCs w:val="0"/>
                <w:color w:val="000000" w:themeColor="text1"/>
                <w:sz w:val="21"/>
                <w:szCs w:val="21"/>
                <w:highlight w:val="none"/>
                <w:lang w:val="en-US" w:eastAsia="zh-CN"/>
                <w14:textFill>
                  <w14:solidFill>
                    <w14:schemeClr w14:val="tx1"/>
                  </w14:solidFill>
                </w14:textFill>
              </w:rPr>
              <w:t>屠宰</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废气经集排风装置收集</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收集效率90%</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w:t>
            </w:r>
            <w:r>
              <w:rPr>
                <w:rFonts w:hint="eastAsia" w:cs="宋体"/>
                <w:b w:val="0"/>
                <w:bCs w:val="0"/>
                <w:color w:val="000000" w:themeColor="text1"/>
                <w:sz w:val="21"/>
                <w:szCs w:val="21"/>
                <w:highlight w:val="none"/>
                <w:lang w:eastAsia="zh-CN"/>
                <w14:textFill>
                  <w14:solidFill>
                    <w14:schemeClr w14:val="tx1"/>
                  </w14:solidFill>
                </w14:textFill>
              </w:rPr>
              <w:t>废水处理设施</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臭气地埋式密闭设备负压收集</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收集效率100%</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，收集后通过1套“生物除臭装置”处置，设计风量</w:t>
            </w:r>
            <w:r>
              <w:rPr>
                <w:rFonts w:hint="eastAsia" w:cs="宋体"/>
                <w:b w:val="0"/>
                <w:bCs w:val="0"/>
                <w:color w:val="000000" w:themeColor="text1"/>
                <w:sz w:val="21"/>
                <w:szCs w:val="21"/>
                <w:highlight w:val="none"/>
                <w:lang w:val="en-US" w:eastAsia="zh-CN"/>
                <w14:textFill>
                  <w14:solidFill>
                    <w14:schemeClr w14:val="tx1"/>
                  </w14:solidFill>
                </w14:textFill>
              </w:rPr>
              <w:t>20</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000Nm</w:t>
            </w:r>
            <w:r>
              <w:rPr>
                <w:rFonts w:hint="eastAsia" w:cs="宋体"/>
                <w:b w:val="0"/>
                <w:bCs w:val="0"/>
                <w:color w:val="000000" w:themeColor="text1"/>
                <w:sz w:val="21"/>
                <w:szCs w:val="21"/>
                <w:highlight w:val="none"/>
                <w:vertAlign w:val="superscript"/>
                <w:lang w:val="en-US" w:eastAsia="zh-CN"/>
                <w14:textFill>
                  <w14:solidFill>
                    <w14:schemeClr w14:val="tx1"/>
                  </w14:solidFill>
                </w14:textFill>
              </w:rPr>
              <w:t>3</w:t>
            </w:r>
            <w:r>
              <w:rPr>
                <w:rFonts w:hint="eastAsia" w:cs="宋体"/>
                <w:b w:val="0"/>
                <w:bCs w:val="0"/>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h，年工作时间以</w:t>
            </w:r>
            <w:r>
              <w:rPr>
                <w:rFonts w:hint="eastAsia" w:cs="宋体"/>
                <w:b w:val="0"/>
                <w:bCs w:val="0"/>
                <w:color w:val="000000" w:themeColor="text1"/>
                <w:sz w:val="21"/>
                <w:szCs w:val="21"/>
                <w:highlight w:val="none"/>
                <w:lang w:val="en-US" w:eastAsia="zh-CN"/>
                <w14:textFill>
                  <w14:solidFill>
                    <w14:schemeClr w14:val="tx1"/>
                  </w14:solidFill>
                </w14:textFill>
              </w:rPr>
              <w:t>3000h</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计</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氨和硫化氢设计去除效率</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90.0%，处理后尾气通过1根15米高排气筒</w:t>
            </w:r>
            <w:r>
              <w:rPr>
                <w:rFonts w:hint="eastAsia" w:cs="宋体"/>
                <w:b w:val="0"/>
                <w:bCs w:val="0"/>
                <w:color w:val="000000" w:themeColor="text1"/>
                <w:sz w:val="21"/>
                <w:szCs w:val="21"/>
                <w:highlight w:val="none"/>
                <w:lang w:val="en-US" w:eastAsia="zh-CN"/>
                <w14:textFill>
                  <w14:solidFill>
                    <w14:schemeClr w14:val="tx1"/>
                  </w14:solidFill>
                </w14:textFill>
              </w:rPr>
              <w:t>FQ-1</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排放，可达到《恶臭污染物排放标准》</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GB14554-93</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相关要求，风量及收集效率合理。</w:t>
            </w:r>
          </w:p>
          <w:p w14:paraId="028ADA7A">
            <w:pPr>
              <w:spacing w:line="360" w:lineRule="auto"/>
              <w:ind w:firstLine="422" w:firstLineChars="200"/>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cs="宋体"/>
                <w:b/>
                <w:bCs/>
                <w:color w:val="000000" w:themeColor="text1"/>
                <w:sz w:val="21"/>
                <w:szCs w:val="21"/>
                <w:highlight w:val="none"/>
                <w:lang w:val="en-US" w:eastAsia="zh-CN"/>
                <w14:textFill>
                  <w14:solidFill>
                    <w14:schemeClr w14:val="tx1"/>
                  </w14:solidFill>
                </w14:textFill>
              </w:rPr>
              <w:t>生物除臭装置</w:t>
            </w:r>
            <w:r>
              <w:rPr>
                <w:rFonts w:ascii="Times New Roman" w:hAnsi="Times New Roman" w:eastAsia="宋体" w:cs="宋体"/>
                <w:b/>
                <w:bCs/>
                <w:color w:val="000000" w:themeColor="text1"/>
                <w:sz w:val="21"/>
                <w:szCs w:val="21"/>
                <w:highlight w:val="none"/>
                <w14:textFill>
                  <w14:solidFill>
                    <w14:schemeClr w14:val="tx1"/>
                  </w14:solidFill>
                </w14:textFill>
              </w:rPr>
              <w:t>处理工作原理：</w:t>
            </w:r>
          </w:p>
          <w:p w14:paraId="535B6416">
            <w:pPr>
              <w:spacing w:line="360" w:lineRule="auto"/>
              <w:ind w:firstLine="420" w:firstLineChars="200"/>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目前用的比较多的生物除臭法是填充塔式生物脱臭法，是通过附着在固体过滤材料表面的微生物降解恶臭成分来实现脱臭的目的，其主要原理是恶臭气体经过去尘增湿或降温等预处理工艺后，从填料层底部由下向上穿过填料，恶臭物质由气相转移到水和微生物组成的混合相，通过附着与填料上微生物的代谢作用而被分解。为了使微生物保持高活性，必须为之创造一个良好的生存环境，比如</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适宜的湿度、pH值、氧气含量、温度和营养成分等。</w:t>
            </w:r>
          </w:p>
          <w:p w14:paraId="1325A499">
            <w:pPr>
              <w:spacing w:line="360" w:lineRule="auto"/>
              <w:ind w:firstLine="420" w:firstLineChars="200"/>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生物脱臭塔的最主要部分是填料。一种好的载体填料必须满足</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容许生长的微生物种类丰富，为微生物栖息生长提供较大的比表面积，营养成分合理</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N、P</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K和微量元素</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，有好的吸水性，自身无异味，吸附性好，结均</w:t>
            </w:r>
            <w:r>
              <w:rPr>
                <w:rFonts w:hint="eastAsia" w:cs="宋体"/>
                <w:b w:val="0"/>
                <w:bCs w:val="0"/>
                <w:color w:val="000000" w:themeColor="text1"/>
                <w:sz w:val="21"/>
                <w:szCs w:val="21"/>
                <w:highlight w:val="none"/>
                <w:lang w:val="en-US" w:eastAsia="zh-CN"/>
                <w14:textFill>
                  <w14:solidFill>
                    <w14:schemeClr w14:val="tx1"/>
                  </w14:solidFill>
                </w14:textFill>
              </w:rPr>
              <w:t>均匀</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，孔率大，材料易得且价格便宜，耐老化，运行</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养护简单。常用的填料有</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塑料、半软性塑料、干树皮、干草、纤维性泥炭或其混合物。脱臭塔填料的堆放高度取决于所要求的停留时间和表面负荷。工程上填料高度一般为1.0-1.2m。如果选择的填料合适，工艺上能做到布气均匀，排除气流短路的话，最低可为0.5m。</w:t>
            </w:r>
          </w:p>
          <w:p w14:paraId="28594F9C">
            <w:pPr>
              <w:spacing w:line="360" w:lineRule="auto"/>
              <w:ind w:firstLine="420" w:firstLineChars="200"/>
              <w:rPr>
                <w:rFonts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生物除臭的优点如下</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异味处理效果非常好，在任何季节都能满足处理要求</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不产生二次污染</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微生物能够依靠填料中的有机质生长，无需另外投加营养剂</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缓冲容量大</w:t>
            </w:r>
            <w:r>
              <w:rPr>
                <w:rFonts w:hint="eastAsia" w:cs="宋体"/>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b w:val="0"/>
                <w:bCs w:val="0"/>
                <w:color w:val="000000" w:themeColor="text1"/>
                <w:sz w:val="21"/>
                <w:szCs w:val="21"/>
                <w:highlight w:val="none"/>
                <w14:textFill>
                  <w14:solidFill>
                    <w14:schemeClr w14:val="tx1"/>
                  </w14:solidFill>
                </w14:textFill>
              </w:rPr>
              <w:t>能自动调节浓度高峰使微生物始终正常工作，耐冲击负荷的能力强。</w:t>
            </w:r>
          </w:p>
          <w:p w14:paraId="4DD16C6D">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从经济成本来说，本项目采用的生物除臭方法较其他物理化学等方法处理的运行成本低，在一次性投资后更换生物质的成本较小，且更换频率小。本项目年工作时间</w:t>
            </w:r>
            <w:r>
              <w:rPr>
                <w:rFonts w:hint="eastAsia" w:cs="宋体"/>
                <w:color w:val="000000" w:themeColor="text1"/>
                <w:sz w:val="21"/>
                <w:szCs w:val="21"/>
                <w:highlight w:val="none"/>
                <w:lang w:val="en-US" w:eastAsia="zh-CN"/>
                <w14:textFill>
                  <w14:solidFill>
                    <w14:schemeClr w14:val="tx1"/>
                  </w14:solidFill>
                </w14:textFill>
              </w:rPr>
              <w:t>300</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天，为了避免不生产造成生物死亡</w:t>
            </w:r>
            <w:r>
              <w:rPr>
                <w:rFonts w:hint="eastAsia" w:cs="宋体"/>
                <w:color w:val="000000" w:themeColor="text1"/>
                <w:sz w:val="21"/>
                <w:szCs w:val="21"/>
                <w:highlight w:val="none"/>
                <w:lang w:val="en-US" w:eastAsia="zh-CN"/>
                <w14:textFill>
                  <w14:solidFill>
                    <w14:schemeClr w14:val="tx1"/>
                  </w14:solidFill>
                </w14:textFill>
              </w:rPr>
              <w:t>影响</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去除效率，每</w:t>
            </w:r>
            <w:r>
              <w:rPr>
                <w:rFonts w:hint="eastAsia" w:cs="宋体"/>
                <w:color w:val="000000" w:themeColor="text1"/>
                <w:sz w:val="21"/>
                <w:szCs w:val="21"/>
                <w:highlight w:val="none"/>
                <w:lang w:val="en-US" w:eastAsia="zh-CN"/>
                <w14:textFill>
                  <w14:solidFill>
                    <w14:schemeClr w14:val="tx1"/>
                  </w14:solidFill>
                </w14:textFill>
              </w:rPr>
              <w:t>月</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更换一次。</w:t>
            </w:r>
          </w:p>
          <w:p w14:paraId="66826FF1">
            <w:pPr>
              <w:spacing w:line="360" w:lineRule="auto"/>
              <w:ind w:firstLine="420" w:firstLineChars="200"/>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相比较于活性炭吸附和化学吸附方式需要经常更换活性炭或者化学吸附剂，本项目操作的连续性更强，投资和后续管理成本更低，更具有经济可行性。</w:t>
            </w:r>
          </w:p>
          <w:p w14:paraId="760889D9">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恶臭气体进入填充式生物脱臭罐，经过填料时，直接被填料上的微生物吸收或者被罐内的循环液吸收附着在填料上，被微生物吸收分解。恶臭气体去除率能稳定达到</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90%</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以上。</w:t>
            </w:r>
          </w:p>
          <w:p w14:paraId="4BEB0CDF">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根据实例</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大坦沙污水处理厂恶臭处理采取填充塔式生物脱法对污水处理厂产臭环节进行脱臭处理后，实验结果显示其除臭效果良好，恶臭物质去除率能稳定达到</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90%</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以上，春夏温度较高时，去除率能稳定达到</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95%</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以上。</w:t>
            </w:r>
          </w:p>
          <w:p w14:paraId="327109AF">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综上所述，本项目采用生物除臭装置处理项目运营期恶臭气体具备经济技术可行性。</w:t>
            </w:r>
          </w:p>
          <w:p w14:paraId="344F71D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技术可行性分析：本项目</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待宰、屠宰、废水处理设施废气经密闭收集</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生物除臭</w:t>
            </w:r>
            <w:r>
              <w:rPr>
                <w:rFonts w:hint="eastAsia" w:ascii="Times New Roman" w:hAnsi="Times New Roman" w:eastAsia="宋体" w:cs="宋体"/>
                <w:color w:val="000000" w:themeColor="text1"/>
                <w:kern w:val="0"/>
                <w:sz w:val="21"/>
                <w:szCs w:val="21"/>
                <w:highlight w:val="none"/>
                <w14:textFill>
                  <w14:solidFill>
                    <w14:schemeClr w14:val="tx1"/>
                  </w14:solidFill>
                </w14:textFill>
              </w:rPr>
              <w:t>装置处理，达标排放，</w:t>
            </w:r>
            <w:r>
              <w:rPr>
                <w:rFonts w:hint="eastAsia" w:cs="宋体"/>
                <w:color w:val="000000" w:themeColor="text1"/>
                <w:kern w:val="0"/>
                <w:sz w:val="21"/>
                <w:szCs w:val="21"/>
                <w:highlight w:val="none"/>
                <w:lang w:val="en-US" w:eastAsia="zh-CN"/>
                <w14:textFill>
                  <w14:solidFill>
                    <w14:schemeClr w14:val="tx1"/>
                  </w14:solidFill>
                </w14:textFill>
              </w:rPr>
              <w:t>根据</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《排污许可证申请与核发技术规范 农副食品加工工业</w:t>
            </w:r>
            <w:r>
              <w:rPr>
                <w:rFonts w:hint="eastAsia"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屠宰及肉类加工工业》（</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HJ860.3-2018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属于可行技术“</w:t>
            </w:r>
            <w:r>
              <w:rPr>
                <w:rFonts w:hint="eastAsia" w:cs="宋体"/>
                <w:color w:val="000000" w:themeColor="text1"/>
                <w:kern w:val="0"/>
                <w:sz w:val="21"/>
                <w:szCs w:val="21"/>
                <w:highlight w:val="none"/>
                <w:lang w:val="en-US" w:eastAsia="zh-CN"/>
                <w14:textFill>
                  <w14:solidFill>
                    <w14:schemeClr w14:val="tx1"/>
                  </w14:solidFill>
                </w14:textFill>
              </w:rPr>
              <w:t>车间废气集中收集恶臭气体到除臭装置处理后经排气筒排放</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0A07C6AA">
            <w:pPr>
              <w:autoSpaceDE w:val="0"/>
              <w:autoSpaceDN w:val="0"/>
              <w:spacing w:line="360" w:lineRule="auto"/>
              <w:ind w:firstLine="422" w:firstLineChars="200"/>
              <w:jc w:val="left"/>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①排气筒风量设置合理性</w:t>
            </w:r>
          </w:p>
          <w:p w14:paraId="6E211EBD">
            <w:pPr>
              <w:autoSpaceDE w:val="0"/>
              <w:autoSpaceDN w:val="0"/>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本项目在设计过程中综合考虑工艺要求、废气风量、对周围环境的影响等前提下，合理设置排气筒的数量，减少对周边环境的影响。本项目排气筒设置情况具体见下表。</w:t>
            </w:r>
          </w:p>
          <w:p w14:paraId="2BA6F44F">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hint="eastAsia" w:cs="宋体"/>
                <w:b/>
                <w:bCs/>
                <w:color w:val="000000" w:themeColor="text1"/>
                <w:spacing w:val="-4"/>
                <w:sz w:val="21"/>
                <w:szCs w:val="21"/>
                <w:highlight w:val="none"/>
                <w:lang w:val="en-US" w:eastAsia="zh-CN"/>
                <w14:textFill>
                  <w14:solidFill>
                    <w14:schemeClr w14:val="tx1"/>
                  </w14:solidFill>
                </w14:textFill>
              </w:rPr>
              <w:t>3</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本项目排气筒设置情况一览表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28"/>
              <w:gridCol w:w="1010"/>
              <w:gridCol w:w="1387"/>
              <w:gridCol w:w="883"/>
              <w:gridCol w:w="1621"/>
              <w:gridCol w:w="2130"/>
            </w:tblGrid>
            <w:tr w14:paraId="33065A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43" w:type="pct"/>
                  <w:vAlign w:val="center"/>
                </w:tcPr>
                <w:p w14:paraId="130587D0">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排气筒</w:t>
                  </w:r>
                </w:p>
              </w:tc>
              <w:tc>
                <w:tcPr>
                  <w:tcW w:w="611" w:type="pct"/>
                  <w:vAlign w:val="center"/>
                </w:tcPr>
                <w:p w14:paraId="0758C99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高度（m）</w:t>
                  </w:r>
                </w:p>
              </w:tc>
              <w:tc>
                <w:tcPr>
                  <w:tcW w:w="839" w:type="pct"/>
                  <w:vAlign w:val="center"/>
                </w:tcPr>
                <w:p w14:paraId="6996FC9A">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排气量（m</w:t>
                  </w:r>
                  <w:r>
                    <w:rPr>
                      <w:rFonts w:hint="eastAsia" w:ascii="Times New Roman" w:hAnsi="Times New Roman" w:eastAsia="宋体" w:cs="宋体"/>
                      <w:b/>
                      <w:color w:val="000000" w:themeColor="text1"/>
                      <w:sz w:val="21"/>
                      <w:szCs w:val="21"/>
                      <w:highlight w:val="none"/>
                      <w:vertAlign w:val="superscript"/>
                      <w14:textFill>
                        <w14:solidFill>
                          <w14:schemeClr w14:val="tx1"/>
                        </w14:solidFill>
                      </w14:textFill>
                    </w:rPr>
                    <w:t>3</w:t>
                  </w:r>
                  <w:r>
                    <w:rPr>
                      <w:rFonts w:hint="eastAsia" w:ascii="Times New Roman" w:hAnsi="Times New Roman" w:eastAsia="宋体" w:cs="宋体"/>
                      <w:b/>
                      <w:color w:val="000000" w:themeColor="text1"/>
                      <w:sz w:val="21"/>
                      <w:szCs w:val="21"/>
                      <w:highlight w:val="none"/>
                      <w14:textFill>
                        <w14:solidFill>
                          <w14:schemeClr w14:val="tx1"/>
                        </w14:solidFill>
                      </w14:textFill>
                    </w:rPr>
                    <w:t>/h）</w:t>
                  </w:r>
                </w:p>
              </w:tc>
              <w:tc>
                <w:tcPr>
                  <w:tcW w:w="534" w:type="pct"/>
                  <w:vAlign w:val="center"/>
                </w:tcPr>
                <w:p w14:paraId="2E92073F">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直径（m）</w:t>
                  </w:r>
                </w:p>
              </w:tc>
              <w:tc>
                <w:tcPr>
                  <w:tcW w:w="981" w:type="pct"/>
                  <w:vAlign w:val="center"/>
                </w:tcPr>
                <w:p w14:paraId="4C3E142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t>烟气流速</w:t>
                  </w:r>
                  <w:r>
                    <w:rPr>
                      <w:rFonts w:hint="eastAsia" w:ascii="Times New Roman" w:hAnsi="Times New Roman" w:eastAsia="宋体" w:cs="宋体"/>
                      <w:b/>
                      <w:color w:val="000000" w:themeColor="text1"/>
                      <w:sz w:val="21"/>
                      <w:szCs w:val="21"/>
                      <w:highlight w:val="none"/>
                      <w14:textFill>
                        <w14:solidFill>
                          <w14:schemeClr w14:val="tx1"/>
                        </w14:solidFill>
                      </w14:textFill>
                    </w:rPr>
                    <w:t>（m/s）</w:t>
                  </w:r>
                </w:p>
              </w:tc>
              <w:tc>
                <w:tcPr>
                  <w:tcW w:w="1289" w:type="pct"/>
                  <w:vAlign w:val="center"/>
                </w:tcPr>
                <w:p w14:paraId="0C65A7D4">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排放污染物</w:t>
                  </w:r>
                </w:p>
              </w:tc>
            </w:tr>
            <w:tr w14:paraId="490F38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43" w:type="pct"/>
                  <w:vAlign w:val="center"/>
                </w:tcPr>
                <w:p w14:paraId="7E2A369C">
                  <w:pPr>
                    <w:pStyle w:val="10"/>
                    <w:snapToGrid w:val="0"/>
                    <w:spacing w:after="0"/>
                    <w:ind w:left="0" w:leftChars="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FQ-</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p>
              </w:tc>
              <w:tc>
                <w:tcPr>
                  <w:tcW w:w="611" w:type="pct"/>
                  <w:vAlign w:val="center"/>
                </w:tcPr>
                <w:p w14:paraId="3BB9546E">
                  <w:pPr>
                    <w:pStyle w:val="10"/>
                    <w:snapToGrid w:val="0"/>
                    <w:spacing w:after="0"/>
                    <w:ind w:left="0" w:leftChars="0"/>
                    <w:jc w:val="center"/>
                    <w:rPr>
                      <w:rFonts w:hint="default" w:ascii="Times New Roman" w:hAnsi="Times New Roman" w:eastAsia="宋体" w:cs="宋体"/>
                      <w:color w:val="000000" w:themeColor="text1"/>
                      <w:kern w:val="2"/>
                      <w:sz w:val="21"/>
                      <w:szCs w:val="21"/>
                      <w:highlight w:val="none"/>
                      <w:lang w:val="en-US" w:eastAsia="zh-CN"/>
                      <w14:textFill>
                        <w14:solidFill>
                          <w14:schemeClr w14:val="tx1"/>
                        </w14:solidFill>
                      </w14:textFill>
                    </w:rPr>
                  </w:pPr>
                  <w:r>
                    <w:rPr>
                      <w:rFonts w:hint="eastAsia" w:cs="宋体"/>
                      <w:color w:val="000000" w:themeColor="text1"/>
                      <w:kern w:val="2"/>
                      <w:sz w:val="21"/>
                      <w:szCs w:val="21"/>
                      <w:highlight w:val="none"/>
                      <w:lang w:val="en-US" w:eastAsia="zh-CN"/>
                      <w14:textFill>
                        <w14:solidFill>
                          <w14:schemeClr w14:val="tx1"/>
                        </w14:solidFill>
                      </w14:textFill>
                    </w:rPr>
                    <w:t>15</w:t>
                  </w:r>
                </w:p>
              </w:tc>
              <w:tc>
                <w:tcPr>
                  <w:tcW w:w="839" w:type="pct"/>
                  <w:vAlign w:val="center"/>
                </w:tcPr>
                <w:p w14:paraId="28D3B3CA">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20000</w:t>
                  </w:r>
                </w:p>
              </w:tc>
              <w:tc>
                <w:tcPr>
                  <w:tcW w:w="534" w:type="pct"/>
                  <w:vAlign w:val="center"/>
                </w:tcPr>
                <w:p w14:paraId="2F5C4C58">
                  <w:pPr>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0.7</w:t>
                  </w:r>
                </w:p>
              </w:tc>
              <w:tc>
                <w:tcPr>
                  <w:tcW w:w="981" w:type="pct"/>
                  <w:vAlign w:val="center"/>
                </w:tcPr>
                <w:p w14:paraId="3113DC61">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14.44</w:t>
                  </w:r>
                </w:p>
              </w:tc>
              <w:tc>
                <w:tcPr>
                  <w:tcW w:w="1289" w:type="pct"/>
                  <w:vAlign w:val="center"/>
                </w:tcPr>
                <w:p w14:paraId="2B5C135B">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氨、硫化氢</w:t>
                  </w:r>
                </w:p>
              </w:tc>
            </w:tr>
          </w:tbl>
          <w:p w14:paraId="47EBB882">
            <w:pPr>
              <w:autoSpaceDE w:val="0"/>
              <w:autoSpaceDN w:val="0"/>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根据《大气污染治理工程技术导则》（HJ2000-2010），排气筒的出口直径应根据出口流速确定，流速宜取</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5m</w:t>
            </w:r>
            <w:r>
              <w:rPr>
                <w:rFonts w:hint="eastAsia" w:ascii="Times New Roman" w:hAnsi="Times New Roman" w:eastAsia="宋体" w:cs="宋体"/>
                <w:color w:val="000000" w:themeColor="text1"/>
                <w:sz w:val="21"/>
                <w:szCs w:val="21"/>
                <w:highlight w:val="none"/>
                <w14:textFill>
                  <w14:solidFill>
                    <w14:schemeClr w14:val="tx1"/>
                  </w14:solidFill>
                </w14:textFill>
              </w:rPr>
              <w:t>/s左右。当采用钢管烟囱且高度较高时或烟气量较大时，可适当提高出口流速至20～25m/s。本项目排气筒的内径的设置均保证烟气流速（10～15m/s）在合适的范围内，可满足废气治理的技术要求。</w:t>
            </w:r>
          </w:p>
          <w:p w14:paraId="502474B2">
            <w:pPr>
              <w:autoSpaceDE w:val="0"/>
              <w:autoSpaceDN w:val="0"/>
              <w:spacing w:line="360" w:lineRule="auto"/>
              <w:ind w:firstLine="422" w:firstLineChars="200"/>
              <w:jc w:val="left"/>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②排气筒高度设置合理性</w:t>
            </w:r>
          </w:p>
          <w:p w14:paraId="1544FCC2">
            <w:pPr>
              <w:autoSpaceDE w:val="0"/>
              <w:autoSpaceDN w:val="0"/>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w:t>
            </w:r>
            <w:r>
              <w:rPr>
                <w:rFonts w:hint="eastAsia" w:ascii="Times New Roman" w:hAnsi="Times New Roman" w:eastAsia="宋体"/>
                <w:bCs/>
                <w:smallCaps w:val="0"/>
                <w:color w:val="000000" w:themeColor="text1"/>
                <w:sz w:val="21"/>
                <w:szCs w:val="21"/>
                <w:highlight w:val="none"/>
                <w14:textFill>
                  <w14:solidFill>
                    <w14:schemeClr w14:val="tx1"/>
                  </w14:solidFill>
                </w14:textFill>
              </w:rPr>
              <w:t>《大气污染物综合排放标准》（DB</w:t>
            </w:r>
            <w:r>
              <w:rPr>
                <w:rFonts w:hint="eastAsia" w:ascii="Times New Roman" w:hAnsi="Times New Roman" w:eastAsia="宋体"/>
                <w:bCs/>
                <w:smallCaps w:val="0"/>
                <w:color w:val="000000" w:themeColor="text1"/>
                <w:sz w:val="21"/>
                <w:szCs w:val="21"/>
                <w:highlight w:val="none"/>
                <w:lang w:eastAsia="zh-CN"/>
                <w14:textFill>
                  <w14:solidFill>
                    <w14:schemeClr w14:val="tx1"/>
                  </w14:solidFill>
                </w14:textFill>
              </w:rPr>
              <w:t>32/4041</w:t>
            </w:r>
            <w:r>
              <w:rPr>
                <w:rFonts w:hint="eastAsia" w:ascii="Times New Roman" w:hAnsi="Times New Roman" w:eastAsia="宋体"/>
                <w:bCs/>
                <w:smallCaps w:val="0"/>
                <w:color w:val="000000" w:themeColor="text1"/>
                <w:sz w:val="21"/>
                <w:szCs w:val="21"/>
                <w:highlight w:val="none"/>
                <w14:textFill>
                  <w14:solidFill>
                    <w14:schemeClr w14:val="tx1"/>
                  </w14:solidFill>
                </w14:textFill>
              </w:rPr>
              <w:t>-2021）</w:t>
            </w:r>
            <w:r>
              <w:rPr>
                <w:rFonts w:hint="eastAsia" w:ascii="Times New Roman" w:hAnsi="Times New Roman" w:eastAsia="宋体"/>
                <w:bCs/>
                <w:smallCaps w:val="0"/>
                <w:color w:val="000000" w:themeColor="text1"/>
                <w:sz w:val="21"/>
                <w:szCs w:val="21"/>
                <w:highlight w:val="none"/>
                <w:lang w:val="en-US" w:eastAsia="zh-CN"/>
                <w14:textFill>
                  <w14:solidFill>
                    <w14:schemeClr w14:val="tx1"/>
                  </w14:solidFill>
                </w14:textFill>
              </w:rPr>
              <w:t>4.1.4排放光气、氰化氢和氯气的排气筒高度不低于25m，其他排气筒高度不低于15m（因安全考虑或有特殊工艺要求的除外），具体高度以及与周围建筑物的相关高度关系应根据环境影响评价文件确定</w:t>
            </w:r>
            <w:r>
              <w:rPr>
                <w:rFonts w:hint="eastAsia" w:ascii="Times New Roman" w:hAnsi="Times New Roman" w:eastAsia="宋体" w:cs="宋体"/>
                <w:bCs/>
                <w:color w:val="000000" w:themeColor="text1"/>
                <w:sz w:val="21"/>
                <w:szCs w:val="21"/>
                <w:highlight w:val="none"/>
                <w14:textFill>
                  <w14:solidFill>
                    <w14:schemeClr w14:val="tx1"/>
                  </w14:solidFill>
                </w14:textFill>
              </w:rPr>
              <w:t>。</w:t>
            </w:r>
          </w:p>
          <w:p w14:paraId="4458F453">
            <w:pPr>
              <w:autoSpaceDE w:val="0"/>
              <w:autoSpaceDN w:val="0"/>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本项目排气筒设置在生产车间周围</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排气筒高度为</w:t>
            </w:r>
            <w:r>
              <w:rPr>
                <w:rFonts w:hint="eastAsia" w:cs="宋体"/>
                <w:color w:val="000000" w:themeColor="text1"/>
                <w:sz w:val="21"/>
                <w:szCs w:val="21"/>
                <w:highlight w:val="none"/>
                <w:lang w:val="en-US" w:eastAsia="zh-CN"/>
                <w14:textFill>
                  <w14:solidFill>
                    <w14:schemeClr w14:val="tx1"/>
                  </w14:solidFill>
                </w14:textFill>
              </w:rPr>
              <w:t>15</w:t>
            </w:r>
            <w:r>
              <w:rPr>
                <w:rFonts w:hint="eastAsia" w:ascii="Times New Roman" w:hAnsi="Times New Roman" w:eastAsia="宋体" w:cs="宋体"/>
                <w:color w:val="000000" w:themeColor="text1"/>
                <w:sz w:val="21"/>
                <w:szCs w:val="21"/>
                <w:highlight w:val="none"/>
                <w14:textFill>
                  <w14:solidFill>
                    <w14:schemeClr w14:val="tx1"/>
                  </w14:solidFill>
                </w14:textFill>
              </w:rPr>
              <w:t>m，生产车间高</w:t>
            </w:r>
            <w:r>
              <w:rPr>
                <w:rFonts w:hint="eastAsia" w:cs="宋体"/>
                <w:color w:val="000000" w:themeColor="text1"/>
                <w:sz w:val="21"/>
                <w:szCs w:val="21"/>
                <w:highlight w:val="none"/>
                <w:lang w:val="en-US" w:eastAsia="zh-CN"/>
                <w14:textFill>
                  <w14:solidFill>
                    <w14:schemeClr w14:val="tx1"/>
                  </w14:solidFill>
                </w14:textFill>
              </w:rPr>
              <w:t>8</w:t>
            </w:r>
            <w:r>
              <w:rPr>
                <w:rFonts w:hint="eastAsia" w:ascii="Times New Roman" w:hAnsi="Times New Roman" w:eastAsia="宋体" w:cs="宋体"/>
                <w:color w:val="000000" w:themeColor="text1"/>
                <w:sz w:val="21"/>
                <w:szCs w:val="21"/>
                <w:highlight w:val="none"/>
                <w14:textFill>
                  <w14:solidFill>
                    <w14:schemeClr w14:val="tx1"/>
                  </w14:solidFill>
                </w14:textFill>
              </w:rPr>
              <w:t>m，排气筒高出最高建筑物</w:t>
            </w:r>
            <w:r>
              <w:rPr>
                <w:rFonts w:hint="eastAsia" w:cs="宋体"/>
                <w:color w:val="000000" w:themeColor="text1"/>
                <w:sz w:val="21"/>
                <w:szCs w:val="21"/>
                <w:highlight w:val="none"/>
                <w:lang w:val="en-US" w:eastAsia="zh-CN"/>
                <w14:textFill>
                  <w14:solidFill>
                    <w14:schemeClr w14:val="tx1"/>
                  </w14:solidFill>
                </w14:textFill>
              </w:rPr>
              <w:t>3</w:t>
            </w:r>
            <w:r>
              <w:rPr>
                <w:rFonts w:hint="eastAsia" w:ascii="Times New Roman" w:hAnsi="Times New Roman" w:eastAsia="宋体" w:cs="宋体"/>
                <w:color w:val="000000" w:themeColor="text1"/>
                <w:sz w:val="21"/>
                <w:szCs w:val="21"/>
                <w:highlight w:val="none"/>
                <w14:textFill>
                  <w14:solidFill>
                    <w14:schemeClr w14:val="tx1"/>
                  </w14:solidFill>
                </w14:textFill>
              </w:rPr>
              <w:t>m，因此，排气筒高度设置符合相关要求。</w:t>
            </w:r>
          </w:p>
          <w:p w14:paraId="7F97C5CA">
            <w:pPr>
              <w:autoSpaceDE w:val="0"/>
              <w:autoSpaceDN w:val="0"/>
              <w:spacing w:line="360" w:lineRule="auto"/>
              <w:ind w:firstLine="420" w:firstLineChars="200"/>
              <w:jc w:val="left"/>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综上，本项目排气筒设置符合相关要求的规定，排气筒排放的污染物均可以满足排放标准的要求，对周围环境影响较小。因此，该项目排气筒的设置是合理的。</w:t>
            </w:r>
          </w:p>
          <w:p w14:paraId="25AA9FA8">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（3）排放情况</w:t>
            </w:r>
          </w:p>
          <w:p w14:paraId="4A7EF7E8">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hint="eastAsia" w:cs="宋体"/>
                <w:b/>
                <w:bCs/>
                <w:color w:val="000000" w:themeColor="text1"/>
                <w:spacing w:val="-4"/>
                <w:sz w:val="21"/>
                <w:szCs w:val="21"/>
                <w:highlight w:val="none"/>
                <w:lang w:val="en-US" w:eastAsia="zh-CN"/>
                <w14:textFill>
                  <w14:solidFill>
                    <w14:schemeClr w14:val="tx1"/>
                  </w14:solidFill>
                </w14:textFill>
              </w:rPr>
              <w:t>4</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有组织</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废气排放情况表</w:t>
            </w:r>
          </w:p>
          <w:tbl>
            <w:tblPr>
              <w:tblStyle w:val="24"/>
              <w:tblW w:w="4995"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66"/>
              <w:gridCol w:w="844"/>
              <w:gridCol w:w="1109"/>
              <w:gridCol w:w="1388"/>
              <w:gridCol w:w="741"/>
              <w:gridCol w:w="629"/>
              <w:gridCol w:w="845"/>
              <w:gridCol w:w="741"/>
              <w:gridCol w:w="568"/>
              <w:gridCol w:w="620"/>
            </w:tblGrid>
            <w:tr w14:paraId="570F09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75" w:type="pct"/>
                  <w:gridSpan w:val="2"/>
                  <w:vAlign w:val="center"/>
                </w:tcPr>
                <w:p w14:paraId="534FBC55">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污染源</w:t>
                  </w:r>
                </w:p>
              </w:tc>
              <w:tc>
                <w:tcPr>
                  <w:tcW w:w="672" w:type="pct"/>
                  <w:vMerge w:val="restart"/>
                  <w:vAlign w:val="center"/>
                </w:tcPr>
                <w:p w14:paraId="0DC98617">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工序</w:t>
                  </w:r>
                </w:p>
              </w:tc>
              <w:tc>
                <w:tcPr>
                  <w:tcW w:w="841" w:type="pct"/>
                  <w:vMerge w:val="restart"/>
                  <w:vAlign w:val="center"/>
                </w:tcPr>
                <w:p w14:paraId="374FC1D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污染物名称</w:t>
                  </w:r>
                </w:p>
              </w:tc>
              <w:tc>
                <w:tcPr>
                  <w:tcW w:w="1342" w:type="pct"/>
                  <w:gridSpan w:val="3"/>
                  <w:vAlign w:val="center"/>
                </w:tcPr>
                <w:p w14:paraId="3667F956">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14:textFill>
                        <w14:solidFill>
                          <w14:schemeClr w14:val="tx1"/>
                        </w14:solidFill>
                      </w14:textFill>
                    </w:rPr>
                    <w:t>排放</w:t>
                  </w:r>
                  <w:r>
                    <w:rPr>
                      <w:rFonts w:ascii="Times New Roman" w:hAnsi="Times New Roman" w:eastAsia="宋体" w:cs="宋体"/>
                      <w:b/>
                      <w:color w:val="000000" w:themeColor="text1"/>
                      <w:kern w:val="0"/>
                      <w:sz w:val="21"/>
                      <w:szCs w:val="21"/>
                      <w:highlight w:val="none"/>
                      <w14:textFill>
                        <w14:solidFill>
                          <w14:schemeClr w14:val="tx1"/>
                        </w14:solidFill>
                      </w14:textFill>
                    </w:rPr>
                    <w:t>情况</w:t>
                  </w:r>
                </w:p>
              </w:tc>
              <w:tc>
                <w:tcPr>
                  <w:tcW w:w="793" w:type="pct"/>
                  <w:gridSpan w:val="2"/>
                  <w:vAlign w:val="center"/>
                </w:tcPr>
                <w:p w14:paraId="4204B364">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执行标准</w:t>
                  </w:r>
                </w:p>
              </w:tc>
              <w:tc>
                <w:tcPr>
                  <w:tcW w:w="375" w:type="pct"/>
                  <w:vMerge w:val="restart"/>
                  <w:vAlign w:val="center"/>
                </w:tcPr>
                <w:p w14:paraId="21699281">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排放</w:t>
                  </w:r>
                </w:p>
                <w:p w14:paraId="4ED8533E">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时间</w:t>
                  </w:r>
                </w:p>
              </w:tc>
            </w:tr>
            <w:tr w14:paraId="3926AD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restart"/>
                  <w:vAlign w:val="center"/>
                </w:tcPr>
                <w:p w14:paraId="39F46CD2">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排气筒</w:t>
                  </w:r>
                </w:p>
              </w:tc>
              <w:tc>
                <w:tcPr>
                  <w:tcW w:w="510" w:type="pct"/>
                  <w:vAlign w:val="center"/>
                </w:tcPr>
                <w:p w14:paraId="292103F3">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排气量</w:t>
                  </w:r>
                </w:p>
              </w:tc>
              <w:tc>
                <w:tcPr>
                  <w:tcW w:w="672" w:type="pct"/>
                  <w:vMerge w:val="continue"/>
                  <w:vAlign w:val="center"/>
                </w:tcPr>
                <w:p w14:paraId="2D1C5EB9">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841" w:type="pct"/>
                  <w:vMerge w:val="continue"/>
                  <w:vAlign w:val="center"/>
                </w:tcPr>
                <w:p w14:paraId="0821842B">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449" w:type="pct"/>
                  <w:vAlign w:val="center"/>
                </w:tcPr>
                <w:p w14:paraId="387396F3">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浓度</w:t>
                  </w:r>
                </w:p>
              </w:tc>
              <w:tc>
                <w:tcPr>
                  <w:tcW w:w="381" w:type="pct"/>
                  <w:vAlign w:val="center"/>
                </w:tcPr>
                <w:p w14:paraId="626F8906">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速率</w:t>
                  </w:r>
                </w:p>
              </w:tc>
              <w:tc>
                <w:tcPr>
                  <w:tcW w:w="512" w:type="pct"/>
                  <w:vAlign w:val="center"/>
                </w:tcPr>
                <w:p w14:paraId="4644D5C6">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hint="eastAsia" w:ascii="Times New Roman" w:hAnsi="Times New Roman" w:eastAsia="宋体" w:cs="宋体"/>
                      <w:b/>
                      <w:color w:val="000000" w:themeColor="text1"/>
                      <w:kern w:val="0"/>
                      <w:sz w:val="21"/>
                      <w:szCs w:val="21"/>
                      <w:highlight w:val="none"/>
                      <w:lang w:val="en-US" w:eastAsia="zh-CN"/>
                      <w14:textFill>
                        <w14:solidFill>
                          <w14:schemeClr w14:val="tx1"/>
                        </w14:solidFill>
                      </w14:textFill>
                    </w:rPr>
                    <w:t>排放</w:t>
                  </w:r>
                  <w:r>
                    <w:rPr>
                      <w:rFonts w:ascii="Times New Roman" w:hAnsi="Times New Roman" w:eastAsia="宋体" w:cs="宋体"/>
                      <w:b/>
                      <w:color w:val="000000" w:themeColor="text1"/>
                      <w:kern w:val="0"/>
                      <w:sz w:val="21"/>
                      <w:szCs w:val="21"/>
                      <w:highlight w:val="none"/>
                      <w14:textFill>
                        <w14:solidFill>
                          <w14:schemeClr w14:val="tx1"/>
                        </w14:solidFill>
                      </w14:textFill>
                    </w:rPr>
                    <w:t>量</w:t>
                  </w:r>
                </w:p>
              </w:tc>
              <w:tc>
                <w:tcPr>
                  <w:tcW w:w="449" w:type="pct"/>
                  <w:vAlign w:val="center"/>
                </w:tcPr>
                <w:p w14:paraId="243CAEB8">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浓度</w:t>
                  </w:r>
                </w:p>
              </w:tc>
              <w:tc>
                <w:tcPr>
                  <w:tcW w:w="344" w:type="pct"/>
                  <w:vAlign w:val="center"/>
                </w:tcPr>
                <w:p w14:paraId="5D71A2D1">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速率</w:t>
                  </w:r>
                </w:p>
              </w:tc>
              <w:tc>
                <w:tcPr>
                  <w:tcW w:w="375" w:type="pct"/>
                  <w:vMerge w:val="continue"/>
                  <w:vAlign w:val="center"/>
                </w:tcPr>
                <w:p w14:paraId="462D8C1A">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r>
            <w:tr w14:paraId="181990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68F445C3">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510" w:type="pct"/>
                  <w:vAlign w:val="center"/>
                </w:tcPr>
                <w:p w14:paraId="5EEE0886">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/h</w:t>
                  </w:r>
                </w:p>
              </w:tc>
              <w:tc>
                <w:tcPr>
                  <w:tcW w:w="672" w:type="pct"/>
                  <w:vMerge w:val="continue"/>
                  <w:vAlign w:val="center"/>
                </w:tcPr>
                <w:p w14:paraId="2734082B">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841" w:type="pct"/>
                  <w:vMerge w:val="continue"/>
                  <w:vAlign w:val="center"/>
                </w:tcPr>
                <w:p w14:paraId="10655AFE">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449" w:type="pct"/>
                  <w:vAlign w:val="center"/>
                </w:tcPr>
                <w:p w14:paraId="1DA634D8">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mg/m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p>
              </w:tc>
              <w:tc>
                <w:tcPr>
                  <w:tcW w:w="381" w:type="pct"/>
                  <w:vAlign w:val="center"/>
                </w:tcPr>
                <w:p w14:paraId="042F5779">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kg/h</w:t>
                  </w:r>
                </w:p>
              </w:tc>
              <w:tc>
                <w:tcPr>
                  <w:tcW w:w="512" w:type="pct"/>
                  <w:vAlign w:val="center"/>
                </w:tcPr>
                <w:p w14:paraId="37B29AD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t/a</w:t>
                  </w:r>
                </w:p>
              </w:tc>
              <w:tc>
                <w:tcPr>
                  <w:tcW w:w="449" w:type="pct"/>
                  <w:vAlign w:val="center"/>
                </w:tcPr>
                <w:p w14:paraId="46EBF3EC">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mg/m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p>
              </w:tc>
              <w:tc>
                <w:tcPr>
                  <w:tcW w:w="344" w:type="pct"/>
                  <w:vAlign w:val="center"/>
                </w:tcPr>
                <w:p w14:paraId="04A3A331">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kg/h</w:t>
                  </w:r>
                </w:p>
              </w:tc>
              <w:tc>
                <w:tcPr>
                  <w:tcW w:w="375" w:type="pct"/>
                  <w:vAlign w:val="center"/>
                </w:tcPr>
                <w:p w14:paraId="07E96C3E">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h</w:t>
                  </w:r>
                </w:p>
              </w:tc>
            </w:tr>
            <w:tr w14:paraId="2A56A0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restart"/>
                  <w:vAlign w:val="center"/>
                </w:tcPr>
                <w:p w14:paraId="0591CE81">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cs="宋体"/>
                      <w:color w:val="000000" w:themeColor="text1"/>
                      <w:kern w:val="0"/>
                      <w:sz w:val="21"/>
                      <w:szCs w:val="21"/>
                      <w:highlight w:val="none"/>
                      <w:lang w:val="en-US" w:eastAsia="zh-CN"/>
                      <w14:textFill>
                        <w14:solidFill>
                          <w14:schemeClr w14:val="tx1"/>
                        </w14:solidFill>
                      </w14:textFill>
                    </w:rPr>
                    <w:t>1</w:t>
                  </w:r>
                </w:p>
              </w:tc>
              <w:tc>
                <w:tcPr>
                  <w:tcW w:w="510" w:type="pct"/>
                  <w:vMerge w:val="restart"/>
                  <w:vAlign w:val="center"/>
                </w:tcPr>
                <w:p w14:paraId="4BB9609D">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20000</w:t>
                  </w:r>
                </w:p>
              </w:tc>
              <w:tc>
                <w:tcPr>
                  <w:tcW w:w="672" w:type="pct"/>
                  <w:vMerge w:val="restart"/>
                  <w:shd w:val="clear" w:color="auto" w:fill="auto"/>
                  <w:vAlign w:val="center"/>
                </w:tcPr>
                <w:p w14:paraId="3C33849F">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待宰</w:t>
                  </w:r>
                </w:p>
              </w:tc>
              <w:tc>
                <w:tcPr>
                  <w:tcW w:w="841" w:type="pct"/>
                  <w:shd w:val="clear" w:color="auto" w:fill="auto"/>
                  <w:vAlign w:val="center"/>
                </w:tcPr>
                <w:p w14:paraId="71FF0B77">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449" w:type="pct"/>
                  <w:vAlign w:val="center"/>
                </w:tcPr>
                <w:p w14:paraId="195BE598">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381" w:type="pct"/>
                  <w:shd w:val="clear" w:color="auto" w:fill="auto"/>
                  <w:vAlign w:val="center"/>
                </w:tcPr>
                <w:p w14:paraId="759D05E9">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512" w:type="pct"/>
                  <w:vAlign w:val="center"/>
                </w:tcPr>
                <w:p w14:paraId="4AF88647">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0.0266</w:t>
                  </w:r>
                </w:p>
              </w:tc>
              <w:tc>
                <w:tcPr>
                  <w:tcW w:w="449" w:type="pct"/>
                  <w:vAlign w:val="center"/>
                </w:tcPr>
                <w:p w14:paraId="597E0FA9">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344" w:type="pct"/>
                  <w:vAlign w:val="center"/>
                </w:tcPr>
                <w:p w14:paraId="235CD437">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4.9</w:t>
                  </w:r>
                </w:p>
              </w:tc>
              <w:tc>
                <w:tcPr>
                  <w:tcW w:w="375" w:type="pct"/>
                  <w:vMerge w:val="restart"/>
                  <w:vAlign w:val="center"/>
                </w:tcPr>
                <w:p w14:paraId="6080D39C">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3000</w:t>
                  </w:r>
                </w:p>
              </w:tc>
            </w:tr>
            <w:tr w14:paraId="1C0FFD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7E27B894">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5CB70628">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continue"/>
                  <w:vAlign w:val="center"/>
                </w:tcPr>
                <w:p w14:paraId="1CEAEB0D">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0" w:type="auto"/>
                  <w:shd w:val="clear" w:color="auto" w:fill="auto"/>
                  <w:vAlign w:val="center"/>
                </w:tcPr>
                <w:p w14:paraId="787C68D5">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0" w:type="auto"/>
                  <w:vAlign w:val="center"/>
                </w:tcPr>
                <w:p w14:paraId="26C753F2">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018D26E2">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6215B493">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0.0022</w:t>
                  </w:r>
                </w:p>
              </w:tc>
              <w:tc>
                <w:tcPr>
                  <w:tcW w:w="0" w:type="auto"/>
                  <w:vAlign w:val="center"/>
                </w:tcPr>
                <w:p w14:paraId="014E47B0">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7F11BD30">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0.33</w:t>
                  </w:r>
                </w:p>
              </w:tc>
              <w:tc>
                <w:tcPr>
                  <w:tcW w:w="375" w:type="pct"/>
                  <w:vMerge w:val="continue"/>
                  <w:vAlign w:val="center"/>
                </w:tcPr>
                <w:p w14:paraId="0166B419">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208E39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33A3D10B">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2BDC436C">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restart"/>
                  <w:shd w:val="clear" w:color="auto" w:fill="auto"/>
                  <w:vAlign w:val="center"/>
                </w:tcPr>
                <w:p w14:paraId="4DD695E3">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屠宰</w:t>
                  </w:r>
                </w:p>
              </w:tc>
              <w:tc>
                <w:tcPr>
                  <w:tcW w:w="0" w:type="auto"/>
                  <w:shd w:val="clear" w:color="auto" w:fill="auto"/>
                  <w:vAlign w:val="center"/>
                </w:tcPr>
                <w:p w14:paraId="13CA4D4D">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0" w:type="auto"/>
                  <w:vAlign w:val="center"/>
                </w:tcPr>
                <w:p w14:paraId="337FF90E">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7CD4B2F1">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5FCBF569">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0.1088</w:t>
                  </w:r>
                </w:p>
              </w:tc>
              <w:tc>
                <w:tcPr>
                  <w:tcW w:w="0" w:type="auto"/>
                  <w:shd w:val="clear" w:color="auto" w:fill="auto"/>
                  <w:vAlign w:val="center"/>
                </w:tcPr>
                <w:p w14:paraId="1AF926EF">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68966994">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4.9</w:t>
                  </w:r>
                </w:p>
              </w:tc>
              <w:tc>
                <w:tcPr>
                  <w:tcW w:w="375" w:type="pct"/>
                  <w:vMerge w:val="continue"/>
                  <w:vAlign w:val="center"/>
                </w:tcPr>
                <w:p w14:paraId="494617AC">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6DF645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705F0F15">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67D090C1">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continue"/>
                  <w:vAlign w:val="center"/>
                </w:tcPr>
                <w:p w14:paraId="4814F3D0">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0" w:type="auto"/>
                  <w:shd w:val="clear" w:color="auto" w:fill="auto"/>
                  <w:vAlign w:val="center"/>
                </w:tcPr>
                <w:p w14:paraId="296D0660">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0" w:type="auto"/>
                  <w:vAlign w:val="center"/>
                </w:tcPr>
                <w:p w14:paraId="06E59AF9">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0FEA282A">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237B76F4">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0.01</w:t>
                  </w:r>
                </w:p>
              </w:tc>
              <w:tc>
                <w:tcPr>
                  <w:tcW w:w="0" w:type="auto"/>
                  <w:shd w:val="clear" w:color="auto" w:fill="auto"/>
                  <w:vAlign w:val="center"/>
                </w:tcPr>
                <w:p w14:paraId="17EEE30D">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54527609">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0.33</w:t>
                  </w:r>
                </w:p>
              </w:tc>
              <w:tc>
                <w:tcPr>
                  <w:tcW w:w="375" w:type="pct"/>
                  <w:vMerge w:val="continue"/>
                  <w:vAlign w:val="center"/>
                </w:tcPr>
                <w:p w14:paraId="14F1284E">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51403F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1363EC3E">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04FF610D">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restart"/>
                  <w:shd w:val="clear" w:color="auto" w:fill="auto"/>
                  <w:vAlign w:val="center"/>
                </w:tcPr>
                <w:p w14:paraId="33005E29">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废水处理设施</w:t>
                  </w:r>
                </w:p>
              </w:tc>
              <w:tc>
                <w:tcPr>
                  <w:tcW w:w="0" w:type="auto"/>
                  <w:shd w:val="clear" w:color="auto" w:fill="auto"/>
                  <w:vAlign w:val="center"/>
                </w:tcPr>
                <w:p w14:paraId="3F15716B">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0" w:type="auto"/>
                  <w:vAlign w:val="center"/>
                </w:tcPr>
                <w:p w14:paraId="61FA42C8">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5D79E1F3">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6C06FE5A">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0.0026</w:t>
                  </w:r>
                </w:p>
              </w:tc>
              <w:tc>
                <w:tcPr>
                  <w:tcW w:w="0" w:type="auto"/>
                  <w:shd w:val="clear" w:color="auto" w:fill="auto"/>
                  <w:vAlign w:val="center"/>
                </w:tcPr>
                <w:p w14:paraId="6C367C56">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30096E32">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4.9</w:t>
                  </w:r>
                </w:p>
              </w:tc>
              <w:tc>
                <w:tcPr>
                  <w:tcW w:w="375" w:type="pct"/>
                  <w:vMerge w:val="continue"/>
                  <w:vAlign w:val="center"/>
                </w:tcPr>
                <w:p w14:paraId="736CD60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061C8C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623421CA">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0BC4290B">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continue"/>
                  <w:vAlign w:val="center"/>
                </w:tcPr>
                <w:p w14:paraId="77D51A57">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p>
              </w:tc>
              <w:tc>
                <w:tcPr>
                  <w:tcW w:w="0" w:type="auto"/>
                  <w:shd w:val="clear" w:color="auto" w:fill="auto"/>
                  <w:vAlign w:val="center"/>
                </w:tcPr>
                <w:p w14:paraId="66A7EEA0">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0" w:type="auto"/>
                  <w:vAlign w:val="center"/>
                </w:tcPr>
                <w:p w14:paraId="51E77E9B">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2128AF42">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vAlign w:val="center"/>
                </w:tcPr>
                <w:p w14:paraId="7D3798D2">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0.0001</w:t>
                  </w:r>
                </w:p>
              </w:tc>
              <w:tc>
                <w:tcPr>
                  <w:tcW w:w="0" w:type="auto"/>
                  <w:shd w:val="clear" w:color="auto" w:fill="auto"/>
                  <w:vAlign w:val="center"/>
                </w:tcPr>
                <w:p w14:paraId="529CDF87">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3E1BE0C8">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0.33</w:t>
                  </w:r>
                </w:p>
              </w:tc>
              <w:tc>
                <w:tcPr>
                  <w:tcW w:w="375" w:type="pct"/>
                  <w:vMerge w:val="continue"/>
                  <w:vAlign w:val="center"/>
                </w:tcPr>
                <w:p w14:paraId="53D869FD">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240EE4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203297E5">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7D5A73A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restart"/>
                  <w:vAlign w:val="center"/>
                </w:tcPr>
                <w:p w14:paraId="40374E52">
                  <w:pPr>
                    <w:snapToGrid w:val="0"/>
                    <w:jc w:val="center"/>
                    <w:rPr>
                      <w:rFonts w:hint="default"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bidi="ar-SA"/>
                      <w14:textFill>
                        <w14:solidFill>
                          <w14:schemeClr w14:val="tx1"/>
                        </w14:solidFill>
                      </w14:textFill>
                    </w:rPr>
                    <w:t>全厂合计</w:t>
                  </w:r>
                </w:p>
              </w:tc>
              <w:tc>
                <w:tcPr>
                  <w:tcW w:w="0" w:type="auto"/>
                  <w:shd w:val="clear" w:color="auto" w:fill="auto"/>
                  <w:vAlign w:val="center"/>
                </w:tcPr>
                <w:p w14:paraId="6977D723">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741" w:type="dxa"/>
                  <w:vAlign w:val="bottom"/>
                </w:tcPr>
                <w:p w14:paraId="0DAE19BC">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2.3</w:t>
                  </w:r>
                </w:p>
              </w:tc>
              <w:tc>
                <w:tcPr>
                  <w:tcW w:w="629" w:type="dxa"/>
                  <w:vAlign w:val="bottom"/>
                </w:tcPr>
                <w:p w14:paraId="6270B380">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0.046 </w:t>
                  </w:r>
                </w:p>
              </w:tc>
              <w:tc>
                <w:tcPr>
                  <w:tcW w:w="0" w:type="auto"/>
                  <w:vAlign w:val="center"/>
                </w:tcPr>
                <w:p w14:paraId="08883779">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0.138</w:t>
                  </w:r>
                </w:p>
              </w:tc>
              <w:tc>
                <w:tcPr>
                  <w:tcW w:w="0" w:type="auto"/>
                  <w:shd w:val="clear" w:color="auto" w:fill="auto"/>
                  <w:vAlign w:val="center"/>
                </w:tcPr>
                <w:p w14:paraId="0C80C468">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3CB9E063">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4.9</w:t>
                  </w:r>
                </w:p>
              </w:tc>
              <w:tc>
                <w:tcPr>
                  <w:tcW w:w="375" w:type="pct"/>
                  <w:vMerge w:val="continue"/>
                  <w:vAlign w:val="center"/>
                </w:tcPr>
                <w:p w14:paraId="1E260BD1">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r w14:paraId="76C826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4" w:type="pct"/>
                  <w:vMerge w:val="continue"/>
                  <w:vAlign w:val="center"/>
                </w:tcPr>
                <w:p w14:paraId="72CB3762">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510" w:type="pct"/>
                  <w:vMerge w:val="continue"/>
                  <w:vAlign w:val="center"/>
                </w:tcPr>
                <w:p w14:paraId="438BBCAE">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c>
                <w:tcPr>
                  <w:tcW w:w="672" w:type="pct"/>
                  <w:vMerge w:val="continue"/>
                  <w:vAlign w:val="center"/>
                </w:tcPr>
                <w:p w14:paraId="54B736B5">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p>
              </w:tc>
              <w:tc>
                <w:tcPr>
                  <w:tcW w:w="0" w:type="auto"/>
                  <w:shd w:val="clear" w:color="auto" w:fill="auto"/>
                  <w:vAlign w:val="center"/>
                </w:tcPr>
                <w:p w14:paraId="4B41DB2C">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741" w:type="dxa"/>
                  <w:vAlign w:val="bottom"/>
                </w:tcPr>
                <w:p w14:paraId="452425C0">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0.21 </w:t>
                  </w:r>
                </w:p>
              </w:tc>
              <w:tc>
                <w:tcPr>
                  <w:tcW w:w="629" w:type="dxa"/>
                  <w:vAlign w:val="bottom"/>
                </w:tcPr>
                <w:p w14:paraId="034C0A7D">
                  <w:pPr>
                    <w:keepNext w:val="0"/>
                    <w:keepLines w:val="0"/>
                    <w:widowControl/>
                    <w:suppressLineNumbers w:val="0"/>
                    <w:jc w:val="center"/>
                    <w:textAlignment w:val="bottom"/>
                    <w:rPr>
                      <w:rFonts w:hint="default" w:cs="宋体"/>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0.0041 </w:t>
                  </w:r>
                </w:p>
              </w:tc>
              <w:tc>
                <w:tcPr>
                  <w:tcW w:w="0" w:type="auto"/>
                  <w:vAlign w:val="center"/>
                </w:tcPr>
                <w:p w14:paraId="68033A7C">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0.0123</w:t>
                  </w:r>
                </w:p>
              </w:tc>
              <w:tc>
                <w:tcPr>
                  <w:tcW w:w="0" w:type="auto"/>
                  <w:shd w:val="clear" w:color="auto" w:fill="auto"/>
                  <w:vAlign w:val="center"/>
                </w:tcPr>
                <w:p w14:paraId="1FA2CCB0">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w:t>
                  </w:r>
                </w:p>
              </w:tc>
              <w:tc>
                <w:tcPr>
                  <w:tcW w:w="0" w:type="auto"/>
                  <w:shd w:val="clear" w:color="auto" w:fill="auto"/>
                  <w:vAlign w:val="center"/>
                </w:tcPr>
                <w:p w14:paraId="47769D14">
                  <w:pPr>
                    <w:snapToGrid w:val="0"/>
                    <w:jc w:val="cente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0.33</w:t>
                  </w:r>
                </w:p>
              </w:tc>
              <w:tc>
                <w:tcPr>
                  <w:tcW w:w="375" w:type="pct"/>
                  <w:vMerge w:val="continue"/>
                  <w:vAlign w:val="center"/>
                </w:tcPr>
                <w:p w14:paraId="7DC58D12">
                  <w:pPr>
                    <w:snapToGrid w:val="0"/>
                    <w:jc w:val="center"/>
                    <w:rPr>
                      <w:rFonts w:hint="eastAsia" w:cs="宋体"/>
                      <w:color w:val="000000" w:themeColor="text1"/>
                      <w:kern w:val="0"/>
                      <w:sz w:val="21"/>
                      <w:szCs w:val="21"/>
                      <w:highlight w:val="none"/>
                      <w:lang w:val="en-US" w:eastAsia="zh-CN"/>
                      <w14:textFill>
                        <w14:solidFill>
                          <w14:schemeClr w14:val="tx1"/>
                        </w14:solidFill>
                      </w14:textFill>
                    </w:rPr>
                  </w:pPr>
                </w:p>
              </w:tc>
            </w:tr>
          </w:tbl>
          <w:p w14:paraId="396F12C5">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cs="宋体"/>
                <w:b/>
                <w:bCs/>
                <w:color w:val="000000" w:themeColor="text1"/>
                <w:spacing w:val="-4"/>
                <w:sz w:val="21"/>
                <w:szCs w:val="21"/>
                <w:highlight w:val="none"/>
                <w:lang w:val="en-US" w:eastAsia="zh-CN"/>
                <w14:textFill>
                  <w14:solidFill>
                    <w14:schemeClr w14:val="tx1"/>
                  </w14:solidFill>
                </w14:textFill>
              </w:rPr>
              <w:t>5</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无</w:t>
            </w:r>
            <w:r>
              <w:rPr>
                <w:rFonts w:ascii="Times New Roman" w:hAnsi="Times New Roman" w:eastAsia="宋体" w:cs="宋体"/>
                <w:b/>
                <w:bCs/>
                <w:color w:val="000000" w:themeColor="text1"/>
                <w:spacing w:val="-4"/>
                <w:sz w:val="21"/>
                <w:szCs w:val="21"/>
                <w:highlight w:val="none"/>
                <w14:textFill>
                  <w14:solidFill>
                    <w14:schemeClr w14:val="tx1"/>
                  </w14:solidFill>
                </w14:textFill>
              </w:rPr>
              <w:t>组织</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废气排放情况表</w:t>
            </w:r>
          </w:p>
          <w:tbl>
            <w:tblPr>
              <w:tblStyle w:val="24"/>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396"/>
              <w:gridCol w:w="1156"/>
              <w:gridCol w:w="1475"/>
              <w:gridCol w:w="890"/>
              <w:gridCol w:w="890"/>
              <w:gridCol w:w="1181"/>
              <w:gridCol w:w="1268"/>
            </w:tblGrid>
            <w:tr w14:paraId="70157E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restart"/>
                  <w:vAlign w:val="center"/>
                </w:tcPr>
                <w:p w14:paraId="6A6DCC8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污染源位置</w:t>
                  </w:r>
                </w:p>
              </w:tc>
              <w:tc>
                <w:tcPr>
                  <w:tcW w:w="700" w:type="pct"/>
                  <w:vMerge w:val="restart"/>
                  <w:vAlign w:val="center"/>
                </w:tcPr>
                <w:p w14:paraId="5BA4007E">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工序</w:t>
                  </w:r>
                </w:p>
              </w:tc>
              <w:tc>
                <w:tcPr>
                  <w:tcW w:w="893" w:type="pct"/>
                  <w:vMerge w:val="restart"/>
                  <w:vAlign w:val="center"/>
                </w:tcPr>
                <w:p w14:paraId="23AFFA4B">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污染物名称</w:t>
                  </w:r>
                </w:p>
              </w:tc>
              <w:tc>
                <w:tcPr>
                  <w:tcW w:w="539" w:type="pct"/>
                  <w:vAlign w:val="center"/>
                </w:tcPr>
                <w:p w14:paraId="0653C3A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削减量</w:t>
                  </w:r>
                </w:p>
              </w:tc>
              <w:tc>
                <w:tcPr>
                  <w:tcW w:w="539" w:type="pct"/>
                  <w:vAlign w:val="center"/>
                </w:tcPr>
                <w:p w14:paraId="4C11EFC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排放量</w:t>
                  </w:r>
                </w:p>
              </w:tc>
              <w:tc>
                <w:tcPr>
                  <w:tcW w:w="715" w:type="pct"/>
                  <w:vAlign w:val="center"/>
                </w:tcPr>
                <w:p w14:paraId="39D3425F">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面源面积</w:t>
                  </w:r>
                </w:p>
              </w:tc>
              <w:tc>
                <w:tcPr>
                  <w:tcW w:w="767" w:type="pct"/>
                  <w:vAlign w:val="center"/>
                </w:tcPr>
                <w:p w14:paraId="7B3CAB7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面源高度</w:t>
                  </w:r>
                </w:p>
              </w:tc>
            </w:tr>
            <w:tr w14:paraId="5EA180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continue"/>
                  <w:vAlign w:val="center"/>
                </w:tcPr>
                <w:p w14:paraId="146021DB">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700" w:type="pct"/>
                  <w:vMerge w:val="continue"/>
                  <w:vAlign w:val="center"/>
                </w:tcPr>
                <w:p w14:paraId="32452E5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893" w:type="pct"/>
                  <w:vMerge w:val="continue"/>
                  <w:vAlign w:val="center"/>
                </w:tcPr>
                <w:p w14:paraId="10D883BA">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539" w:type="pct"/>
                  <w:vAlign w:val="center"/>
                </w:tcPr>
                <w:p w14:paraId="44B146A5">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t/a</w:t>
                  </w:r>
                </w:p>
              </w:tc>
              <w:tc>
                <w:tcPr>
                  <w:tcW w:w="539" w:type="pct"/>
                  <w:vAlign w:val="center"/>
                </w:tcPr>
                <w:p w14:paraId="510F5D8D">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t/a</w:t>
                  </w:r>
                </w:p>
              </w:tc>
              <w:tc>
                <w:tcPr>
                  <w:tcW w:w="715" w:type="pct"/>
                  <w:vAlign w:val="center"/>
                </w:tcPr>
                <w:p w14:paraId="0A8E913D">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2</w:t>
                  </w:r>
                </w:p>
              </w:tc>
              <w:tc>
                <w:tcPr>
                  <w:tcW w:w="767" w:type="pct"/>
                  <w:vAlign w:val="center"/>
                </w:tcPr>
                <w:p w14:paraId="70D4080E">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w:t>
                  </w:r>
                </w:p>
              </w:tc>
            </w:tr>
            <w:tr w14:paraId="0605E6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restart"/>
                  <w:vAlign w:val="center"/>
                </w:tcPr>
                <w:p w14:paraId="5A58B7A9">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圈养区域</w:t>
                  </w:r>
                </w:p>
              </w:tc>
              <w:tc>
                <w:tcPr>
                  <w:tcW w:w="700" w:type="pct"/>
                  <w:vMerge w:val="restart"/>
                  <w:shd w:val="clear" w:color="auto" w:fill="auto"/>
                  <w:vAlign w:val="center"/>
                </w:tcPr>
                <w:p w14:paraId="35A1AECC">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待宰</w:t>
                  </w:r>
                </w:p>
              </w:tc>
              <w:tc>
                <w:tcPr>
                  <w:tcW w:w="893" w:type="pct"/>
                  <w:shd w:val="clear" w:color="auto" w:fill="auto"/>
                  <w:vAlign w:val="center"/>
                </w:tcPr>
                <w:p w14:paraId="765DA6C1">
                  <w:pPr>
                    <w:tabs>
                      <w:tab w:val="left" w:pos="960"/>
                    </w:tabs>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539" w:type="pct"/>
                  <w:shd w:val="clear" w:color="auto" w:fill="auto"/>
                  <w:vAlign w:val="center"/>
                </w:tcPr>
                <w:p w14:paraId="01F99F38">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0.027</w:t>
                  </w:r>
                </w:p>
              </w:tc>
              <w:tc>
                <w:tcPr>
                  <w:tcW w:w="539" w:type="pct"/>
                  <w:shd w:val="clear" w:color="auto" w:fill="auto"/>
                  <w:vAlign w:val="center"/>
                </w:tcPr>
                <w:p w14:paraId="02C69038">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0.003</w:t>
                  </w:r>
                </w:p>
              </w:tc>
              <w:tc>
                <w:tcPr>
                  <w:tcW w:w="715" w:type="pct"/>
                  <w:vMerge w:val="restart"/>
                  <w:shd w:val="clear" w:color="auto" w:fill="auto"/>
                  <w:vAlign w:val="center"/>
                </w:tcPr>
                <w:p w14:paraId="2F7EE6A3">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800</w:t>
                  </w:r>
                </w:p>
              </w:tc>
              <w:tc>
                <w:tcPr>
                  <w:tcW w:w="767" w:type="pct"/>
                  <w:vMerge w:val="restart"/>
                  <w:shd w:val="clear" w:color="auto" w:fill="auto"/>
                  <w:vAlign w:val="center"/>
                </w:tcPr>
                <w:p w14:paraId="19F9C9B0">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w:t>
                  </w:r>
                </w:p>
              </w:tc>
            </w:tr>
            <w:tr w14:paraId="38C71E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continue"/>
                  <w:vAlign w:val="center"/>
                </w:tcPr>
                <w:p w14:paraId="77D14A83">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700" w:type="pct"/>
                  <w:vMerge w:val="continue"/>
                  <w:vAlign w:val="center"/>
                </w:tcPr>
                <w:p w14:paraId="242F790A">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p>
              </w:tc>
              <w:tc>
                <w:tcPr>
                  <w:tcW w:w="893" w:type="pct"/>
                  <w:shd w:val="clear" w:color="auto" w:fill="auto"/>
                  <w:vAlign w:val="center"/>
                </w:tcPr>
                <w:p w14:paraId="58AC317E">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539" w:type="pct"/>
                  <w:shd w:val="clear" w:color="auto" w:fill="auto"/>
                  <w:vAlign w:val="center"/>
                </w:tcPr>
                <w:p w14:paraId="3251E4B5">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0.0017</w:t>
                  </w:r>
                </w:p>
              </w:tc>
              <w:tc>
                <w:tcPr>
                  <w:tcW w:w="539" w:type="pct"/>
                  <w:shd w:val="clear" w:color="auto" w:fill="auto"/>
                  <w:vAlign w:val="center"/>
                </w:tcPr>
                <w:p w14:paraId="19970FC8">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0.0003</w:t>
                  </w:r>
                </w:p>
              </w:tc>
              <w:tc>
                <w:tcPr>
                  <w:tcW w:w="715" w:type="pct"/>
                  <w:vMerge w:val="continue"/>
                  <w:vAlign w:val="center"/>
                </w:tcPr>
                <w:p w14:paraId="7D2CBE7A">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c>
                <w:tcPr>
                  <w:tcW w:w="767" w:type="pct"/>
                  <w:vMerge w:val="continue"/>
                  <w:vAlign w:val="center"/>
                </w:tcPr>
                <w:p w14:paraId="4D13E148">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r>
            <w:tr w14:paraId="184210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restart"/>
                  <w:vAlign w:val="center"/>
                </w:tcPr>
                <w:p w14:paraId="7382E18E">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屠宰车间</w:t>
                  </w:r>
                </w:p>
              </w:tc>
              <w:tc>
                <w:tcPr>
                  <w:tcW w:w="700" w:type="pct"/>
                  <w:vMerge w:val="restart"/>
                  <w:vAlign w:val="center"/>
                </w:tcPr>
                <w:p w14:paraId="39D3513E">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屠宰</w:t>
                  </w:r>
                </w:p>
              </w:tc>
              <w:tc>
                <w:tcPr>
                  <w:tcW w:w="0" w:type="auto"/>
                  <w:shd w:val="clear" w:color="auto" w:fill="auto"/>
                  <w:vAlign w:val="center"/>
                </w:tcPr>
                <w:p w14:paraId="50321747">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0" w:type="auto"/>
                  <w:shd w:val="clear" w:color="auto" w:fill="auto"/>
                  <w:vAlign w:val="center"/>
                </w:tcPr>
                <w:p w14:paraId="01E16D28">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w:t>
                  </w:r>
                </w:p>
              </w:tc>
              <w:tc>
                <w:tcPr>
                  <w:tcW w:w="0" w:type="auto"/>
                  <w:shd w:val="clear" w:color="auto" w:fill="auto"/>
                  <w:vAlign w:val="center"/>
                </w:tcPr>
                <w:p w14:paraId="3293E526">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0.121</w:t>
                  </w:r>
                </w:p>
              </w:tc>
              <w:tc>
                <w:tcPr>
                  <w:tcW w:w="715" w:type="pct"/>
                  <w:vMerge w:val="restart"/>
                  <w:shd w:val="clear" w:color="auto" w:fill="auto"/>
                  <w:vAlign w:val="center"/>
                </w:tcPr>
                <w:p w14:paraId="05908282">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300</w:t>
                  </w:r>
                </w:p>
              </w:tc>
              <w:tc>
                <w:tcPr>
                  <w:tcW w:w="767" w:type="pct"/>
                  <w:vMerge w:val="restart"/>
                  <w:shd w:val="clear" w:color="auto" w:fill="auto"/>
                  <w:vAlign w:val="center"/>
                </w:tcPr>
                <w:p w14:paraId="511C0F84">
                  <w:pPr>
                    <w:pStyle w:val="62"/>
                    <w:autoSpaceDE w:val="0"/>
                    <w:autoSpaceDN w:val="0"/>
                    <w:snapToGrid w:val="0"/>
                    <w:jc w:val="center"/>
                    <w:rPr>
                      <w:rFonts w:hint="eastAsia" w:ascii="Times New Roman" w:hAnsi="Times New Roman" w:eastAsia="宋体" w:cs="宋体"/>
                      <w:snapToGrid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8</w:t>
                  </w:r>
                </w:p>
              </w:tc>
            </w:tr>
            <w:tr w14:paraId="1C0925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continue"/>
                  <w:vAlign w:val="center"/>
                </w:tcPr>
                <w:p w14:paraId="6C3036B6">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700" w:type="pct"/>
                  <w:vMerge w:val="continue"/>
                  <w:vAlign w:val="center"/>
                </w:tcPr>
                <w:p w14:paraId="106ABF6D">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p>
              </w:tc>
              <w:tc>
                <w:tcPr>
                  <w:tcW w:w="0" w:type="auto"/>
                  <w:shd w:val="clear" w:color="auto" w:fill="auto"/>
                  <w:vAlign w:val="center"/>
                </w:tcPr>
                <w:p w14:paraId="3449C0DC">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0" w:type="auto"/>
                  <w:shd w:val="clear" w:color="auto" w:fill="auto"/>
                  <w:vAlign w:val="center"/>
                </w:tcPr>
                <w:p w14:paraId="6E07596C">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w:t>
                  </w:r>
                </w:p>
              </w:tc>
              <w:tc>
                <w:tcPr>
                  <w:tcW w:w="0" w:type="auto"/>
                  <w:shd w:val="clear" w:color="auto" w:fill="auto"/>
                  <w:vAlign w:val="center"/>
                </w:tcPr>
                <w:p w14:paraId="5F907A2B">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0.011</w:t>
                  </w:r>
                </w:p>
              </w:tc>
              <w:tc>
                <w:tcPr>
                  <w:tcW w:w="715" w:type="pct"/>
                  <w:vMerge w:val="continue"/>
                  <w:vAlign w:val="center"/>
                </w:tcPr>
                <w:p w14:paraId="41B59146">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c>
                <w:tcPr>
                  <w:tcW w:w="767" w:type="pct"/>
                  <w:vMerge w:val="continue"/>
                  <w:vAlign w:val="center"/>
                </w:tcPr>
                <w:p w14:paraId="7D6135BF">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r>
            <w:tr w14:paraId="4B8D8E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restart"/>
                  <w:vAlign w:val="center"/>
                </w:tcPr>
                <w:p w14:paraId="0649D42A">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全厂</w:t>
                  </w:r>
                </w:p>
              </w:tc>
              <w:tc>
                <w:tcPr>
                  <w:tcW w:w="700" w:type="pct"/>
                  <w:vMerge w:val="restart"/>
                  <w:vAlign w:val="center"/>
                </w:tcPr>
                <w:p w14:paraId="2D0939ED">
                  <w:pPr>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合计</w:t>
                  </w:r>
                </w:p>
              </w:tc>
              <w:tc>
                <w:tcPr>
                  <w:tcW w:w="0" w:type="auto"/>
                  <w:shd w:val="clear" w:color="auto" w:fill="auto"/>
                  <w:vAlign w:val="center"/>
                </w:tcPr>
                <w:p w14:paraId="328D0DF6">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0" w:type="auto"/>
                  <w:shd w:val="clear" w:color="auto" w:fill="auto"/>
                  <w:vAlign w:val="center"/>
                </w:tcPr>
                <w:p w14:paraId="453FF213">
                  <w:pPr>
                    <w:snapToGrid w:val="0"/>
                    <w:jc w:val="center"/>
                    <w:rPr>
                      <w:rFonts w:hint="eastAsia"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0.027</w:t>
                  </w:r>
                </w:p>
              </w:tc>
              <w:tc>
                <w:tcPr>
                  <w:tcW w:w="0" w:type="auto"/>
                  <w:vAlign w:val="center"/>
                </w:tcPr>
                <w:p w14:paraId="248F5970">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0.124</w:t>
                  </w:r>
                </w:p>
              </w:tc>
              <w:tc>
                <w:tcPr>
                  <w:tcW w:w="715" w:type="pct"/>
                  <w:vMerge w:val="restart"/>
                  <w:vAlign w:val="center"/>
                </w:tcPr>
                <w:p w14:paraId="18D45900">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w:t>
                  </w:r>
                </w:p>
              </w:tc>
              <w:tc>
                <w:tcPr>
                  <w:tcW w:w="767" w:type="pct"/>
                  <w:vMerge w:val="restart"/>
                  <w:vAlign w:val="center"/>
                </w:tcPr>
                <w:p w14:paraId="1C45CD0B">
                  <w:pPr>
                    <w:pStyle w:val="62"/>
                    <w:autoSpaceDE w:val="0"/>
                    <w:autoSpaceDN w:val="0"/>
                    <w:snapToGrid w:val="0"/>
                    <w:jc w:val="center"/>
                    <w:rPr>
                      <w:rFonts w:hint="default"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napToGrid w:val="0"/>
                      <w:color w:val="000000" w:themeColor="text1"/>
                      <w:kern w:val="0"/>
                      <w:sz w:val="21"/>
                      <w:szCs w:val="21"/>
                      <w:highlight w:val="none"/>
                      <w:lang w:val="en-US" w:eastAsia="zh-CN"/>
                      <w14:textFill>
                        <w14:solidFill>
                          <w14:schemeClr w14:val="tx1"/>
                        </w14:solidFill>
                      </w14:textFill>
                    </w:rPr>
                    <w:t>/</w:t>
                  </w:r>
                </w:p>
              </w:tc>
            </w:tr>
            <w:tr w14:paraId="0D0D92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845" w:type="pct"/>
                  <w:vMerge w:val="continue"/>
                  <w:vAlign w:val="center"/>
                </w:tcPr>
                <w:p w14:paraId="226B3363">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700" w:type="pct"/>
                  <w:vMerge w:val="continue"/>
                  <w:vAlign w:val="center"/>
                </w:tcPr>
                <w:p w14:paraId="6ECDA1FC">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p>
              </w:tc>
              <w:tc>
                <w:tcPr>
                  <w:tcW w:w="0" w:type="auto"/>
                  <w:shd w:val="clear" w:color="auto" w:fill="auto"/>
                  <w:vAlign w:val="center"/>
                </w:tcPr>
                <w:p w14:paraId="50087854">
                  <w:pPr>
                    <w:tabs>
                      <w:tab w:val="left" w:pos="96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0" w:type="auto"/>
                  <w:shd w:val="clear" w:color="auto" w:fill="auto"/>
                  <w:vAlign w:val="center"/>
                </w:tcPr>
                <w:p w14:paraId="4BE3C985">
                  <w:pPr>
                    <w:snapToGrid w:val="0"/>
                    <w:jc w:val="center"/>
                    <w:rPr>
                      <w:rFonts w:hint="eastAsia"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0.0017</w:t>
                  </w:r>
                </w:p>
              </w:tc>
              <w:tc>
                <w:tcPr>
                  <w:tcW w:w="0" w:type="auto"/>
                  <w:vAlign w:val="center"/>
                </w:tcPr>
                <w:p w14:paraId="5324CE81">
                  <w:pPr>
                    <w:snapToGrid w:val="0"/>
                    <w:jc w:val="center"/>
                    <w:rPr>
                      <w:rFonts w:hint="default"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cs="宋体"/>
                      <w:bCs/>
                      <w:color w:val="000000" w:themeColor="text1"/>
                      <w:kern w:val="0"/>
                      <w:sz w:val="21"/>
                      <w:szCs w:val="21"/>
                      <w:highlight w:val="none"/>
                      <w:lang w:val="en-US" w:eastAsia="zh-CN" w:bidi="ar-SA"/>
                      <w14:textFill>
                        <w14:solidFill>
                          <w14:schemeClr w14:val="tx1"/>
                        </w14:solidFill>
                      </w14:textFill>
                    </w:rPr>
                    <w:t>0.0113</w:t>
                  </w:r>
                </w:p>
              </w:tc>
              <w:tc>
                <w:tcPr>
                  <w:tcW w:w="715" w:type="pct"/>
                  <w:vMerge w:val="continue"/>
                  <w:vAlign w:val="center"/>
                </w:tcPr>
                <w:p w14:paraId="7F201EA8">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c>
                <w:tcPr>
                  <w:tcW w:w="767" w:type="pct"/>
                  <w:vMerge w:val="continue"/>
                  <w:vAlign w:val="center"/>
                </w:tcPr>
                <w:p w14:paraId="5D81D555">
                  <w:pPr>
                    <w:pStyle w:val="62"/>
                    <w:autoSpaceDE w:val="0"/>
                    <w:autoSpaceDN w:val="0"/>
                    <w:snapToGrid w:val="0"/>
                    <w:jc w:val="center"/>
                    <w:rPr>
                      <w:rFonts w:hint="eastAsia" w:ascii="Times New Roman" w:hAnsi="Times New Roman" w:eastAsia="宋体"/>
                      <w:snapToGrid w:val="0"/>
                      <w:color w:val="000000" w:themeColor="text1"/>
                      <w:kern w:val="0"/>
                      <w:sz w:val="21"/>
                      <w:szCs w:val="21"/>
                      <w:highlight w:val="none"/>
                      <w:lang w:val="en-US" w:eastAsia="zh-CN"/>
                      <w14:textFill>
                        <w14:solidFill>
                          <w14:schemeClr w14:val="tx1"/>
                        </w14:solidFill>
                      </w14:textFill>
                    </w:rPr>
                  </w:pPr>
                </w:p>
              </w:tc>
            </w:tr>
          </w:tbl>
          <w:p w14:paraId="3E60CC37">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本项目在采取可行的污染防治措施后，各项污染物均能达标排放。</w:t>
            </w:r>
          </w:p>
          <w:p w14:paraId="2E36C8C0">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（4）排放口基本情况</w:t>
            </w:r>
          </w:p>
          <w:p w14:paraId="18A2B09C">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cs="宋体"/>
                <w:b/>
                <w:bCs/>
                <w:color w:val="000000" w:themeColor="text1"/>
                <w:spacing w:val="-4"/>
                <w:sz w:val="21"/>
                <w:szCs w:val="21"/>
                <w:highlight w:val="none"/>
                <w:lang w:val="en-US" w:eastAsia="zh-CN"/>
                <w14:textFill>
                  <w14:solidFill>
                    <w14:schemeClr w14:val="tx1"/>
                  </w14:solidFill>
                </w14:textFill>
              </w:rPr>
              <w:t>6</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废气排放口</w:t>
            </w:r>
            <w:r>
              <w:rPr>
                <w:rFonts w:ascii="Times New Roman" w:hAnsi="Times New Roman" w:eastAsia="宋体" w:cs="宋体"/>
                <w:b/>
                <w:bCs/>
                <w:color w:val="000000" w:themeColor="text1"/>
                <w:spacing w:val="-4"/>
                <w:sz w:val="21"/>
                <w:szCs w:val="21"/>
                <w:highlight w:val="none"/>
                <w14:textFill>
                  <w14:solidFill>
                    <w14:schemeClr w14:val="tx1"/>
                  </w14:solidFill>
                </w14:textFill>
              </w:rPr>
              <w:t>基本情况表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39"/>
              <w:gridCol w:w="745"/>
              <w:gridCol w:w="1142"/>
              <w:gridCol w:w="1767"/>
              <w:gridCol w:w="1768"/>
              <w:gridCol w:w="757"/>
              <w:gridCol w:w="854"/>
              <w:gridCol w:w="487"/>
            </w:tblGrid>
            <w:tr w14:paraId="23AE29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447" w:type="pct"/>
                  <w:vMerge w:val="restart"/>
                  <w:vAlign w:val="center"/>
                </w:tcPr>
                <w:p w14:paraId="4D0C50B9">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排放口</w:t>
                  </w:r>
                </w:p>
                <w:p w14:paraId="1A7368B8">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编号</w:t>
                  </w:r>
                </w:p>
              </w:tc>
              <w:tc>
                <w:tcPr>
                  <w:tcW w:w="451" w:type="pct"/>
                  <w:vMerge w:val="restart"/>
                  <w:vAlign w:val="center"/>
                </w:tcPr>
                <w:p w14:paraId="1767957C">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排放口</w:t>
                  </w:r>
                </w:p>
                <w:p w14:paraId="53DD2F43">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名称</w:t>
                  </w:r>
                </w:p>
              </w:tc>
              <w:tc>
                <w:tcPr>
                  <w:tcW w:w="691" w:type="pct"/>
                  <w:vMerge w:val="restart"/>
                  <w:vAlign w:val="center"/>
                </w:tcPr>
                <w:p w14:paraId="4845A8E4">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污染物种类</w:t>
                  </w:r>
                </w:p>
              </w:tc>
              <w:tc>
                <w:tcPr>
                  <w:tcW w:w="2139" w:type="pct"/>
                  <w:gridSpan w:val="2"/>
                  <w:vAlign w:val="center"/>
                </w:tcPr>
                <w:p w14:paraId="3B284CE3">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排气筒地理坐标</w:t>
                  </w:r>
                </w:p>
              </w:tc>
              <w:tc>
                <w:tcPr>
                  <w:tcW w:w="458" w:type="pct"/>
                  <w:vAlign w:val="center"/>
                </w:tcPr>
                <w:p w14:paraId="5EA75E11">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排气筒</w:t>
                  </w:r>
                </w:p>
                <w:p w14:paraId="29A051BC">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高度</w:t>
                  </w:r>
                </w:p>
              </w:tc>
              <w:tc>
                <w:tcPr>
                  <w:tcW w:w="517" w:type="pct"/>
                  <w:vAlign w:val="center"/>
                </w:tcPr>
                <w:p w14:paraId="5891EA4F">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排气筒</w:t>
                  </w:r>
                </w:p>
                <w:p w14:paraId="2F990583">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出口内径</w:t>
                  </w:r>
                </w:p>
              </w:tc>
              <w:tc>
                <w:tcPr>
                  <w:tcW w:w="294" w:type="pct"/>
                  <w:vAlign w:val="center"/>
                </w:tcPr>
                <w:p w14:paraId="27B087D5">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排气</w:t>
                  </w:r>
                  <w:r>
                    <w:rPr>
                      <w:rFonts w:ascii="Times New Roman" w:hAnsi="Times New Roman" w:eastAsia="宋体" w:cs="宋体"/>
                      <w:b/>
                      <w:color w:val="000000" w:themeColor="text1"/>
                      <w:sz w:val="21"/>
                      <w:szCs w:val="21"/>
                      <w:highlight w:val="none"/>
                      <w14:textFill>
                        <w14:solidFill>
                          <w14:schemeClr w14:val="tx1"/>
                        </w14:solidFill>
                      </w14:textFill>
                    </w:rPr>
                    <w:t>温度</w:t>
                  </w:r>
                </w:p>
              </w:tc>
            </w:tr>
            <w:tr w14:paraId="06BAD1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47" w:type="pct"/>
                  <w:vMerge w:val="continue"/>
                  <w:vAlign w:val="center"/>
                </w:tcPr>
                <w:p w14:paraId="517723DF">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51" w:type="pct"/>
                  <w:vMerge w:val="continue"/>
                  <w:vAlign w:val="center"/>
                </w:tcPr>
                <w:p w14:paraId="137E27A7">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91" w:type="pct"/>
                  <w:vMerge w:val="continue"/>
                  <w:vAlign w:val="center"/>
                </w:tcPr>
                <w:p w14:paraId="460178AD">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1069" w:type="pct"/>
                  <w:vAlign w:val="center"/>
                </w:tcPr>
                <w:p w14:paraId="6BDB6724">
                  <w:pPr>
                    <w:pStyle w:val="51"/>
                    <w:adjustRightInd/>
                    <w:spacing w:beforeLines="0" w:line="240" w:lineRule="auto"/>
                    <w:ind w:firstLine="0" w:firstLineChars="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经度</w:t>
                  </w:r>
                </w:p>
              </w:tc>
              <w:tc>
                <w:tcPr>
                  <w:tcW w:w="1069" w:type="pct"/>
                  <w:vAlign w:val="center"/>
                </w:tcPr>
                <w:p w14:paraId="08EEE762">
                  <w:pPr>
                    <w:pStyle w:val="51"/>
                    <w:adjustRightInd/>
                    <w:spacing w:beforeLines="0" w:line="240" w:lineRule="auto"/>
                    <w:ind w:firstLine="0" w:firstLineChars="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纬度</w:t>
                  </w:r>
                </w:p>
              </w:tc>
              <w:tc>
                <w:tcPr>
                  <w:tcW w:w="458" w:type="pct"/>
                  <w:vAlign w:val="center"/>
                </w:tcPr>
                <w:p w14:paraId="32FA51C8">
                  <w:pPr>
                    <w:pStyle w:val="51"/>
                    <w:adjustRightInd/>
                    <w:spacing w:beforeLines="0" w:line="240" w:lineRule="auto"/>
                    <w:ind w:firstLine="0" w:firstLineChars="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m</w:t>
                  </w:r>
                </w:p>
              </w:tc>
              <w:tc>
                <w:tcPr>
                  <w:tcW w:w="517" w:type="pct"/>
                  <w:vAlign w:val="center"/>
                </w:tcPr>
                <w:p w14:paraId="2B5F0AED">
                  <w:pPr>
                    <w:pStyle w:val="51"/>
                    <w:adjustRightInd/>
                    <w:spacing w:beforeLines="0" w:line="240" w:lineRule="auto"/>
                    <w:ind w:firstLine="0" w:firstLineChars="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m</w:t>
                  </w:r>
                </w:p>
              </w:tc>
              <w:tc>
                <w:tcPr>
                  <w:tcW w:w="294" w:type="pct"/>
                  <w:vAlign w:val="center"/>
                </w:tcPr>
                <w:p w14:paraId="5FB726B3">
                  <w:pPr>
                    <w:pStyle w:val="51"/>
                    <w:adjustRightInd/>
                    <w:spacing w:beforeLines="0" w:line="240" w:lineRule="auto"/>
                    <w:ind w:firstLine="0" w:firstLineChars="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w:t>
                  </w:r>
                </w:p>
              </w:tc>
            </w:tr>
            <w:tr w14:paraId="028FAE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47" w:type="pct"/>
                  <w:vAlign w:val="center"/>
                </w:tcPr>
                <w:p w14:paraId="666D06F7">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1</w:t>
                  </w:r>
                </w:p>
              </w:tc>
              <w:tc>
                <w:tcPr>
                  <w:tcW w:w="451" w:type="pct"/>
                  <w:vAlign w:val="center"/>
                </w:tcPr>
                <w:p w14:paraId="3B4F43AC">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#废气排放口</w:t>
                  </w:r>
                </w:p>
              </w:tc>
              <w:tc>
                <w:tcPr>
                  <w:tcW w:w="691" w:type="pct"/>
                  <w:vAlign w:val="center"/>
                </w:tcPr>
                <w:p w14:paraId="5C54BC88">
                  <w:pPr>
                    <w:pStyle w:val="51"/>
                    <w:adjustRightInd/>
                    <w:spacing w:beforeLines="0" w:line="240" w:lineRule="auto"/>
                    <w:ind w:firstLine="0" w:firstLineChars="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氨、硫化氢、臭气浓度</w:t>
                  </w:r>
                </w:p>
              </w:tc>
              <w:tc>
                <w:tcPr>
                  <w:tcW w:w="1069" w:type="pct"/>
                  <w:vAlign w:val="center"/>
                </w:tcPr>
                <w:p w14:paraId="3888528E">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E</w:t>
                  </w:r>
                  <w:r>
                    <w:rPr>
                      <w:rFonts w:hint="eastAsia" w:ascii="Times New Roman" w:hAnsi="Times New Roman" w:cs="宋体"/>
                      <w:color w:val="000000" w:themeColor="text1"/>
                      <w:sz w:val="21"/>
                      <w:szCs w:val="21"/>
                      <w:highlight w:val="none"/>
                      <w:lang w:val="en-US" w:eastAsia="zh-CN"/>
                      <w14:textFill>
                        <w14:solidFill>
                          <w14:schemeClr w14:val="tx1"/>
                        </w14:solidFill>
                      </w14:textFill>
                    </w:rPr>
                    <w:t>119</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28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26.200</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1069" w:type="pct"/>
                  <w:vAlign w:val="center"/>
                </w:tcPr>
                <w:p w14:paraId="120DD8D9">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N3</w:t>
                  </w:r>
                  <w:r>
                    <w:rPr>
                      <w:rFonts w:hint="eastAsia" w:ascii="Times New Roman" w:hAnsi="Times New Roman" w:eastAsia="宋体" w:cs="宋体"/>
                      <w:color w:val="000000" w:themeColor="text1"/>
                      <w:sz w:val="21"/>
                      <w:szCs w:val="21"/>
                      <w:highlight w:val="none"/>
                      <w14:textFill>
                        <w14:solidFill>
                          <w14:schemeClr w14:val="tx1"/>
                        </w14:solidFill>
                      </w14:textFill>
                    </w:rPr>
                    <w:t>1</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38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47.803</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458" w:type="pct"/>
                  <w:vAlign w:val="center"/>
                </w:tcPr>
                <w:p w14:paraId="3187D445">
                  <w:pPr>
                    <w:pStyle w:val="51"/>
                    <w:adjustRightInd/>
                    <w:spacing w:beforeLines="0" w:line="240" w:lineRule="auto"/>
                    <w:ind w:firstLine="0" w:firstLineChars="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15</w:t>
                  </w:r>
                </w:p>
              </w:tc>
              <w:tc>
                <w:tcPr>
                  <w:tcW w:w="517" w:type="pct"/>
                  <w:vAlign w:val="center"/>
                </w:tcPr>
                <w:p w14:paraId="21BFC72B">
                  <w:pPr>
                    <w:pStyle w:val="51"/>
                    <w:adjustRightInd/>
                    <w:spacing w:beforeLines="0" w:line="240" w:lineRule="auto"/>
                    <w:ind w:firstLine="0" w:firstLineChars="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0.7</w:t>
                  </w:r>
                </w:p>
              </w:tc>
              <w:tc>
                <w:tcPr>
                  <w:tcW w:w="294" w:type="pct"/>
                  <w:vAlign w:val="center"/>
                </w:tcPr>
                <w:p w14:paraId="4E128978">
                  <w:pPr>
                    <w:pStyle w:val="51"/>
                    <w:adjustRightInd/>
                    <w:spacing w:beforeLines="0" w:line="240" w:lineRule="auto"/>
                    <w:ind w:firstLine="0" w:firstLineChars="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25</w:t>
                  </w:r>
                </w:p>
              </w:tc>
            </w:tr>
          </w:tbl>
          <w:p w14:paraId="16297EC1">
            <w:pPr>
              <w:tabs>
                <w:tab w:val="left" w:pos="960"/>
              </w:tabs>
              <w:spacing w:beforeLines="50"/>
              <w:jc w:val="cente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pPr>
          </w:p>
          <w:p w14:paraId="33FC837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ascii="Times New Roman" w:hAnsi="Times New Roman" w:eastAsia="宋体" w:cs="宋体"/>
                <w:b/>
                <w:bCs/>
                <w:color w:val="000000" w:themeColor="text1"/>
                <w:spacing w:val="-4"/>
                <w:sz w:val="21"/>
                <w:szCs w:val="21"/>
                <w:highlight w:val="none"/>
                <w14:textFill>
                  <w14:solidFill>
                    <w14:schemeClr w14:val="tx1"/>
                  </w14:solidFill>
                </w14:textFill>
              </w:rPr>
              <w:t>-</w:t>
            </w:r>
            <w:r>
              <w:rPr>
                <w:rFonts w:hint="eastAsia" w:cs="宋体"/>
                <w:b/>
                <w:bCs/>
                <w:color w:val="000000" w:themeColor="text1"/>
                <w:spacing w:val="-4"/>
                <w:sz w:val="21"/>
                <w:szCs w:val="21"/>
                <w:highlight w:val="none"/>
                <w:lang w:val="en-US" w:eastAsia="zh-CN"/>
                <w14:textFill>
                  <w14:solidFill>
                    <w14:schemeClr w14:val="tx1"/>
                  </w14:solidFill>
                </w14:textFill>
              </w:rPr>
              <w:t>7</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废气污染物排放口执行标准信息表</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09"/>
              <w:gridCol w:w="730"/>
              <w:gridCol w:w="1133"/>
              <w:gridCol w:w="3518"/>
              <w:gridCol w:w="1165"/>
              <w:gridCol w:w="1001"/>
            </w:tblGrid>
            <w:tr w14:paraId="0B6BF9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430" w:type="pct"/>
                  <w:vMerge w:val="restart"/>
                  <w:vAlign w:val="center"/>
                </w:tcPr>
                <w:p w14:paraId="61356FC2">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排放口</w:t>
                  </w:r>
                </w:p>
                <w:p w14:paraId="0D9E9ED8">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编号</w:t>
                  </w:r>
                </w:p>
              </w:tc>
              <w:tc>
                <w:tcPr>
                  <w:tcW w:w="442" w:type="pct"/>
                  <w:vMerge w:val="restart"/>
                  <w:vAlign w:val="center"/>
                </w:tcPr>
                <w:p w14:paraId="1F0CB8CF">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排放口</w:t>
                  </w:r>
                </w:p>
                <w:p w14:paraId="5D8045CD">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名称</w:t>
                  </w:r>
                </w:p>
              </w:tc>
              <w:tc>
                <w:tcPr>
                  <w:tcW w:w="686" w:type="pct"/>
                  <w:vMerge w:val="restart"/>
                  <w:vAlign w:val="center"/>
                </w:tcPr>
                <w:p w14:paraId="6985519F">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污染物种类</w:t>
                  </w:r>
                </w:p>
              </w:tc>
              <w:tc>
                <w:tcPr>
                  <w:tcW w:w="3441" w:type="pct"/>
                  <w:gridSpan w:val="3"/>
                  <w:vAlign w:val="center"/>
                </w:tcPr>
                <w:p w14:paraId="5BD16218">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国家或地方污染物排放标准</w:t>
                  </w:r>
                </w:p>
              </w:tc>
            </w:tr>
            <w:tr w14:paraId="3C52E5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0" w:type="pct"/>
                  <w:vMerge w:val="continue"/>
                  <w:vAlign w:val="center"/>
                </w:tcPr>
                <w:p w14:paraId="5EAACDE8">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42" w:type="pct"/>
                  <w:vMerge w:val="continue"/>
                  <w:vAlign w:val="center"/>
                </w:tcPr>
                <w:p w14:paraId="7F778535">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86" w:type="pct"/>
                  <w:vMerge w:val="continue"/>
                  <w:vAlign w:val="center"/>
                </w:tcPr>
                <w:p w14:paraId="5B1F2FEA">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130" w:type="pct"/>
                  <w:vAlign w:val="center"/>
                </w:tcPr>
                <w:p w14:paraId="04D87AB7">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名称</w:t>
                  </w:r>
                </w:p>
              </w:tc>
              <w:tc>
                <w:tcPr>
                  <w:tcW w:w="705" w:type="pct"/>
                  <w:vAlign w:val="center"/>
                </w:tcPr>
                <w:p w14:paraId="4FC90C6B">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浓度限值</w:t>
                  </w:r>
                </w:p>
                <w:p w14:paraId="3784E94B">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w:t>
                  </w:r>
                  <w:r>
                    <w:rPr>
                      <w:rFonts w:ascii="Times New Roman" w:hAnsi="Times New Roman" w:eastAsia="宋体" w:cs="宋体"/>
                      <w:b/>
                      <w:color w:val="000000" w:themeColor="text1"/>
                      <w:sz w:val="21"/>
                      <w:szCs w:val="21"/>
                      <w:highlight w:val="none"/>
                      <w14:textFill>
                        <w14:solidFill>
                          <w14:schemeClr w14:val="tx1"/>
                        </w14:solidFill>
                      </w14:textFill>
                    </w:rPr>
                    <w:t>mg/Nm</w:t>
                  </w:r>
                  <w:r>
                    <w:rPr>
                      <w:rFonts w:ascii="Times New Roman" w:hAnsi="Times New Roman" w:eastAsia="宋体" w:cs="宋体"/>
                      <w:b/>
                      <w:color w:val="000000" w:themeColor="text1"/>
                      <w:sz w:val="21"/>
                      <w:szCs w:val="21"/>
                      <w:highlight w:val="none"/>
                      <w:vertAlign w:val="superscript"/>
                      <w14:textFill>
                        <w14:solidFill>
                          <w14:schemeClr w14:val="tx1"/>
                        </w14:solidFill>
                      </w14:textFill>
                    </w:rPr>
                    <w:t>3</w:t>
                  </w:r>
                  <w:r>
                    <w:rPr>
                      <w:rFonts w:hint="eastAsia" w:ascii="Times New Roman" w:hAnsi="Times New Roman" w:eastAsia="宋体" w:cs="宋体"/>
                      <w:b/>
                      <w:color w:val="000000" w:themeColor="text1"/>
                      <w:sz w:val="21"/>
                      <w:szCs w:val="21"/>
                      <w:highlight w:val="none"/>
                      <w14:textFill>
                        <w14:solidFill>
                          <w14:schemeClr w14:val="tx1"/>
                        </w14:solidFill>
                      </w14:textFill>
                    </w:rPr>
                    <w:t>）</w:t>
                  </w:r>
                </w:p>
              </w:tc>
              <w:tc>
                <w:tcPr>
                  <w:tcW w:w="605" w:type="pct"/>
                  <w:vAlign w:val="center"/>
                </w:tcPr>
                <w:p w14:paraId="11627B7E">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速率限值</w:t>
                  </w:r>
                </w:p>
                <w:p w14:paraId="3C7DD934">
                  <w:pPr>
                    <w:pStyle w:val="51"/>
                    <w:adjustRightInd/>
                    <w:spacing w:beforeLines="0" w:line="240" w:lineRule="auto"/>
                    <w:ind w:firstLine="0" w:firstLineChars="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（kg/h）</w:t>
                  </w:r>
                </w:p>
              </w:tc>
            </w:tr>
            <w:tr w14:paraId="055906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0" w:type="pct"/>
                  <w:vMerge w:val="restart"/>
                  <w:vAlign w:val="center"/>
                </w:tcPr>
                <w:p w14:paraId="124F4931">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1</w:t>
                  </w:r>
                </w:p>
              </w:tc>
              <w:tc>
                <w:tcPr>
                  <w:tcW w:w="442" w:type="pct"/>
                  <w:vMerge w:val="restart"/>
                  <w:vAlign w:val="center"/>
                </w:tcPr>
                <w:p w14:paraId="25337BF9">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sz w:val="21"/>
                      <w:szCs w:val="21"/>
                      <w:highlight w:val="none"/>
                      <w14:textFill>
                        <w14:solidFill>
                          <w14:schemeClr w14:val="tx1"/>
                        </w14:solidFill>
                      </w14:textFill>
                    </w:rPr>
                    <w:t>#废气排放口</w:t>
                  </w:r>
                </w:p>
              </w:tc>
              <w:tc>
                <w:tcPr>
                  <w:tcW w:w="686" w:type="pct"/>
                  <w:vAlign w:val="center"/>
                </w:tcPr>
                <w:p w14:paraId="679E2DFB">
                  <w:pPr>
                    <w:keepLine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b w:val="0"/>
                      <w:bCs/>
                      <w:smallCaps w:val="0"/>
                      <w:color w:val="000000" w:themeColor="text1"/>
                      <w:sz w:val="21"/>
                      <w:szCs w:val="21"/>
                      <w:highlight w:val="none"/>
                      <w:lang w:val="en-US" w:eastAsia="zh-CN"/>
                      <w14:textFill>
                        <w14:solidFill>
                          <w14:schemeClr w14:val="tx1"/>
                        </w14:solidFill>
                      </w14:textFill>
                    </w:rPr>
                    <w:t>氨</w:t>
                  </w:r>
                </w:p>
              </w:tc>
              <w:tc>
                <w:tcPr>
                  <w:tcW w:w="2130" w:type="pct"/>
                  <w:vMerge w:val="restart"/>
                  <w:vAlign w:val="center"/>
                </w:tcPr>
                <w:p w14:paraId="1E080C6B">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《恶臭污染物排放标准》（GB14554-93）</w:t>
                  </w: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表2</w:t>
                  </w:r>
                </w:p>
              </w:tc>
              <w:tc>
                <w:tcPr>
                  <w:tcW w:w="705" w:type="pct"/>
                  <w:vAlign w:val="center"/>
                </w:tcPr>
                <w:p w14:paraId="649B1B87">
                  <w:pPr>
                    <w:keepLines/>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w:t>
                  </w:r>
                </w:p>
              </w:tc>
              <w:tc>
                <w:tcPr>
                  <w:tcW w:w="605" w:type="pct"/>
                  <w:vAlign w:val="center"/>
                </w:tcPr>
                <w:p w14:paraId="7D4208A7">
                  <w:pPr>
                    <w:keepLines/>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4.9（15m）</w:t>
                  </w:r>
                </w:p>
              </w:tc>
            </w:tr>
            <w:tr w14:paraId="05AA94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0" w:type="pct"/>
                  <w:vMerge w:val="continue"/>
                  <w:vAlign w:val="center"/>
                </w:tcPr>
                <w:p w14:paraId="24DCE676">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bookmarkStart w:id="8" w:name="_Ref368512661"/>
                </w:p>
              </w:tc>
              <w:tc>
                <w:tcPr>
                  <w:tcW w:w="442" w:type="pct"/>
                  <w:vMerge w:val="continue"/>
                  <w:vAlign w:val="center"/>
                </w:tcPr>
                <w:p w14:paraId="7FBFC0A8">
                  <w:pPr>
                    <w:pStyle w:val="51"/>
                    <w:adjustRightInd/>
                    <w:spacing w:beforeLines="0" w:line="240" w:lineRule="auto"/>
                    <w:ind w:firstLine="0" w:firstLineChars="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686" w:type="pct"/>
                  <w:vAlign w:val="center"/>
                </w:tcPr>
                <w:p w14:paraId="4225AFA6">
                  <w:pPr>
                    <w:keepLines/>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 w:val="21"/>
                      <w:szCs w:val="21"/>
                      <w:highlight w:val="none"/>
                      <w:lang w:val="en-US" w:eastAsia="zh-CN"/>
                      <w14:textFill>
                        <w14:solidFill>
                          <w14:schemeClr w14:val="tx1"/>
                        </w14:solidFill>
                      </w14:textFill>
                    </w:rPr>
                    <w:t>硫化氢</w:t>
                  </w:r>
                </w:p>
              </w:tc>
              <w:tc>
                <w:tcPr>
                  <w:tcW w:w="2130" w:type="pct"/>
                  <w:vMerge w:val="continue"/>
                  <w:vAlign w:val="center"/>
                </w:tcPr>
                <w:p w14:paraId="6E3ADDB0">
                  <w:pPr>
                    <w:pStyle w:val="51"/>
                    <w:adjustRightInd/>
                    <w:spacing w:beforeLines="0" w:line="240" w:lineRule="auto"/>
                    <w:ind w:firstLine="0" w:firstLineChars="0"/>
                    <w:jc w:val="center"/>
                    <w:rPr>
                      <w:rFonts w:hint="eastAsia" w:ascii="Times New Roman" w:hAnsi="Times New Roman" w:eastAsia="宋体"/>
                      <w:smallCaps w:val="0"/>
                      <w:color w:val="000000" w:themeColor="text1"/>
                      <w:sz w:val="21"/>
                      <w:szCs w:val="21"/>
                      <w14:textFill>
                        <w14:solidFill>
                          <w14:schemeClr w14:val="tx1"/>
                        </w14:solidFill>
                      </w14:textFill>
                    </w:rPr>
                  </w:pPr>
                </w:p>
              </w:tc>
              <w:tc>
                <w:tcPr>
                  <w:tcW w:w="705" w:type="pct"/>
                  <w:vAlign w:val="center"/>
                </w:tcPr>
                <w:p w14:paraId="0C05D2A0">
                  <w:pPr>
                    <w:keepLines/>
                    <w:snapToGrid w:val="0"/>
                    <w:jc w:val="center"/>
                    <w:rPr>
                      <w:rFonts w:hint="eastAsia" w:cs="宋体"/>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w:t>
                  </w:r>
                </w:p>
              </w:tc>
              <w:tc>
                <w:tcPr>
                  <w:tcW w:w="605" w:type="pct"/>
                  <w:vAlign w:val="center"/>
                </w:tcPr>
                <w:p w14:paraId="29EA23A9">
                  <w:pPr>
                    <w:keepLines/>
                    <w:snapToGrid w:val="0"/>
                    <w:jc w:val="center"/>
                    <w:rPr>
                      <w:rFonts w:hint="eastAsia" w:cs="宋体"/>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0.33（15m）</w:t>
                  </w:r>
                </w:p>
              </w:tc>
            </w:tr>
            <w:tr w14:paraId="216096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0" w:type="pct"/>
                  <w:vMerge w:val="continue"/>
                  <w:vAlign w:val="center"/>
                </w:tcPr>
                <w:p w14:paraId="0DD09DD5">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442" w:type="pct"/>
                  <w:vMerge w:val="continue"/>
                  <w:vAlign w:val="center"/>
                </w:tcPr>
                <w:p w14:paraId="044F64EC">
                  <w:pPr>
                    <w:pStyle w:val="51"/>
                    <w:adjustRightInd/>
                    <w:spacing w:beforeLines="0" w:line="240" w:lineRule="auto"/>
                    <w:ind w:firstLine="0" w:firstLineChars="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686" w:type="pct"/>
                  <w:vAlign w:val="center"/>
                </w:tcPr>
                <w:p w14:paraId="1A191F5E">
                  <w:pPr>
                    <w:keepLines/>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sz w:val="21"/>
                      <w:szCs w:val="21"/>
                      <w:highlight w:val="none"/>
                      <w:lang w:val="en-US" w:eastAsia="zh-CN"/>
                      <w14:textFill>
                        <w14:solidFill>
                          <w14:schemeClr w14:val="tx1"/>
                        </w14:solidFill>
                      </w14:textFill>
                    </w:rPr>
                    <w:t>臭气浓度</w:t>
                  </w:r>
                </w:p>
              </w:tc>
              <w:tc>
                <w:tcPr>
                  <w:tcW w:w="2130" w:type="pct"/>
                  <w:vMerge w:val="continue"/>
                  <w:vAlign w:val="center"/>
                </w:tcPr>
                <w:p w14:paraId="67CAAB94">
                  <w:pPr>
                    <w:pStyle w:val="51"/>
                    <w:adjustRightInd/>
                    <w:spacing w:beforeLines="0" w:line="240" w:lineRule="auto"/>
                    <w:ind w:firstLine="0" w:firstLineChars="0"/>
                    <w:jc w:val="center"/>
                    <w:rPr>
                      <w:rFonts w:hint="eastAsia" w:ascii="Times New Roman" w:hAnsi="Times New Roman" w:eastAsia="宋体"/>
                      <w:smallCaps w:val="0"/>
                      <w:color w:val="000000" w:themeColor="text1"/>
                      <w:sz w:val="21"/>
                      <w:szCs w:val="21"/>
                      <w14:textFill>
                        <w14:solidFill>
                          <w14:schemeClr w14:val="tx1"/>
                        </w14:solidFill>
                      </w14:textFill>
                    </w:rPr>
                  </w:pPr>
                </w:p>
              </w:tc>
              <w:tc>
                <w:tcPr>
                  <w:tcW w:w="1310" w:type="pct"/>
                  <w:gridSpan w:val="2"/>
                  <w:vAlign w:val="center"/>
                </w:tcPr>
                <w:p w14:paraId="70E041F6">
                  <w:pPr>
                    <w:keepLines/>
                    <w:snapToGrid w:val="0"/>
                    <w:jc w:val="center"/>
                    <w:rPr>
                      <w:rFonts w:hint="eastAsia"/>
                      <w:b w:val="0"/>
                      <w:bCs/>
                      <w:smallCaps w:val="0"/>
                      <w:color w:val="000000" w:themeColor="text1"/>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2000</w:t>
                  </w:r>
                </w:p>
                <w:p w14:paraId="5A19D697">
                  <w:pPr>
                    <w:keepLines/>
                    <w:snapToGrid w:val="0"/>
                    <w:jc w:val="center"/>
                    <w:rPr>
                      <w:rFonts w:hint="eastAsia" w:cs="宋体"/>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sz w:val="21"/>
                      <w:szCs w:val="21"/>
                      <w:highlight w:val="none"/>
                      <w:lang w:val="en-US" w:eastAsia="zh-CN"/>
                      <w14:textFill>
                        <w14:solidFill>
                          <w14:schemeClr w14:val="tx1"/>
                        </w14:solidFill>
                      </w14:textFill>
                    </w:rPr>
                    <w:t>（无量纲）</w:t>
                  </w:r>
                </w:p>
              </w:tc>
            </w:tr>
          </w:tbl>
          <w:p w14:paraId="060008F0">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（5）监测计划</w:t>
            </w:r>
          </w:p>
          <w:p w14:paraId="7C29C66D">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bookmarkEnd w:id="8"/>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8</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废气</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监测计划</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249"/>
              <w:gridCol w:w="3073"/>
              <w:gridCol w:w="937"/>
            </w:tblGrid>
            <w:tr w14:paraId="6D1A7B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72" w:type="pct"/>
                  <w:vAlign w:val="center"/>
                </w:tcPr>
                <w:p w14:paraId="3864A81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w:t>
                  </w:r>
                  <w:r>
                    <w:rPr>
                      <w:rFonts w:hint="eastAsia" w:ascii="Times New Roman" w:hAnsi="Times New Roman" w:eastAsia="宋体" w:cs="宋体"/>
                      <w:b/>
                      <w:color w:val="000000" w:themeColor="text1"/>
                      <w:sz w:val="21"/>
                      <w:szCs w:val="21"/>
                      <w:highlight w:val="none"/>
                      <w14:textFill>
                        <w14:solidFill>
                          <w14:schemeClr w14:val="tx1"/>
                        </w14:solidFill>
                      </w14:textFill>
                    </w:rPr>
                    <w:t>点位</w:t>
                  </w:r>
                </w:p>
              </w:tc>
              <w:tc>
                <w:tcPr>
                  <w:tcW w:w="1860" w:type="pct"/>
                  <w:vAlign w:val="center"/>
                </w:tcPr>
                <w:p w14:paraId="71BE5DF2">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监测因子</w:t>
                  </w:r>
                </w:p>
              </w:tc>
              <w:tc>
                <w:tcPr>
                  <w:tcW w:w="567" w:type="pct"/>
                  <w:vAlign w:val="center"/>
                </w:tcPr>
                <w:p w14:paraId="3664B762">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监测频次</w:t>
                  </w:r>
                </w:p>
              </w:tc>
            </w:tr>
            <w:tr w14:paraId="6AACEF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72" w:type="pct"/>
                  <w:vAlign w:val="center"/>
                </w:tcPr>
                <w:p w14:paraId="1B43E5E3">
                  <w:pPr>
                    <w:snapToGrid w:val="0"/>
                    <w:jc w:val="cente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kern w:val="0"/>
                      <w:sz w:val="21"/>
                      <w:szCs w:val="21"/>
                      <w:highlight w:val="none"/>
                      <w14:textFill>
                        <w14:solidFill>
                          <w14:schemeClr w14:val="tx1"/>
                        </w14:solidFill>
                      </w14:textFill>
                    </w:rPr>
                    <w:t>采样</w:t>
                  </w:r>
                  <w:r>
                    <w:rPr>
                      <w:rFonts w:hint="eastAsia" w:cs="宋体"/>
                      <w:color w:val="000000" w:themeColor="text1"/>
                      <w:kern w:val="0"/>
                      <w:sz w:val="21"/>
                      <w:szCs w:val="21"/>
                      <w:highlight w:val="none"/>
                      <w:lang w:val="en-US" w:eastAsia="zh-CN"/>
                      <w14:textFill>
                        <w14:solidFill>
                          <w14:schemeClr w14:val="tx1"/>
                        </w14:solidFill>
                      </w14:textFill>
                    </w:rPr>
                    <w:t>口</w:t>
                  </w:r>
                </w:p>
              </w:tc>
              <w:tc>
                <w:tcPr>
                  <w:tcW w:w="1860" w:type="pct"/>
                  <w:vAlign w:val="center"/>
                </w:tcPr>
                <w:p w14:paraId="06C3FA0E">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氨、硫化氢、臭气浓度</w:t>
                  </w:r>
                </w:p>
              </w:tc>
              <w:tc>
                <w:tcPr>
                  <w:tcW w:w="567" w:type="pct"/>
                  <w:vAlign w:val="center"/>
                </w:tcPr>
                <w:p w14:paraId="3F328694">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年</w:t>
                  </w:r>
                </w:p>
              </w:tc>
            </w:tr>
            <w:tr w14:paraId="485F91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72" w:type="pct"/>
                  <w:vAlign w:val="center"/>
                </w:tcPr>
                <w:p w14:paraId="0E9BB54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厂界上风向1个，下风向3个监测点</w:t>
                  </w:r>
                </w:p>
              </w:tc>
              <w:tc>
                <w:tcPr>
                  <w:tcW w:w="1860" w:type="pct"/>
                  <w:vAlign w:val="center"/>
                </w:tcPr>
                <w:p w14:paraId="5D41F585">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氨、硫化氢、臭气浓度</w:t>
                  </w:r>
                </w:p>
              </w:tc>
              <w:tc>
                <w:tcPr>
                  <w:tcW w:w="567" w:type="pct"/>
                  <w:vAlign w:val="center"/>
                </w:tcPr>
                <w:p w14:paraId="29F51C46">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半年</w:t>
                  </w:r>
                </w:p>
              </w:tc>
            </w:tr>
          </w:tbl>
          <w:p w14:paraId="30D91FAD">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6</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非正常</w:t>
            </w:r>
            <w:r>
              <w:rPr>
                <w:rFonts w:ascii="Times New Roman" w:hAnsi="Times New Roman" w:eastAsia="宋体" w:cs="宋体"/>
                <w:color w:val="000000" w:themeColor="text1"/>
                <w:sz w:val="21"/>
                <w:szCs w:val="21"/>
                <w:highlight w:val="none"/>
                <w14:textFill>
                  <w14:solidFill>
                    <w14:schemeClr w14:val="tx1"/>
                  </w14:solidFill>
                </w14:textFill>
              </w:rPr>
              <w:t>情况排放</w:t>
            </w:r>
          </w:p>
          <w:p w14:paraId="70008DDC">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本项目非正常排放情况指</w:t>
            </w:r>
            <w:r>
              <w:rPr>
                <w:rFonts w:hint="eastAsia" w:ascii="Times New Roman" w:hAnsi="Times New Roman" w:eastAsia="宋体" w:cs="宋体"/>
                <w:color w:val="000000" w:themeColor="text1"/>
                <w:sz w:val="21"/>
                <w:szCs w:val="21"/>
                <w:highlight w:val="none"/>
                <w14:textFill>
                  <w14:solidFill>
                    <w14:schemeClr w14:val="tx1"/>
                  </w14:solidFill>
                </w14:textFill>
              </w:rPr>
              <w:t>废气处理设施</w:t>
            </w:r>
            <w:r>
              <w:rPr>
                <w:rFonts w:ascii="Times New Roman" w:hAnsi="Times New Roman" w:eastAsia="宋体" w:cs="宋体"/>
                <w:color w:val="000000" w:themeColor="text1"/>
                <w:sz w:val="21"/>
                <w:szCs w:val="21"/>
                <w:highlight w:val="none"/>
                <w14:textFill>
                  <w14:solidFill>
                    <w14:schemeClr w14:val="tx1"/>
                  </w14:solidFill>
                </w14:textFill>
              </w:rPr>
              <w:t>发生故障、</w:t>
            </w:r>
            <w:r>
              <w:rPr>
                <w:rFonts w:hint="eastAsia" w:ascii="Times New Roman" w:hAnsi="Times New Roman" w:eastAsia="宋体" w:cs="宋体"/>
                <w:color w:val="000000" w:themeColor="text1"/>
                <w:sz w:val="21"/>
                <w:szCs w:val="21"/>
                <w:highlight w:val="none"/>
                <w14:textFill>
                  <w14:solidFill>
                    <w14:schemeClr w14:val="tx1"/>
                  </w14:solidFill>
                </w14:textFill>
              </w:rPr>
              <w:t>设备</w:t>
            </w:r>
            <w:r>
              <w:rPr>
                <w:rFonts w:ascii="Times New Roman" w:hAnsi="Times New Roman" w:eastAsia="宋体" w:cs="宋体"/>
                <w:color w:val="000000" w:themeColor="text1"/>
                <w:sz w:val="21"/>
                <w:szCs w:val="21"/>
                <w:highlight w:val="none"/>
                <w14:textFill>
                  <w14:solidFill>
                    <w14:schemeClr w14:val="tx1"/>
                  </w14:solidFill>
                </w14:textFill>
              </w:rPr>
              <w:t>不定时维护等原因导致处理效率降低，</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主要为FQ-1排气筒，</w:t>
            </w:r>
            <w:r>
              <w:rPr>
                <w:rFonts w:ascii="Times New Roman" w:hAnsi="Times New Roman" w:eastAsia="宋体" w:cs="宋体"/>
                <w:color w:val="000000" w:themeColor="text1"/>
                <w:sz w:val="21"/>
                <w:szCs w:val="21"/>
                <w:highlight w:val="none"/>
                <w14:textFill>
                  <w14:solidFill>
                    <w14:schemeClr w14:val="tx1"/>
                  </w14:solidFill>
                </w14:textFill>
              </w:rPr>
              <w:t>本次以降低至0%计。</w:t>
            </w:r>
          </w:p>
          <w:p w14:paraId="197493BA">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9</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非正常排放</w:t>
            </w:r>
            <w:r>
              <w:rPr>
                <w:rFonts w:ascii="Times New Roman" w:hAnsi="Times New Roman" w:eastAsia="宋体" w:cs="宋体"/>
                <w:b/>
                <w:bCs/>
                <w:color w:val="000000" w:themeColor="text1"/>
                <w:spacing w:val="-4"/>
                <w:sz w:val="21"/>
                <w:szCs w:val="21"/>
                <w:highlight w:val="none"/>
                <w14:textFill>
                  <w14:solidFill>
                    <w14:schemeClr w14:val="tx1"/>
                  </w14:solidFill>
                </w14:textFill>
              </w:rPr>
              <w:t>参数表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942"/>
              <w:gridCol w:w="1350"/>
              <w:gridCol w:w="1102"/>
              <w:gridCol w:w="1102"/>
              <w:gridCol w:w="1102"/>
              <w:gridCol w:w="1102"/>
              <w:gridCol w:w="1559"/>
            </w:tblGrid>
            <w:tr w14:paraId="631E91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570" w:type="pct"/>
                  <w:vMerge w:val="restart"/>
                  <w:vAlign w:val="center"/>
                </w:tcPr>
                <w:p w14:paraId="1057C30A">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非正常</w:t>
                  </w:r>
                </w:p>
                <w:p w14:paraId="0C475A97">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排放源</w:t>
                  </w:r>
                </w:p>
              </w:tc>
              <w:tc>
                <w:tcPr>
                  <w:tcW w:w="817" w:type="pct"/>
                  <w:vMerge w:val="restart"/>
                  <w:vAlign w:val="center"/>
                </w:tcPr>
                <w:p w14:paraId="2C463BE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污染物</w:t>
                  </w:r>
                </w:p>
              </w:tc>
              <w:tc>
                <w:tcPr>
                  <w:tcW w:w="667" w:type="pct"/>
                  <w:vAlign w:val="center"/>
                </w:tcPr>
                <w:p w14:paraId="242305E2">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频次</w:t>
                  </w:r>
                </w:p>
              </w:tc>
              <w:tc>
                <w:tcPr>
                  <w:tcW w:w="667" w:type="pct"/>
                  <w:vAlign w:val="center"/>
                </w:tcPr>
                <w:p w14:paraId="768B1E20">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排放浓度</w:t>
                  </w:r>
                </w:p>
              </w:tc>
              <w:tc>
                <w:tcPr>
                  <w:tcW w:w="667" w:type="pct"/>
                  <w:vAlign w:val="center"/>
                </w:tcPr>
                <w:p w14:paraId="74B506FB">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持续时间</w:t>
                  </w:r>
                </w:p>
              </w:tc>
              <w:tc>
                <w:tcPr>
                  <w:tcW w:w="667" w:type="pct"/>
                  <w:vAlign w:val="center"/>
                </w:tcPr>
                <w:p w14:paraId="36C013CC">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排放量</w:t>
                  </w:r>
                </w:p>
              </w:tc>
              <w:tc>
                <w:tcPr>
                  <w:tcW w:w="943" w:type="pct"/>
                  <w:vMerge w:val="restart"/>
                  <w:vAlign w:val="center"/>
                </w:tcPr>
                <w:p w14:paraId="445E1B1F">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措施</w:t>
                  </w:r>
                </w:p>
              </w:tc>
            </w:tr>
            <w:tr w14:paraId="3FE047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570" w:type="pct"/>
                  <w:vMerge w:val="continue"/>
                  <w:vAlign w:val="center"/>
                </w:tcPr>
                <w:p w14:paraId="1ED45F7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817" w:type="pct"/>
                  <w:vMerge w:val="continue"/>
                  <w:vAlign w:val="center"/>
                </w:tcPr>
                <w:p w14:paraId="15F9AF6D">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c>
                <w:tcPr>
                  <w:tcW w:w="667" w:type="pct"/>
                  <w:vAlign w:val="center"/>
                </w:tcPr>
                <w:p w14:paraId="75F9864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次</w:t>
                  </w:r>
                  <w:r>
                    <w:rPr>
                      <w:rFonts w:hint="eastAsia" w:ascii="Times New Roman" w:hAnsi="Times New Roman" w:eastAsia="宋体" w:cs="宋体"/>
                      <w:color w:val="000000" w:themeColor="text1"/>
                      <w:sz w:val="21"/>
                      <w:szCs w:val="21"/>
                      <w:highlight w:val="none"/>
                      <w14:textFill>
                        <w14:solidFill>
                          <w14:schemeClr w14:val="tx1"/>
                        </w14:solidFill>
                      </w14:textFill>
                    </w:rPr>
                    <w:t>/年</w:t>
                  </w:r>
                </w:p>
              </w:tc>
              <w:tc>
                <w:tcPr>
                  <w:tcW w:w="667" w:type="pct"/>
                  <w:vAlign w:val="center"/>
                </w:tcPr>
                <w:p w14:paraId="09260D7B">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mg/m</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3</w:t>
                  </w:r>
                </w:p>
              </w:tc>
              <w:tc>
                <w:tcPr>
                  <w:tcW w:w="667" w:type="pct"/>
                  <w:vAlign w:val="center"/>
                </w:tcPr>
                <w:p w14:paraId="7736D641">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h</w:t>
                  </w:r>
                </w:p>
              </w:tc>
              <w:tc>
                <w:tcPr>
                  <w:tcW w:w="667" w:type="pct"/>
                  <w:vAlign w:val="center"/>
                </w:tcPr>
                <w:p w14:paraId="3AEBF66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kg</w:t>
                  </w:r>
                </w:p>
              </w:tc>
              <w:tc>
                <w:tcPr>
                  <w:tcW w:w="943" w:type="pct"/>
                  <w:vMerge w:val="continue"/>
                  <w:vAlign w:val="center"/>
                </w:tcPr>
                <w:p w14:paraId="1CD89620">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p>
              </w:tc>
            </w:tr>
            <w:tr w14:paraId="576F19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570" w:type="pct"/>
                  <w:vMerge w:val="restart"/>
                  <w:vAlign w:val="center"/>
                </w:tcPr>
                <w:p w14:paraId="3E51983F">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FQ-</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1</w:t>
                  </w:r>
                </w:p>
              </w:tc>
              <w:tc>
                <w:tcPr>
                  <w:tcW w:w="817" w:type="pct"/>
                  <w:vAlign w:val="center"/>
                </w:tcPr>
                <w:p w14:paraId="1A535BF0">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w:t>
                  </w:r>
                </w:p>
              </w:tc>
              <w:tc>
                <w:tcPr>
                  <w:tcW w:w="667" w:type="pct"/>
                  <w:vMerge w:val="restart"/>
                  <w:vAlign w:val="center"/>
                </w:tcPr>
                <w:p w14:paraId="30B5739F">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w:t>
                  </w:r>
                </w:p>
              </w:tc>
              <w:tc>
                <w:tcPr>
                  <w:tcW w:w="667" w:type="pct"/>
                  <w:vAlign w:val="center"/>
                </w:tcPr>
                <w:p w14:paraId="5013504D">
                  <w:pPr>
                    <w:snapToGrid w:val="0"/>
                    <w:jc w:val="center"/>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43.122</w:t>
                  </w:r>
                </w:p>
              </w:tc>
              <w:tc>
                <w:tcPr>
                  <w:tcW w:w="667" w:type="pct"/>
                  <w:vMerge w:val="restart"/>
                  <w:vAlign w:val="center"/>
                </w:tcPr>
                <w:p w14:paraId="3B69A179">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0.5</w:t>
                  </w:r>
                </w:p>
              </w:tc>
              <w:tc>
                <w:tcPr>
                  <w:tcW w:w="667" w:type="pct"/>
                  <w:vAlign w:val="center"/>
                </w:tcPr>
                <w:p w14:paraId="38B7323C">
                  <w:pPr>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0.43</w:t>
                  </w:r>
                </w:p>
              </w:tc>
              <w:tc>
                <w:tcPr>
                  <w:tcW w:w="943" w:type="pct"/>
                  <w:vMerge w:val="restart"/>
                  <w:vAlign w:val="center"/>
                </w:tcPr>
                <w:p w14:paraId="16E2D360">
                  <w:pPr>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设备故障未修复之前不得生产</w:t>
                  </w:r>
                </w:p>
              </w:tc>
            </w:tr>
            <w:tr w14:paraId="7DAA97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570" w:type="pct"/>
                  <w:vMerge w:val="continue"/>
                  <w:vAlign w:val="center"/>
                </w:tcPr>
                <w:p w14:paraId="45FFFB5A">
                  <w:pPr>
                    <w:snapToGrid w:val="0"/>
                    <w:jc w:val="center"/>
                    <w:rPr>
                      <w:rFonts w:hint="eastAsia" w:ascii="Times New Roman" w:hAnsi="Times New Roman" w:eastAsia="宋体" w:cs="宋体"/>
                      <w:color w:val="000000" w:themeColor="text1"/>
                      <w:kern w:val="0"/>
                      <w:sz w:val="21"/>
                      <w:szCs w:val="21"/>
                      <w:highlight w:val="none"/>
                      <w14:textFill>
                        <w14:solidFill>
                          <w14:schemeClr w14:val="tx1"/>
                        </w14:solidFill>
                      </w14:textFill>
                    </w:rPr>
                  </w:pPr>
                </w:p>
              </w:tc>
              <w:tc>
                <w:tcPr>
                  <w:tcW w:w="817" w:type="pct"/>
                  <w:vAlign w:val="center"/>
                </w:tcPr>
                <w:p w14:paraId="0C9B2C02">
                  <w:pPr>
                    <w:tabs>
                      <w:tab w:val="left" w:pos="960"/>
                    </w:tabs>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硫化氢</w:t>
                  </w:r>
                </w:p>
              </w:tc>
              <w:tc>
                <w:tcPr>
                  <w:tcW w:w="667" w:type="pct"/>
                  <w:vMerge w:val="continue"/>
                  <w:vAlign w:val="center"/>
                </w:tcPr>
                <w:p w14:paraId="14CE275C">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667" w:type="pct"/>
                  <w:vAlign w:val="center"/>
                </w:tcPr>
                <w:p w14:paraId="3B7990B0">
                  <w:pPr>
                    <w:snapToGrid w:val="0"/>
                    <w:jc w:val="center"/>
                    <w:rPr>
                      <w:rFonts w:hint="default"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3.844</w:t>
                  </w:r>
                </w:p>
              </w:tc>
              <w:tc>
                <w:tcPr>
                  <w:tcW w:w="667" w:type="pct"/>
                  <w:vMerge w:val="continue"/>
                  <w:vAlign w:val="center"/>
                </w:tcPr>
                <w:p w14:paraId="5F5243EC">
                  <w:pPr>
                    <w:snapToGrid w:val="0"/>
                    <w:jc w:val="center"/>
                    <w:rPr>
                      <w:rFonts w:hint="eastAsia" w:cs="宋体"/>
                      <w:color w:val="000000" w:themeColor="text1"/>
                      <w:sz w:val="21"/>
                      <w:szCs w:val="21"/>
                      <w:highlight w:val="none"/>
                      <w:lang w:val="en-US" w:eastAsia="zh-CN"/>
                      <w14:textFill>
                        <w14:solidFill>
                          <w14:schemeClr w14:val="tx1"/>
                        </w14:solidFill>
                      </w14:textFill>
                    </w:rPr>
                  </w:pPr>
                </w:p>
              </w:tc>
              <w:tc>
                <w:tcPr>
                  <w:tcW w:w="667" w:type="pct"/>
                  <w:vAlign w:val="center"/>
                </w:tcPr>
                <w:p w14:paraId="71916FC1">
                  <w:pPr>
                    <w:snapToGrid w:val="0"/>
                    <w:jc w:val="center"/>
                    <w:rPr>
                      <w:rFonts w:hint="default"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0.04</w:t>
                  </w:r>
                </w:p>
              </w:tc>
              <w:tc>
                <w:tcPr>
                  <w:tcW w:w="943" w:type="pct"/>
                  <w:vMerge w:val="continue"/>
                  <w:vAlign w:val="center"/>
                </w:tcPr>
                <w:p w14:paraId="5B2756D8">
                  <w:pPr>
                    <w:snapToGrid w:val="0"/>
                    <w:jc w:val="center"/>
                    <w:rPr>
                      <w:rFonts w:hint="eastAsia" w:ascii="Times New Roman" w:hAnsi="Times New Roman" w:eastAsia="宋体" w:cs="宋体"/>
                      <w:bCs/>
                      <w:color w:val="000000" w:themeColor="text1"/>
                      <w:sz w:val="21"/>
                      <w:szCs w:val="21"/>
                      <w:highlight w:val="none"/>
                      <w14:textFill>
                        <w14:solidFill>
                          <w14:schemeClr w14:val="tx1"/>
                        </w14:solidFill>
                      </w14:textFill>
                    </w:rPr>
                  </w:pPr>
                </w:p>
              </w:tc>
            </w:tr>
          </w:tbl>
          <w:p w14:paraId="2954E888">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7</w:t>
            </w:r>
            <w:r>
              <w:rPr>
                <w:rFonts w:ascii="Times New Roman" w:hAnsi="Times New Roman" w:eastAsia="宋体" w:cs="宋体"/>
                <w:color w:val="000000" w:themeColor="text1"/>
                <w:sz w:val="21"/>
                <w:szCs w:val="21"/>
                <w:highlight w:val="none"/>
                <w14:textFill>
                  <w14:solidFill>
                    <w14:schemeClr w14:val="tx1"/>
                  </w14:solidFill>
                </w14:textFill>
              </w:rPr>
              <w:t>）大气防护距离</w:t>
            </w:r>
          </w:p>
          <w:p w14:paraId="3AF031C3">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项目厂界浓度满足大气污染物厂界浓度限值，且厂界外大气污染物短期贡献浓度低于环境质量浓度限值，因此无需设置大气环境防护距离。</w:t>
            </w:r>
          </w:p>
          <w:p w14:paraId="49278C52">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8</w:t>
            </w:r>
            <w:r>
              <w:rPr>
                <w:rFonts w:ascii="Times New Roman" w:hAnsi="Times New Roman" w:eastAsia="宋体" w:cs="宋体"/>
                <w:color w:val="000000" w:themeColor="text1"/>
                <w:sz w:val="21"/>
                <w:szCs w:val="21"/>
                <w:highlight w:val="none"/>
                <w14:textFill>
                  <w14:solidFill>
                    <w14:schemeClr w14:val="tx1"/>
                  </w14:solidFill>
                </w14:textFill>
              </w:rPr>
              <w:t>）废气排放环境影响分析</w:t>
            </w:r>
          </w:p>
          <w:p w14:paraId="48C23BA3">
            <w:pPr>
              <w:autoSpaceDE w:val="0"/>
              <w:autoSpaceDN w:val="0"/>
              <w:spacing w:line="360" w:lineRule="auto"/>
              <w:ind w:firstLine="420" w:firstLineChars="200"/>
              <w:jc w:val="left"/>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常州市目前属于环境空气质量不达标区，为改善大气环境质量，常州市印发、实施了多项改善大气环境质量、强化废气排放管控的方案和措施，在积极采取管控措施后，常州市环境空气质量将得到持续改善。本项目厂界外500米范围内环境敏感目标见表3.2-1。本项目排放的大气污染物为</w:t>
            </w:r>
            <w:r>
              <w:rPr>
                <w:rFonts w:hint="eastAsia" w:cs="宋体"/>
                <w:color w:val="000000" w:themeColor="text1"/>
                <w:sz w:val="21"/>
                <w:szCs w:val="21"/>
                <w:highlight w:val="none"/>
                <w:lang w:val="en-US" w:eastAsia="zh-CN"/>
                <w14:textFill>
                  <w14:solidFill>
                    <w14:schemeClr w14:val="tx1"/>
                  </w14:solidFill>
                </w14:textFill>
              </w:rPr>
              <w:t>氨、硫化氢、臭气浓度</w:t>
            </w:r>
            <w:r>
              <w:rPr>
                <w:rFonts w:hint="eastAsia" w:ascii="Times New Roman" w:hAnsi="Times New Roman" w:eastAsia="宋体" w:cs="宋体"/>
                <w:color w:val="000000" w:themeColor="text1"/>
                <w:sz w:val="21"/>
                <w:szCs w:val="21"/>
                <w:highlight w:val="none"/>
                <w14:textFill>
                  <w14:solidFill>
                    <w14:schemeClr w14:val="tx1"/>
                  </w14:solidFill>
                </w14:textFill>
              </w:rPr>
              <w:t>，针对各产污环节，均采取了合适可行的污染治理措施，经处理后的污染物排放强度较低。故本项目废气排放的环境影响较小</w:t>
            </w:r>
            <w:r>
              <w:rPr>
                <w:rFonts w:hint="eastAsia" w:cs="宋体"/>
                <w:color w:val="000000" w:themeColor="text1"/>
                <w:kern w:val="0"/>
                <w:sz w:val="21"/>
                <w:szCs w:val="21"/>
                <w:highlight w:val="none"/>
                <w:lang w:val="en-US" w:eastAsia="zh-CN"/>
                <w14:textFill>
                  <w14:solidFill>
                    <w14:schemeClr w14:val="tx1"/>
                  </w14:solidFill>
                </w14:textFill>
              </w:rPr>
              <w:t>。</w:t>
            </w:r>
          </w:p>
          <w:p w14:paraId="0FD43680">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2、</w:t>
            </w:r>
            <w:r>
              <w:rPr>
                <w:rFonts w:ascii="Times New Roman" w:hAnsi="Times New Roman" w:eastAsia="宋体" w:cs="宋体"/>
                <w:b/>
                <w:color w:val="000000" w:themeColor="text1"/>
                <w:sz w:val="21"/>
                <w:szCs w:val="21"/>
                <w:highlight w:val="none"/>
                <w14:textFill>
                  <w14:solidFill>
                    <w14:schemeClr w14:val="tx1"/>
                  </w14:solidFill>
                </w14:textFill>
              </w:rPr>
              <w:t>废水</w:t>
            </w:r>
          </w:p>
          <w:p w14:paraId="7DFA1C2C">
            <w:pPr>
              <w:autoSpaceDE w:val="0"/>
              <w:autoSpaceDN w:val="0"/>
              <w:spacing w:line="360" w:lineRule="auto"/>
              <w:ind w:firstLine="420" w:firstLineChars="200"/>
              <w:jc w:val="left"/>
              <w:rPr>
                <w:rFonts w:hint="eastAsia" w:cs="宋体"/>
                <w:color w:val="000000" w:themeColor="text1"/>
                <w:kern w:val="0"/>
                <w:sz w:val="21"/>
                <w:szCs w:val="21"/>
                <w:highlight w:val="none"/>
                <w:lang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2.1、</w:t>
            </w:r>
            <w:r>
              <w:rPr>
                <w:rFonts w:hint="eastAsia" w:ascii="Times New Roman" w:hAnsi="Times New Roman" w:eastAsia="宋体" w:cs="宋体"/>
                <w:color w:val="000000" w:themeColor="text1"/>
                <w:kern w:val="0"/>
                <w:sz w:val="21"/>
                <w:szCs w:val="21"/>
                <w:highlight w:val="none"/>
                <w14:textFill>
                  <w14:solidFill>
                    <w14:schemeClr w14:val="tx1"/>
                  </w14:solidFill>
                </w14:textFill>
              </w:rPr>
              <w:t>产生情况</w:t>
            </w:r>
            <w:r>
              <w:rPr>
                <w:rFonts w:hint="eastAsia" w:cs="宋体"/>
                <w:color w:val="000000" w:themeColor="text1"/>
                <w:kern w:val="0"/>
                <w:sz w:val="21"/>
                <w:szCs w:val="21"/>
                <w:highlight w:val="none"/>
                <w:lang w:eastAsia="zh-CN"/>
                <w14:textFill>
                  <w14:solidFill>
                    <w14:schemeClr w14:val="tx1"/>
                  </w14:solidFill>
                </w14:textFill>
              </w:rPr>
              <w:t>：</w:t>
            </w:r>
          </w:p>
          <w:p w14:paraId="7F063F3B">
            <w:pPr>
              <w:keepNext w:val="0"/>
              <w:keepLines w:val="0"/>
              <w:pageBreakBefore w:val="0"/>
              <w:widowControl w:val="0"/>
              <w:numPr>
                <w:ilvl w:val="0"/>
                <w:numId w:val="0"/>
              </w:numPr>
              <w:tabs>
                <w:tab w:val="left" w:pos="2126"/>
              </w:tabs>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（1）生活用水：根据水平衡分析可知，生活用水量为105t/a。生活污水排放系数按0.8计，则污水排放量为84t/a。</w:t>
            </w:r>
            <w:r>
              <w:rPr>
                <w:rFonts w:hint="eastAsia" w:cs="宋体"/>
                <w:color w:val="000000" w:themeColor="text1"/>
                <w:sz w:val="21"/>
                <w:szCs w:val="21"/>
                <w:highlight w:val="none"/>
                <w:lang w:val="en-US" w:eastAsia="zh-CN"/>
                <w14:textFill>
                  <w14:solidFill>
                    <w14:schemeClr w14:val="tx1"/>
                  </w14:solidFill>
                </w14:textFill>
              </w:rPr>
              <w:t>全厂</w:t>
            </w:r>
            <w:r>
              <w:rPr>
                <w:rFonts w:hint="eastAsia" w:ascii="Times New Roman" w:hAnsi="Times New Roman" w:cs="宋体"/>
                <w:color w:val="000000" w:themeColor="text1"/>
                <w:sz w:val="21"/>
                <w:szCs w:val="21"/>
                <w:highlight w:val="none"/>
                <w:lang w:val="en-US" w:eastAsia="zh-CN"/>
                <w14:textFill>
                  <w14:solidFill>
                    <w14:schemeClr w14:val="tx1"/>
                  </w14:solidFill>
                </w14:textFill>
              </w:rPr>
              <w:t>生活用水量为225t/a。</w:t>
            </w:r>
            <w:r>
              <w:rPr>
                <w:rFonts w:hint="eastAsia" w:cs="宋体"/>
                <w:color w:val="000000" w:themeColor="text1"/>
                <w:sz w:val="21"/>
                <w:szCs w:val="21"/>
                <w:highlight w:val="none"/>
                <w:lang w:val="en-US" w:eastAsia="zh-CN"/>
                <w14:textFill>
                  <w14:solidFill>
                    <w14:schemeClr w14:val="tx1"/>
                  </w14:solidFill>
                </w14:textFill>
              </w:rPr>
              <w:t>全厂生活污水排放量为180t/a。</w:t>
            </w:r>
          </w:p>
          <w:p w14:paraId="3C084A2E">
            <w:pPr>
              <w:keepNext w:val="0"/>
              <w:keepLines w:val="0"/>
              <w:pageBreakBefore w:val="0"/>
              <w:widowControl w:val="0"/>
              <w:numPr>
                <w:ilvl w:val="0"/>
                <w:numId w:val="0"/>
              </w:numPr>
              <w:tabs>
                <w:tab w:val="left" w:pos="2126"/>
              </w:tabs>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（2）屠宰用水：根据水平衡分析，则本项目屠宰废水排放量为65</w:t>
            </w:r>
            <w:r>
              <w:rPr>
                <w:rFonts w:hint="eastAsia" w:cs="宋体"/>
                <w:color w:val="000000" w:themeColor="text1"/>
                <w:sz w:val="21"/>
                <w:szCs w:val="21"/>
                <w:highlight w:val="none"/>
                <w:lang w:val="en-US" w:eastAsia="zh-CN"/>
                <w14:textFill>
                  <w14:solidFill>
                    <w14:schemeClr w14:val="tx1"/>
                  </w14:solidFill>
                </w14:textFill>
              </w:rPr>
              <w:t>87</w:t>
            </w:r>
            <w:r>
              <w:rPr>
                <w:rFonts w:hint="eastAsia" w:ascii="Times New Roman" w:hAnsi="Times New Roman" w:cs="宋体"/>
                <w:color w:val="000000" w:themeColor="text1"/>
                <w:sz w:val="21"/>
                <w:szCs w:val="21"/>
                <w:highlight w:val="none"/>
                <w:lang w:val="en-US" w:eastAsia="zh-CN"/>
                <w14:textFill>
                  <w14:solidFill>
                    <w14:schemeClr w14:val="tx1"/>
                  </w14:solidFill>
                </w14:textFill>
              </w:rPr>
              <w:t>t/a。</w:t>
            </w:r>
          </w:p>
          <w:p w14:paraId="339700C6">
            <w:pPr>
              <w:tabs>
                <w:tab w:val="left" w:pos="3435"/>
              </w:tabs>
              <w:autoSpaceDE w:val="0"/>
              <w:autoSpaceDN w:val="0"/>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本项目屠宰废水特征如下：①屠宰工段排出的废水含有大量的血液和蛋白质物质，废水呈鲜红色，BOD</w:t>
            </w:r>
            <w:r>
              <w:rPr>
                <w:rFonts w:hint="eastAsia" w:cs="宋体"/>
                <w:color w:val="000000" w:themeColor="text1"/>
                <w:sz w:val="21"/>
                <w:szCs w:val="21"/>
                <w:highlight w:val="none"/>
                <w:vertAlign w:val="subscript"/>
                <w:lang w:val="en-US" w:eastAsia="zh-CN"/>
                <w14:textFill>
                  <w14:solidFill>
                    <w14:schemeClr w14:val="tx1"/>
                  </w14:solidFill>
                </w14:textFill>
              </w:rPr>
              <w:t>5</w:t>
            </w:r>
            <w:r>
              <w:rPr>
                <w:rFonts w:hint="eastAsia" w:cs="宋体"/>
                <w:color w:val="000000" w:themeColor="text1"/>
                <w:sz w:val="21"/>
                <w:szCs w:val="21"/>
                <w:highlight w:val="none"/>
                <w:lang w:val="en-US" w:eastAsia="zh-CN"/>
                <w14:textFill>
                  <w14:solidFill>
                    <w14:schemeClr w14:val="tx1"/>
                  </w14:solidFill>
                </w14:textFill>
              </w:rPr>
              <w:t>值很高，其具体数值与血液是否回收有关。②内脏处理工段产生的废水主要含胃肠内的未消化物及排泄物，不论是否回收和加以局部处理，这些物质都要大量混入废水，因此本工段废水悬浮物和BOD</w:t>
            </w:r>
            <w:r>
              <w:rPr>
                <w:rFonts w:hint="eastAsia" w:cs="宋体"/>
                <w:color w:val="000000" w:themeColor="text1"/>
                <w:sz w:val="21"/>
                <w:szCs w:val="21"/>
                <w:highlight w:val="none"/>
                <w:vertAlign w:val="subscript"/>
                <w:lang w:val="en-US" w:eastAsia="zh-CN"/>
                <w14:textFill>
                  <w14:solidFill>
                    <w14:schemeClr w14:val="tx1"/>
                  </w14:solidFill>
                </w14:textFill>
              </w:rPr>
              <w:t>5</w:t>
            </w:r>
            <w:r>
              <w:rPr>
                <w:rFonts w:hint="eastAsia" w:cs="宋体"/>
                <w:color w:val="000000" w:themeColor="text1"/>
                <w:sz w:val="21"/>
                <w:szCs w:val="21"/>
                <w:highlight w:val="none"/>
                <w:lang w:val="en-US" w:eastAsia="zh-CN"/>
                <w14:textFill>
                  <w14:solidFill>
                    <w14:schemeClr w14:val="tx1"/>
                  </w14:solidFill>
                </w14:textFill>
              </w:rPr>
              <w:t>都较高，悬浮物以纤维物质为主。③解体、修正及冲淋工段是所排出的废水含大量的血液、动物脂和碎肉等，废水颜色较深，所含动物脂多呈微粒悬浮状，一般通过格栅池加以去除。</w:t>
            </w:r>
          </w:p>
          <w:p w14:paraId="116916A6">
            <w:pPr>
              <w:tabs>
                <w:tab w:val="left" w:pos="3435"/>
              </w:tabs>
              <w:autoSpaceDE w:val="0"/>
              <w:autoSpaceDN w:val="0"/>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（3）肉类加工废水：根据水平衡可知，肉类加工废水排放量为550.8t/a。</w:t>
            </w:r>
          </w:p>
          <w:p w14:paraId="77574031">
            <w:pPr>
              <w:tabs>
                <w:tab w:val="left" w:pos="3435"/>
              </w:tabs>
              <w:autoSpaceDE w:val="0"/>
              <w:autoSpaceDN w:val="0"/>
              <w:spacing w:line="360" w:lineRule="auto"/>
              <w:ind w:firstLine="420" w:firstLineChars="200"/>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屠宰废水、肉类加工废水水质</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参照《屠宰与肉类加工废水治理工程技术规范》（</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HJ2004-2010</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）表</w:t>
            </w:r>
            <w:r>
              <w:rPr>
                <w:rFonts w:hint="eastAsia" w:cs="宋体"/>
                <w:color w:val="000000" w:themeColor="text1"/>
                <w:sz w:val="21"/>
                <w:szCs w:val="21"/>
                <w:highlight w:val="none"/>
                <w:lang w:val="en-US" w:eastAsia="zh-CN"/>
                <w14:textFill>
                  <w14:solidFill>
                    <w14:schemeClr w14:val="tx1"/>
                  </w14:solidFill>
                </w14:textFill>
              </w:rPr>
              <w:t>3、表4</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水质浓度并类比同类企业</w:t>
            </w:r>
            <w:r>
              <w:rPr>
                <w:rFonts w:hint="eastAsia" w:cs="宋体"/>
                <w:color w:val="000000" w:themeColor="text1"/>
                <w:sz w:val="21"/>
                <w:szCs w:val="21"/>
                <w:highlight w:val="none"/>
                <w:lang w:val="en-US" w:eastAsia="zh-CN"/>
                <w14:textFill>
                  <w14:solidFill>
                    <w14:schemeClr w14:val="tx1"/>
                  </w14:solidFill>
                </w14:textFill>
              </w:rPr>
              <w:t>，同时参照《排放源统计调查产排污核算方法和系数手册135屠宰及肉类加工行业系数手册》（公告2021年第24号）同类企业的水质，本项目水质取最大值，综合确定本项目屠宰废水、肉类加工废水水质。</w:t>
            </w:r>
          </w:p>
          <w:p w14:paraId="6A618724">
            <w:pPr>
              <w:tabs>
                <w:tab w:val="left" w:pos="960"/>
              </w:tabs>
              <w:spacing w:beforeLines="50"/>
              <w:jc w:val="center"/>
              <w:rPr>
                <w:rFonts w:hint="default"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10</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cs="宋体"/>
                <w:b/>
                <w:bCs/>
                <w:color w:val="000000" w:themeColor="text1"/>
                <w:spacing w:val="-4"/>
                <w:sz w:val="21"/>
                <w:szCs w:val="21"/>
                <w:highlight w:val="none"/>
                <w:lang w:val="en-US" w:eastAsia="zh-CN"/>
                <w14:textFill>
                  <w14:solidFill>
                    <w14:schemeClr w14:val="tx1"/>
                  </w14:solidFill>
                </w14:textFill>
              </w:rPr>
              <w:t>屠宰废水、肉类加工废水水质设计取值一览表  单位：mg/L，pH值无量纲</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41"/>
              <w:gridCol w:w="979"/>
              <w:gridCol w:w="979"/>
              <w:gridCol w:w="979"/>
              <w:gridCol w:w="979"/>
              <w:gridCol w:w="979"/>
              <w:gridCol w:w="981"/>
              <w:gridCol w:w="571"/>
              <w:gridCol w:w="571"/>
            </w:tblGrid>
            <w:tr w14:paraId="124CE9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51" w:type="pct"/>
                  <w:vAlign w:val="center"/>
                </w:tcPr>
                <w:p w14:paraId="1FAAF04D">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文件名称</w:t>
                  </w:r>
                </w:p>
              </w:tc>
              <w:tc>
                <w:tcPr>
                  <w:tcW w:w="592" w:type="pct"/>
                  <w:vAlign w:val="center"/>
                </w:tcPr>
                <w:p w14:paraId="353DA94E">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pH值</w:t>
                  </w:r>
                </w:p>
              </w:tc>
              <w:tc>
                <w:tcPr>
                  <w:tcW w:w="592" w:type="pct"/>
                  <w:vAlign w:val="center"/>
                </w:tcPr>
                <w:p w14:paraId="56E5B530">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COD</w:t>
                  </w:r>
                </w:p>
              </w:tc>
              <w:tc>
                <w:tcPr>
                  <w:tcW w:w="592" w:type="pct"/>
                  <w:vAlign w:val="center"/>
                </w:tcPr>
                <w:p w14:paraId="44C7B452">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BOD</w:t>
                  </w:r>
                  <w:r>
                    <w:rPr>
                      <w:rFonts w:hint="eastAsia" w:ascii="Times New Roman" w:cs="宋体"/>
                      <w:b/>
                      <w:bCs/>
                      <w:color w:val="000000" w:themeColor="text1"/>
                      <w:sz w:val="21"/>
                      <w:szCs w:val="21"/>
                      <w:highlight w:val="none"/>
                      <w:vertAlign w:val="subscript"/>
                      <w:lang w:val="en-US" w:eastAsia="zh-CN"/>
                      <w14:textFill>
                        <w14:solidFill>
                          <w14:schemeClr w14:val="tx1"/>
                        </w14:solidFill>
                      </w14:textFill>
                    </w:rPr>
                    <w:t>5</w:t>
                  </w:r>
                </w:p>
              </w:tc>
              <w:tc>
                <w:tcPr>
                  <w:tcW w:w="592" w:type="pct"/>
                  <w:vAlign w:val="center"/>
                </w:tcPr>
                <w:p w14:paraId="58140F9C">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SS</w:t>
                  </w:r>
                </w:p>
              </w:tc>
              <w:tc>
                <w:tcPr>
                  <w:tcW w:w="592" w:type="pct"/>
                  <w:vAlign w:val="center"/>
                </w:tcPr>
                <w:p w14:paraId="29939BED">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NH</w:t>
                  </w:r>
                  <w:r>
                    <w:rPr>
                      <w:rFonts w:hint="eastAsia" w:ascii="Times New Roman" w:cs="宋体"/>
                      <w:b/>
                      <w:bCs/>
                      <w:color w:val="000000" w:themeColor="text1"/>
                      <w:sz w:val="21"/>
                      <w:szCs w:val="21"/>
                      <w:highlight w:val="none"/>
                      <w:vertAlign w:val="subscript"/>
                      <w:lang w:val="en-US" w:eastAsia="zh-CN"/>
                      <w14:textFill>
                        <w14:solidFill>
                          <w14:schemeClr w14:val="tx1"/>
                        </w14:solidFill>
                      </w14:textFill>
                    </w:rPr>
                    <w:t>3</w:t>
                  </w:r>
                  <w:r>
                    <w:rPr>
                      <w:rFonts w:hint="eastAsia" w:ascii="Times New Roman" w:cs="宋体"/>
                      <w:b/>
                      <w:bCs/>
                      <w:color w:val="000000" w:themeColor="text1"/>
                      <w:sz w:val="21"/>
                      <w:szCs w:val="21"/>
                      <w:highlight w:val="none"/>
                      <w:lang w:val="en-US" w:eastAsia="zh-CN"/>
                      <w14:textFill>
                        <w14:solidFill>
                          <w14:schemeClr w14:val="tx1"/>
                        </w14:solidFill>
                      </w14:textFill>
                    </w:rPr>
                    <w:t>-N</w:t>
                  </w:r>
                </w:p>
              </w:tc>
              <w:tc>
                <w:tcPr>
                  <w:tcW w:w="593" w:type="pct"/>
                  <w:vAlign w:val="center"/>
                </w:tcPr>
                <w:p w14:paraId="6E1B15F7">
                  <w:pPr>
                    <w:pStyle w:val="39"/>
                    <w:adjustRightInd/>
                    <w:spacing w:beforeLines="0" w:afterLines="0" w:line="240" w:lineRule="auto"/>
                    <w:rPr>
                      <w:rFonts w:hint="eastAsia"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动植物油</w:t>
                  </w:r>
                </w:p>
              </w:tc>
              <w:tc>
                <w:tcPr>
                  <w:tcW w:w="345" w:type="pct"/>
                  <w:vAlign w:val="center"/>
                </w:tcPr>
                <w:p w14:paraId="7009BB8A">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TP</w:t>
                  </w:r>
                </w:p>
              </w:tc>
              <w:tc>
                <w:tcPr>
                  <w:tcW w:w="345" w:type="pct"/>
                  <w:vAlign w:val="center"/>
                </w:tcPr>
                <w:p w14:paraId="0183247C">
                  <w:pPr>
                    <w:pStyle w:val="39"/>
                    <w:adjustRightInd/>
                    <w:spacing w:beforeLines="0" w:afterLines="0" w:line="240" w:lineRule="auto"/>
                    <w:rPr>
                      <w:rFonts w:hint="default" w:ascii="Times New Roman" w:hAnsi="Times New Roman" w:eastAsia="宋体" w:cs="宋体"/>
                      <w:b/>
                      <w:bCs/>
                      <w:color w:val="000000" w:themeColor="text1"/>
                      <w:sz w:val="21"/>
                      <w:szCs w:val="21"/>
                      <w:highlight w:val="none"/>
                      <w:lang w:val="en-US" w:eastAsia="zh-CN"/>
                      <w14:textFill>
                        <w14:solidFill>
                          <w14:schemeClr w14:val="tx1"/>
                        </w14:solidFill>
                      </w14:textFill>
                    </w:rPr>
                  </w:pPr>
                  <w:r>
                    <w:rPr>
                      <w:rFonts w:hint="eastAsia" w:ascii="Times New Roman" w:cs="宋体"/>
                      <w:b/>
                      <w:bCs/>
                      <w:color w:val="000000" w:themeColor="text1"/>
                      <w:sz w:val="21"/>
                      <w:szCs w:val="21"/>
                      <w:highlight w:val="none"/>
                      <w:lang w:val="en-US" w:eastAsia="zh-CN"/>
                      <w14:textFill>
                        <w14:solidFill>
                          <w14:schemeClr w14:val="tx1"/>
                        </w14:solidFill>
                      </w14:textFill>
                    </w:rPr>
                    <w:t>TN</w:t>
                  </w:r>
                </w:p>
              </w:tc>
            </w:tr>
            <w:tr w14:paraId="45B7E8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51" w:type="pct"/>
                  <w:vAlign w:val="center"/>
                </w:tcPr>
                <w:p w14:paraId="3FAA35D2">
                  <w:pPr>
                    <w:pStyle w:val="39"/>
                    <w:adjustRightInd/>
                    <w:spacing w:beforeLines="0" w:afterLines="0" w:line="240" w:lineRule="auto"/>
                    <w:rPr>
                      <w:rFonts w:hint="eastAsia"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HJ2004-2010</w:t>
                  </w:r>
                </w:p>
                <w:p w14:paraId="39D527AE">
                  <w:pPr>
                    <w:pStyle w:val="39"/>
                    <w:adjustRightInd/>
                    <w:spacing w:beforeLines="0" w:afterLines="0" w:line="240" w:lineRule="auto"/>
                    <w:rPr>
                      <w:rFonts w:hint="default"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表3</w:t>
                  </w:r>
                </w:p>
              </w:tc>
              <w:tc>
                <w:tcPr>
                  <w:tcW w:w="592" w:type="pct"/>
                  <w:vAlign w:val="center"/>
                </w:tcPr>
                <w:p w14:paraId="7C1A4610">
                  <w:pPr>
                    <w:pStyle w:val="39"/>
                    <w:adjustRightInd/>
                    <w:spacing w:beforeLines="0" w:afterLines="0" w:line="240" w:lineRule="auto"/>
                    <w:rPr>
                      <w:rFonts w:hint="default"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6.5~7.5</w:t>
                  </w:r>
                </w:p>
              </w:tc>
              <w:tc>
                <w:tcPr>
                  <w:tcW w:w="592" w:type="pct"/>
                  <w:vAlign w:val="center"/>
                </w:tcPr>
                <w:p w14:paraId="12E09FD8">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1500~2000</w:t>
                  </w:r>
                </w:p>
              </w:tc>
              <w:tc>
                <w:tcPr>
                  <w:tcW w:w="592" w:type="pct"/>
                  <w:vAlign w:val="center"/>
                </w:tcPr>
                <w:p w14:paraId="44081ADC">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750~1000</w:t>
                  </w:r>
                </w:p>
              </w:tc>
              <w:tc>
                <w:tcPr>
                  <w:tcW w:w="592" w:type="pct"/>
                  <w:vAlign w:val="center"/>
                </w:tcPr>
                <w:p w14:paraId="13F5E583">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750~1000</w:t>
                  </w:r>
                </w:p>
              </w:tc>
              <w:tc>
                <w:tcPr>
                  <w:tcW w:w="592" w:type="pct"/>
                  <w:vAlign w:val="center"/>
                </w:tcPr>
                <w:p w14:paraId="64DB8E8F">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50~150</w:t>
                  </w:r>
                </w:p>
              </w:tc>
              <w:tc>
                <w:tcPr>
                  <w:tcW w:w="593" w:type="pct"/>
                  <w:vAlign w:val="center"/>
                </w:tcPr>
                <w:p w14:paraId="10944595">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50~200</w:t>
                  </w:r>
                </w:p>
              </w:tc>
              <w:tc>
                <w:tcPr>
                  <w:tcW w:w="345" w:type="pct"/>
                  <w:vAlign w:val="center"/>
                </w:tcPr>
                <w:p w14:paraId="1DD25C5A">
                  <w:pPr>
                    <w:pStyle w:val="39"/>
                    <w:adjustRightInd/>
                    <w:spacing w:beforeLines="0" w:afterLines="0" w:line="240" w:lineRule="auto"/>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w:t>
                  </w:r>
                </w:p>
              </w:tc>
              <w:tc>
                <w:tcPr>
                  <w:tcW w:w="345" w:type="pct"/>
                  <w:vAlign w:val="center"/>
                </w:tcPr>
                <w:p w14:paraId="25B8E22A">
                  <w:pPr>
                    <w:pStyle w:val="39"/>
                    <w:adjustRightInd/>
                    <w:spacing w:beforeLines="0" w:afterLines="0" w:line="240" w:lineRule="auto"/>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w:t>
                  </w:r>
                </w:p>
              </w:tc>
            </w:tr>
            <w:tr w14:paraId="193B0E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51" w:type="pct"/>
                  <w:vAlign w:val="center"/>
                </w:tcPr>
                <w:p w14:paraId="7BA32309">
                  <w:pPr>
                    <w:pStyle w:val="39"/>
                    <w:adjustRightInd/>
                    <w:spacing w:beforeLines="0" w:afterLines="0" w:line="240" w:lineRule="auto"/>
                    <w:rPr>
                      <w:rFonts w:hint="default"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本项目屠宰废水</w:t>
                  </w:r>
                </w:p>
              </w:tc>
              <w:tc>
                <w:tcPr>
                  <w:tcW w:w="592" w:type="pct"/>
                  <w:vAlign w:val="center"/>
                </w:tcPr>
                <w:p w14:paraId="124B9CFD">
                  <w:pPr>
                    <w:pStyle w:val="39"/>
                    <w:adjustRightInd/>
                    <w:spacing w:beforeLines="0" w:afterLines="0" w:line="240" w:lineRule="auto"/>
                    <w:rPr>
                      <w:rFonts w:hint="default"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6.5~7.5</w:t>
                  </w:r>
                </w:p>
              </w:tc>
              <w:tc>
                <w:tcPr>
                  <w:tcW w:w="592" w:type="pct"/>
                  <w:vAlign w:val="center"/>
                </w:tcPr>
                <w:p w14:paraId="41C510F4">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2000</w:t>
                  </w:r>
                </w:p>
              </w:tc>
              <w:tc>
                <w:tcPr>
                  <w:tcW w:w="592" w:type="pct"/>
                  <w:vAlign w:val="center"/>
                </w:tcPr>
                <w:p w14:paraId="084A69E5">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1000</w:t>
                  </w:r>
                </w:p>
              </w:tc>
              <w:tc>
                <w:tcPr>
                  <w:tcW w:w="592" w:type="pct"/>
                  <w:vAlign w:val="center"/>
                </w:tcPr>
                <w:p w14:paraId="5FDC1CDE">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1000</w:t>
                  </w:r>
                </w:p>
              </w:tc>
              <w:tc>
                <w:tcPr>
                  <w:tcW w:w="592" w:type="pct"/>
                  <w:vAlign w:val="center"/>
                </w:tcPr>
                <w:p w14:paraId="647871EF">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150</w:t>
                  </w:r>
                </w:p>
              </w:tc>
              <w:tc>
                <w:tcPr>
                  <w:tcW w:w="593" w:type="pct"/>
                  <w:vAlign w:val="center"/>
                </w:tcPr>
                <w:p w14:paraId="5D2777F0">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200</w:t>
                  </w:r>
                </w:p>
              </w:tc>
              <w:tc>
                <w:tcPr>
                  <w:tcW w:w="345" w:type="pct"/>
                  <w:vAlign w:val="center"/>
                </w:tcPr>
                <w:p w14:paraId="3137036F">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14</w:t>
                  </w:r>
                </w:p>
              </w:tc>
              <w:tc>
                <w:tcPr>
                  <w:tcW w:w="345" w:type="pct"/>
                  <w:vAlign w:val="center"/>
                </w:tcPr>
                <w:p w14:paraId="0704D470">
                  <w:pPr>
                    <w:pStyle w:val="39"/>
                    <w:adjustRightInd/>
                    <w:spacing w:beforeLines="0" w:afterLines="0" w:line="240" w:lineRule="auto"/>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240</w:t>
                  </w:r>
                </w:p>
              </w:tc>
            </w:tr>
            <w:tr w14:paraId="41BAED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51" w:type="pct"/>
                  <w:shd w:val="clear" w:color="auto" w:fill="auto"/>
                  <w:vAlign w:val="center"/>
                </w:tcPr>
                <w:p w14:paraId="1BDA0CC1">
                  <w:pPr>
                    <w:pStyle w:val="39"/>
                    <w:adjustRightInd/>
                    <w:spacing w:beforeLines="0" w:afterLines="0" w:line="240" w:lineRule="auto"/>
                    <w:rPr>
                      <w:rFonts w:hint="eastAsia" w:ascii="Times New Roman" w:cs="宋体"/>
                      <w:b w:val="0"/>
                      <w:bCs w:val="0"/>
                      <w:color w:val="000000" w:themeColor="text1"/>
                      <w:sz w:val="21"/>
                      <w:szCs w:val="21"/>
                      <w:highlight w:val="none"/>
                      <w:lang w:val="en-US" w:eastAsia="zh-CN"/>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HJ2004-2010</w:t>
                  </w:r>
                </w:p>
                <w:p w14:paraId="4DF19D42">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表4</w:t>
                  </w:r>
                </w:p>
              </w:tc>
              <w:tc>
                <w:tcPr>
                  <w:tcW w:w="592" w:type="pct"/>
                  <w:shd w:val="clear" w:color="auto" w:fill="auto"/>
                  <w:vAlign w:val="center"/>
                </w:tcPr>
                <w:p w14:paraId="1E2A5820">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6.5~7.5</w:t>
                  </w:r>
                </w:p>
              </w:tc>
              <w:tc>
                <w:tcPr>
                  <w:tcW w:w="592" w:type="pct"/>
                  <w:shd w:val="clear" w:color="auto" w:fill="auto"/>
                  <w:vAlign w:val="center"/>
                </w:tcPr>
                <w:p w14:paraId="0525781A">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800~2000</w:t>
                  </w:r>
                </w:p>
              </w:tc>
              <w:tc>
                <w:tcPr>
                  <w:tcW w:w="592" w:type="pct"/>
                  <w:shd w:val="clear" w:color="auto" w:fill="auto"/>
                  <w:vAlign w:val="center"/>
                </w:tcPr>
                <w:p w14:paraId="51257E2B">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500~1000</w:t>
                  </w:r>
                </w:p>
              </w:tc>
              <w:tc>
                <w:tcPr>
                  <w:tcW w:w="592" w:type="pct"/>
                  <w:shd w:val="clear" w:color="auto" w:fill="auto"/>
                  <w:vAlign w:val="center"/>
                </w:tcPr>
                <w:p w14:paraId="2FBFEADB">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500~1000</w:t>
                  </w:r>
                </w:p>
              </w:tc>
              <w:tc>
                <w:tcPr>
                  <w:tcW w:w="592" w:type="pct"/>
                  <w:shd w:val="clear" w:color="auto" w:fill="auto"/>
                  <w:vAlign w:val="center"/>
                </w:tcPr>
                <w:p w14:paraId="330E80FA">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25~70</w:t>
                  </w:r>
                </w:p>
              </w:tc>
              <w:tc>
                <w:tcPr>
                  <w:tcW w:w="593" w:type="pct"/>
                  <w:shd w:val="clear" w:color="auto" w:fill="auto"/>
                  <w:vAlign w:val="center"/>
                </w:tcPr>
                <w:p w14:paraId="73899194">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30~100</w:t>
                  </w:r>
                </w:p>
              </w:tc>
              <w:tc>
                <w:tcPr>
                  <w:tcW w:w="345" w:type="pct"/>
                  <w:shd w:val="clear" w:color="auto" w:fill="auto"/>
                  <w:vAlign w:val="center"/>
                </w:tcPr>
                <w:p w14:paraId="4DB41591">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w:t>
                  </w:r>
                </w:p>
              </w:tc>
              <w:tc>
                <w:tcPr>
                  <w:tcW w:w="345" w:type="pct"/>
                  <w:shd w:val="clear" w:color="auto" w:fill="auto"/>
                  <w:vAlign w:val="center"/>
                </w:tcPr>
                <w:p w14:paraId="72B138B7">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w:t>
                  </w:r>
                </w:p>
              </w:tc>
            </w:tr>
            <w:tr w14:paraId="2009CE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51" w:type="pct"/>
                  <w:shd w:val="clear" w:color="auto" w:fill="auto"/>
                  <w:vAlign w:val="center"/>
                </w:tcPr>
                <w:p w14:paraId="61D56E94">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本项目肉类加工废水</w:t>
                  </w:r>
                </w:p>
              </w:tc>
              <w:tc>
                <w:tcPr>
                  <w:tcW w:w="592" w:type="pct"/>
                  <w:shd w:val="clear" w:color="auto" w:fill="auto"/>
                  <w:vAlign w:val="center"/>
                </w:tcPr>
                <w:p w14:paraId="0E04E28F">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6.5~7.5</w:t>
                  </w:r>
                </w:p>
              </w:tc>
              <w:tc>
                <w:tcPr>
                  <w:tcW w:w="592" w:type="pct"/>
                  <w:shd w:val="clear" w:color="auto" w:fill="auto"/>
                  <w:vAlign w:val="center"/>
                </w:tcPr>
                <w:p w14:paraId="304C3BBC">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2000</w:t>
                  </w:r>
                </w:p>
              </w:tc>
              <w:tc>
                <w:tcPr>
                  <w:tcW w:w="592" w:type="pct"/>
                  <w:shd w:val="clear" w:color="auto" w:fill="auto"/>
                  <w:vAlign w:val="center"/>
                </w:tcPr>
                <w:p w14:paraId="0EAFBDCE">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1000</w:t>
                  </w:r>
                </w:p>
              </w:tc>
              <w:tc>
                <w:tcPr>
                  <w:tcW w:w="592" w:type="pct"/>
                  <w:shd w:val="clear" w:color="auto" w:fill="auto"/>
                  <w:vAlign w:val="center"/>
                </w:tcPr>
                <w:p w14:paraId="695EE739">
                  <w:pPr>
                    <w:pStyle w:val="39"/>
                    <w:adjustRightInd/>
                    <w:spacing w:beforeLines="0" w:afterLines="0" w:line="240" w:lineRule="auto"/>
                    <w:rPr>
                      <w:rFonts w:hint="eastAsia"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1000</w:t>
                  </w:r>
                </w:p>
              </w:tc>
              <w:tc>
                <w:tcPr>
                  <w:tcW w:w="592" w:type="pct"/>
                  <w:shd w:val="clear" w:color="auto" w:fill="auto"/>
                  <w:vAlign w:val="center"/>
                </w:tcPr>
                <w:p w14:paraId="76629657">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70</w:t>
                  </w:r>
                </w:p>
              </w:tc>
              <w:tc>
                <w:tcPr>
                  <w:tcW w:w="593" w:type="pct"/>
                  <w:shd w:val="clear" w:color="auto" w:fill="auto"/>
                  <w:vAlign w:val="center"/>
                </w:tcPr>
                <w:p w14:paraId="3183E7DA">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100</w:t>
                  </w:r>
                </w:p>
              </w:tc>
              <w:tc>
                <w:tcPr>
                  <w:tcW w:w="345" w:type="pct"/>
                  <w:shd w:val="clear" w:color="auto" w:fill="auto"/>
                  <w:vAlign w:val="center"/>
                </w:tcPr>
                <w:p w14:paraId="76054994">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6.5</w:t>
                  </w:r>
                </w:p>
              </w:tc>
              <w:tc>
                <w:tcPr>
                  <w:tcW w:w="345" w:type="pct"/>
                  <w:shd w:val="clear" w:color="auto" w:fill="auto"/>
                  <w:vAlign w:val="center"/>
                </w:tcPr>
                <w:p w14:paraId="3309D8F2">
                  <w:pPr>
                    <w:pStyle w:val="39"/>
                    <w:adjustRightInd/>
                    <w:spacing w:beforeLines="0" w:afterLines="0" w:line="240" w:lineRule="auto"/>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cs="宋体"/>
                      <w:b w:val="0"/>
                      <w:bCs w:val="0"/>
                      <w:color w:val="000000" w:themeColor="text1"/>
                      <w:sz w:val="21"/>
                      <w:szCs w:val="21"/>
                      <w:highlight w:val="none"/>
                      <w:lang w:val="en-US" w:eastAsia="zh-CN"/>
                      <w14:textFill>
                        <w14:solidFill>
                          <w14:schemeClr w14:val="tx1"/>
                        </w14:solidFill>
                      </w14:textFill>
                    </w:rPr>
                    <w:t>110</w:t>
                  </w:r>
                </w:p>
              </w:tc>
            </w:tr>
          </w:tbl>
          <w:p w14:paraId="0F40C026">
            <w:pPr>
              <w:tabs>
                <w:tab w:val="left" w:pos="3435"/>
              </w:tabs>
              <w:autoSpaceDE w:val="0"/>
              <w:autoSpaceDN w:val="0"/>
              <w:spacing w:line="360" w:lineRule="auto"/>
              <w:ind w:firstLine="420" w:firstLineChars="200"/>
              <w:rPr>
                <w:rFonts w:hint="default" w:ascii="Times New Roman" w:hAnsi="Times New Roman" w:eastAsia="宋体" w:cs="宋体"/>
                <w:color w:val="000000" w:themeColor="text1"/>
                <w:sz w:val="21"/>
                <w:szCs w:val="21"/>
                <w:highlight w:val="none"/>
                <w:lang w:val="en-US"/>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（4）检疫废水：</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本项目对肉类产品进行微生物检验，在细菌培养、检测中会涉及一定的器皿清洁用水，约为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0.1m</w:t>
            </w:r>
            <w:r>
              <w:rPr>
                <w:rFonts w:hint="default" w:ascii="Times New Roman" w:hAnsi="Times New Roman" w:eastAsia="宋体" w:cs="宋体"/>
                <w:color w:val="000000" w:themeColor="text1"/>
                <w:sz w:val="21"/>
                <w:szCs w:val="21"/>
                <w:highlight w:val="none"/>
                <w:vertAlign w:val="superscript"/>
                <w:lang w:val="en-US" w:eastAsia="zh-CN"/>
                <w14:textFill>
                  <w14:solidFill>
                    <w14:schemeClr w14:val="tx1"/>
                  </w14:solidFill>
                </w14:textFill>
              </w:rPr>
              <w:t>3</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/d</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，在微生物检验完成后需先对器皿采用高压蒸气灭菌器进行灭活消毒后，再进行洗刷，年用水量为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30t/a</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，排水按</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0.8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系数计算，则检疫废水产生量为</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24t/a</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检疫废水水质与屠宰废水水质相似，可参照。</w:t>
            </w:r>
          </w:p>
          <w:p w14:paraId="48CBC289">
            <w:pPr>
              <w:tabs>
                <w:tab w:val="left" w:pos="3435"/>
              </w:tabs>
              <w:autoSpaceDE w:val="0"/>
              <w:autoSpaceDN w:val="0"/>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（5）车辆冲洗废水：根据水平衡可知，车辆冲洗废水排放量为510t/a。</w:t>
            </w:r>
          </w:p>
          <w:p w14:paraId="7721EBF7">
            <w:pPr>
              <w:tabs>
                <w:tab w:val="left" w:pos="3435"/>
              </w:tabs>
              <w:autoSpaceDE w:val="0"/>
              <w:autoSpaceDN w:val="0"/>
              <w:spacing w:line="360" w:lineRule="auto"/>
              <w:ind w:firstLine="420" w:firstLineChars="200"/>
              <w:rPr>
                <w:rFonts w:hint="default" w:ascii="Times New Roman" w:hAnsi="Times New Roman" w:cs="宋体"/>
                <w:color w:val="000000" w:themeColor="text1"/>
                <w:sz w:val="21"/>
                <w:szCs w:val="21"/>
                <w:highlight w:val="none"/>
                <w:lang w:val="en-US" w:eastAsia="zh-CN"/>
                <w14:textFill>
                  <w14:solidFill>
                    <w14:schemeClr w14:val="tx1"/>
                  </w14:solidFill>
                </w14:textFill>
              </w:rPr>
            </w:pPr>
            <w:r>
              <w:rPr>
                <w:rFonts w:hint="eastAsia" w:ascii="Times New Roman" w:hAnsi="Times New Roman" w:cs="宋体"/>
                <w:color w:val="000000" w:themeColor="text1"/>
                <w:sz w:val="21"/>
                <w:szCs w:val="21"/>
                <w:highlight w:val="none"/>
                <w:lang w:val="en-US" w:eastAsia="zh-CN"/>
                <w14:textFill>
                  <w14:solidFill>
                    <w14:schemeClr w14:val="tx1"/>
                  </w14:solidFill>
                </w14:textFill>
              </w:rPr>
              <w:t>（6）牛栏饮水尿液：</w:t>
            </w:r>
            <w:r>
              <w:rPr>
                <w:rFonts w:hint="eastAsia" w:cs="宋体"/>
                <w:color w:val="000000" w:themeColor="text1"/>
                <w:sz w:val="21"/>
                <w:szCs w:val="21"/>
                <w:highlight w:val="none"/>
                <w:lang w:val="en-US" w:eastAsia="zh-CN"/>
                <w14:textFill>
                  <w14:solidFill>
                    <w14:schemeClr w14:val="tx1"/>
                  </w14:solidFill>
                </w14:textFill>
              </w:rPr>
              <w:t>根据水平衡可知，</w:t>
            </w:r>
            <w:r>
              <w:rPr>
                <w:rFonts w:hint="eastAsia" w:ascii="Times New Roman" w:hAnsi="Times New Roman" w:cs="宋体"/>
                <w:color w:val="000000" w:themeColor="text1"/>
                <w:sz w:val="21"/>
                <w:szCs w:val="21"/>
                <w:highlight w:val="none"/>
                <w:lang w:val="en-US" w:eastAsia="zh-CN"/>
                <w14:textFill>
                  <w14:solidFill>
                    <w14:schemeClr w14:val="tx1"/>
                  </w14:solidFill>
                </w14:textFill>
              </w:rPr>
              <w:t>尿液产生量为49t/a。尿液随牛栏冲洗废水一并进入污水处理站，因此屠宰废水的浓度已核算尿液产生的污染物。</w:t>
            </w:r>
          </w:p>
          <w:p w14:paraId="745DD273">
            <w:pPr>
              <w:tabs>
                <w:tab w:val="left" w:pos="3435"/>
              </w:tabs>
              <w:autoSpaceDE w:val="0"/>
              <w:autoSpaceDN w:val="0"/>
              <w:spacing w:line="360" w:lineRule="auto"/>
              <w:ind w:firstLine="420" w:firstLineChars="200"/>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（7）生物除臭喷淋废水：根据水平衡可知</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，则</w:t>
            </w:r>
            <w:r>
              <w:rPr>
                <w:rFonts w:hint="eastAsia" w:cs="宋体"/>
                <w:color w:val="000000" w:themeColor="text1"/>
                <w:sz w:val="21"/>
                <w:szCs w:val="21"/>
                <w:highlight w:val="none"/>
                <w:lang w:val="en-US" w:eastAsia="zh-CN"/>
                <w14:textFill>
                  <w14:solidFill>
                    <w14:schemeClr w14:val="tx1"/>
                  </w14:solidFill>
                </w14:textFill>
              </w:rPr>
              <w:t>生物除臭喷淋</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废水产生量为</w:t>
            </w:r>
            <w:r>
              <w:rPr>
                <w:rFonts w:hint="eastAsia" w:cs="宋体"/>
                <w:color w:val="000000" w:themeColor="text1"/>
                <w:sz w:val="21"/>
                <w:szCs w:val="21"/>
                <w:highlight w:val="none"/>
                <w:lang w:val="en-US" w:eastAsia="zh-CN"/>
                <w14:textFill>
                  <w14:solidFill>
                    <w14:schemeClr w14:val="tx1"/>
                  </w14:solidFill>
                </w14:textFill>
              </w:rPr>
              <w:t>24</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m</w:t>
            </w:r>
            <w:r>
              <w:rPr>
                <w:rFonts w:hint="default" w:ascii="Times New Roman" w:hAnsi="Times New Roman" w:eastAsia="宋体" w:cs="宋体"/>
                <w:color w:val="000000" w:themeColor="text1"/>
                <w:sz w:val="21"/>
                <w:szCs w:val="21"/>
                <w:highlight w:val="none"/>
                <w:vertAlign w:val="superscript"/>
                <w:lang w:val="en-US" w:eastAsia="zh-CN"/>
                <w14:textFill>
                  <w14:solidFill>
                    <w14:schemeClr w14:val="tx1"/>
                  </w14:solidFill>
                </w14:textFill>
              </w:rPr>
              <w:t>3</w:t>
            </w:r>
            <w: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a。</w:t>
            </w:r>
          </w:p>
          <w:p w14:paraId="28434675">
            <w:pPr>
              <w:tabs>
                <w:tab w:val="left" w:pos="3435"/>
              </w:tabs>
              <w:autoSpaceDE w:val="0"/>
              <w:autoSpaceDN w:val="0"/>
              <w:spacing w:line="360" w:lineRule="auto"/>
              <w:ind w:firstLine="420" w:firstLineChars="20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根据上文的描述，本项目废水产生情况详见下表。</w:t>
            </w:r>
          </w:p>
          <w:p w14:paraId="0D8BEE2E">
            <w:pPr>
              <w:tabs>
                <w:tab w:val="left" w:pos="960"/>
              </w:tabs>
              <w:spacing w:beforeLines="50"/>
              <w:jc w:val="center"/>
              <w:rPr>
                <w:rFonts w:hint="eastAsia" w:cs="宋体"/>
                <w:b/>
                <w:bCs/>
                <w:color w:val="000000" w:themeColor="text1"/>
                <w:spacing w:val="-4"/>
                <w:sz w:val="21"/>
                <w:szCs w:val="21"/>
                <w:highlight w:val="none"/>
                <w:lang w:eastAsia="zh-CN"/>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t>-</w:t>
            </w:r>
            <w:r>
              <w:rPr>
                <w:rFonts w:hint="eastAsia" w:cs="宋体"/>
                <w:b/>
                <w:bCs/>
                <w:color w:val="000000" w:themeColor="text1"/>
                <w:spacing w:val="-4"/>
                <w:sz w:val="21"/>
                <w:szCs w:val="21"/>
                <w:highlight w:val="none"/>
                <w:lang w:val="en-US" w:eastAsia="zh-CN"/>
                <w14:textFill>
                  <w14:solidFill>
                    <w14:schemeClr w14:val="tx1"/>
                  </w14:solidFill>
                </w14:textFill>
              </w:rPr>
              <w:t>11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废水</w:t>
            </w:r>
            <w:r>
              <w:rPr>
                <w:rFonts w:ascii="Times New Roman" w:hAnsi="Times New Roman" w:eastAsia="宋体" w:cs="宋体"/>
                <w:b/>
                <w:bCs/>
                <w:color w:val="000000" w:themeColor="text1"/>
                <w:spacing w:val="-4"/>
                <w:sz w:val="21"/>
                <w:szCs w:val="21"/>
                <w:highlight w:val="none"/>
                <w14:textFill>
                  <w14:solidFill>
                    <w14:schemeClr w14:val="tx1"/>
                  </w14:solidFill>
                </w14:textFill>
              </w:rPr>
              <w:t>产生情况表</w:t>
            </w:r>
            <w:r>
              <w:rPr>
                <w:rFonts w:hint="eastAsia" w:cs="宋体"/>
                <w:b/>
                <w:bCs/>
                <w:color w:val="000000" w:themeColor="text1"/>
                <w:spacing w:val="-4"/>
                <w:sz w:val="21"/>
                <w:szCs w:val="21"/>
                <w:highlight w:val="none"/>
                <w:lang w:eastAsia="zh-CN"/>
                <w14:textFill>
                  <w14:solidFill>
                    <w14:schemeClr w14:val="tx1"/>
                  </w14:solidFill>
                </w14:textFill>
              </w:rPr>
              <w:t>（</w:t>
            </w:r>
            <w:r>
              <w:rPr>
                <w:rFonts w:hint="eastAsia" w:cs="宋体"/>
                <w:b/>
                <w:bCs/>
                <w:color w:val="000000" w:themeColor="text1"/>
                <w:spacing w:val="-4"/>
                <w:sz w:val="21"/>
                <w:szCs w:val="21"/>
                <w:highlight w:val="none"/>
                <w:lang w:val="en-US" w:eastAsia="zh-CN"/>
                <w14:textFill>
                  <w14:solidFill>
                    <w14:schemeClr w14:val="tx1"/>
                  </w14:solidFill>
                </w14:textFill>
              </w:rPr>
              <w:t>全厂</w:t>
            </w:r>
            <w:r>
              <w:rPr>
                <w:rFonts w:hint="eastAsia" w:cs="宋体"/>
                <w:b/>
                <w:bCs/>
                <w:color w:val="000000" w:themeColor="text1"/>
                <w:spacing w:val="-4"/>
                <w:sz w:val="21"/>
                <w:szCs w:val="21"/>
                <w:highlight w:val="none"/>
                <w:lang w:eastAsia="zh-CN"/>
                <w14:textFill>
                  <w14:solidFill>
                    <w14:schemeClr w14:val="tx1"/>
                  </w14:solidFill>
                </w14:textFill>
              </w:rPr>
              <w:t>）</w:t>
            </w:r>
          </w:p>
          <w:tbl>
            <w:tblPr>
              <w:tblStyle w:val="2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53"/>
              <w:gridCol w:w="1971"/>
              <w:gridCol w:w="1962"/>
              <w:gridCol w:w="1870"/>
            </w:tblGrid>
            <w:tr w14:paraId="3F33A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808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废水类别</w:t>
                  </w:r>
                </w:p>
              </w:tc>
              <w:tc>
                <w:tcPr>
                  <w:tcW w:w="1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E37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污染物名称</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391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产生情况</w:t>
                  </w:r>
                </w:p>
              </w:tc>
            </w:tr>
            <w:tr w14:paraId="7FEA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486BD">
                  <w:pPr>
                    <w:jc w:val="center"/>
                    <w:rPr>
                      <w:rFonts w:hint="eastAsia" w:ascii="宋体" w:hAnsi="宋体" w:eastAsia="宋体" w:cs="宋体"/>
                      <w:b/>
                      <w:bCs/>
                      <w:i w:val="0"/>
                      <w:iCs w:val="0"/>
                      <w:color w:val="000000"/>
                      <w:sz w:val="21"/>
                      <w:szCs w:val="21"/>
                      <w:u w:val="none"/>
                    </w:rPr>
                  </w:pPr>
                </w:p>
              </w:tc>
              <w:tc>
                <w:tcPr>
                  <w:tcW w:w="1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6DDFF">
                  <w:pPr>
                    <w:jc w:val="center"/>
                    <w:rPr>
                      <w:rFonts w:hint="eastAsia" w:ascii="宋体" w:hAnsi="宋体" w:eastAsia="宋体" w:cs="宋体"/>
                      <w:b/>
                      <w:bCs/>
                      <w:i w:val="0"/>
                      <w:iCs w:val="0"/>
                      <w:color w:val="000000"/>
                      <w:sz w:val="21"/>
                      <w:szCs w:val="21"/>
                      <w:u w:val="none"/>
                    </w:rPr>
                  </w:pP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EAA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浓度</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2CC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产生量</w:t>
                  </w:r>
                </w:p>
              </w:tc>
            </w:tr>
            <w:tr w14:paraId="07283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43461">
                  <w:pPr>
                    <w:jc w:val="center"/>
                    <w:rPr>
                      <w:rFonts w:hint="eastAsia" w:ascii="宋体" w:hAnsi="宋体" w:eastAsia="宋体" w:cs="宋体"/>
                      <w:b/>
                      <w:bCs/>
                      <w:i w:val="0"/>
                      <w:iCs w:val="0"/>
                      <w:color w:val="000000"/>
                      <w:sz w:val="21"/>
                      <w:szCs w:val="21"/>
                      <w:u w:val="none"/>
                    </w:rPr>
                  </w:pPr>
                </w:p>
              </w:tc>
              <w:tc>
                <w:tcPr>
                  <w:tcW w:w="1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6262B">
                  <w:pPr>
                    <w:jc w:val="center"/>
                    <w:rPr>
                      <w:rFonts w:hint="eastAsia" w:ascii="宋体" w:hAnsi="宋体" w:eastAsia="宋体" w:cs="宋体"/>
                      <w:b/>
                      <w:bCs/>
                      <w:i w:val="0"/>
                      <w:iCs w:val="0"/>
                      <w:color w:val="000000"/>
                      <w:sz w:val="21"/>
                      <w:szCs w:val="21"/>
                      <w:u w:val="none"/>
                    </w:rPr>
                  </w:pP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868A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mg/L</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812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t/a</w:t>
                  </w:r>
                </w:p>
              </w:tc>
            </w:tr>
            <w:tr w14:paraId="29DE8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86F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生活污水</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34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45C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BF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180</w:t>
                  </w:r>
                </w:p>
              </w:tc>
            </w:tr>
            <w:tr w14:paraId="419DB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3EDC3">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614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EE3E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6~9</w:t>
                  </w:r>
                </w:p>
              </w:tc>
            </w:tr>
            <w:tr w14:paraId="1F9CB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2FA44">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4700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37B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C6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0.0720 </w:t>
                  </w:r>
                </w:p>
              </w:tc>
            </w:tr>
            <w:tr w14:paraId="331E1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88717">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A46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1"/>
                      <w:rFonts w:eastAsia="宋体"/>
                      <w:lang w:val="en-US" w:eastAsia="zh-CN" w:bidi="ar"/>
                    </w:rPr>
                    <w:t>5</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FD4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05A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0.0450 </w:t>
                  </w:r>
                </w:p>
              </w:tc>
            </w:tr>
            <w:tr w14:paraId="1F0F3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715B0">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2D9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1C6E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D6F5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0.0360 </w:t>
                  </w:r>
                </w:p>
              </w:tc>
            </w:tr>
            <w:tr w14:paraId="02D54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6E85A">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5876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712F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CE8E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0.0063 </w:t>
                  </w:r>
                </w:p>
              </w:tc>
            </w:tr>
            <w:tr w14:paraId="06C40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3F0D8">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E92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6CA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D9A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r>
            <w:tr w14:paraId="73EEB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9D4B7">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41AA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303E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31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0.0005 </w:t>
                  </w:r>
                </w:p>
              </w:tc>
            </w:tr>
            <w:tr w14:paraId="2FA5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D95E6">
                  <w:pPr>
                    <w:jc w:val="center"/>
                    <w:rPr>
                      <w:rFonts w:hint="eastAsia" w:ascii="宋体" w:hAnsi="宋体" w:eastAsia="宋体" w:cs="宋体"/>
                      <w:b/>
                      <w:bCs/>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ED2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763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32F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0.0090 </w:t>
                  </w:r>
                </w:p>
              </w:tc>
            </w:tr>
            <w:tr w14:paraId="2FC61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F5B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屠宰废水（6587</w:t>
                  </w:r>
                  <w:r>
                    <w:rPr>
                      <w:rStyle w:val="82"/>
                      <w:rFonts w:eastAsia="宋体"/>
                      <w:lang w:val="en-US" w:eastAsia="zh-CN" w:bidi="ar"/>
                    </w:rPr>
                    <w:t>t/a</w:t>
                  </w:r>
                  <w:r>
                    <w:rPr>
                      <w:rFonts w:hint="eastAsia" w:ascii="宋体" w:hAnsi="宋体" w:eastAsia="宋体" w:cs="宋体"/>
                      <w:i w:val="0"/>
                      <w:iCs w:val="0"/>
                      <w:color w:val="000000"/>
                      <w:kern w:val="0"/>
                      <w:sz w:val="21"/>
                      <w:szCs w:val="21"/>
                      <w:u w:val="none"/>
                      <w:lang w:val="en-US" w:eastAsia="zh-CN" w:bidi="ar"/>
                    </w:rPr>
                    <w:t>）、检疫废水（</w:t>
                  </w:r>
                  <w:r>
                    <w:rPr>
                      <w:rStyle w:val="82"/>
                      <w:rFonts w:eastAsia="宋体"/>
                      <w:lang w:val="en-US" w:eastAsia="zh-CN" w:bidi="ar"/>
                    </w:rPr>
                    <w:t>24t/a</w:t>
                  </w:r>
                  <w:r>
                    <w:rPr>
                      <w:rFonts w:hint="eastAsia" w:ascii="宋体" w:hAnsi="宋体" w:eastAsia="宋体" w:cs="宋体"/>
                      <w:i w:val="0"/>
                      <w:iCs w:val="0"/>
                      <w:color w:val="000000"/>
                      <w:kern w:val="0"/>
                      <w:sz w:val="21"/>
                      <w:szCs w:val="21"/>
                      <w:u w:val="none"/>
                      <w:lang w:val="en-US" w:eastAsia="zh-CN" w:bidi="ar"/>
                    </w:rPr>
                    <w:t>）、牛栏尿液（</w:t>
                  </w:r>
                  <w:r>
                    <w:rPr>
                      <w:rStyle w:val="82"/>
                      <w:rFonts w:eastAsia="宋体"/>
                      <w:lang w:val="en-US" w:eastAsia="zh-CN" w:bidi="ar"/>
                    </w:rPr>
                    <w:t>49t/a</w:t>
                  </w:r>
                  <w:r>
                    <w:rPr>
                      <w:rFonts w:hint="eastAsia" w:ascii="宋体" w:hAnsi="宋体" w:eastAsia="宋体" w:cs="宋体"/>
                      <w:i w:val="0"/>
                      <w:iCs w:val="0"/>
                      <w:color w:val="000000"/>
                      <w:kern w:val="0"/>
                      <w:sz w:val="21"/>
                      <w:szCs w:val="21"/>
                      <w:u w:val="none"/>
                      <w:lang w:val="en-US" w:eastAsia="zh-CN" w:bidi="ar"/>
                    </w:rPr>
                    <w:t>）</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BE1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E58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69FE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6660</w:t>
                  </w:r>
                </w:p>
              </w:tc>
            </w:tr>
            <w:tr w14:paraId="4ED06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CDA7D">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7987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5DD6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6.5~7.5</w:t>
                  </w:r>
                </w:p>
              </w:tc>
            </w:tr>
            <w:tr w14:paraId="3CC6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BA74D">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92C9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9FF0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4F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13.3200 </w:t>
                  </w:r>
                </w:p>
              </w:tc>
            </w:tr>
            <w:tr w14:paraId="475D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3E4BE">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2E3A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1"/>
                      <w:rFonts w:eastAsia="宋体"/>
                      <w:lang w:val="en-US" w:eastAsia="zh-CN" w:bidi="ar"/>
                    </w:rPr>
                    <w:t>5</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E4F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3B3F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6.6600 </w:t>
                  </w:r>
                </w:p>
              </w:tc>
            </w:tr>
            <w:tr w14:paraId="76CF3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E5804">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C49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E25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3F7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6.6600 </w:t>
                  </w:r>
                </w:p>
              </w:tc>
            </w:tr>
            <w:tr w14:paraId="1ED7D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09497">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B05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C46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DB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0.9990 </w:t>
                  </w:r>
                </w:p>
              </w:tc>
            </w:tr>
            <w:tr w14:paraId="7D7F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A7975">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094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A2BD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7FB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1.3320 </w:t>
                  </w:r>
                </w:p>
              </w:tc>
            </w:tr>
            <w:tr w14:paraId="6654E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E4638">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938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110B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ED89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0.0932 </w:t>
                  </w:r>
                </w:p>
              </w:tc>
            </w:tr>
            <w:tr w14:paraId="63514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83E32">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1A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730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D2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1.5984 </w:t>
                  </w:r>
                </w:p>
              </w:tc>
            </w:tr>
            <w:tr w14:paraId="3EF39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1C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肉类加工废水</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F4F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9E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760E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550.8</w:t>
                  </w:r>
                </w:p>
              </w:tc>
            </w:tr>
            <w:tr w14:paraId="26BC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4BFC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150C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C05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6.5~7.5</w:t>
                  </w:r>
                </w:p>
              </w:tc>
            </w:tr>
            <w:tr w14:paraId="63AEB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0D34F">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A8F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7A5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47C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1.1016 </w:t>
                  </w:r>
                </w:p>
              </w:tc>
            </w:tr>
            <w:tr w14:paraId="4E4F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375BE">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EE5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3"/>
                      <w:rFonts w:eastAsia="宋体"/>
                      <w:lang w:val="en-US" w:eastAsia="zh-CN" w:bidi="ar"/>
                    </w:rPr>
                    <w:t>5</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0CD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B30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0.5508 </w:t>
                  </w:r>
                </w:p>
              </w:tc>
            </w:tr>
            <w:tr w14:paraId="4CE48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A9009">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FCA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A32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EC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0.5508 </w:t>
                  </w:r>
                </w:p>
              </w:tc>
            </w:tr>
            <w:tr w14:paraId="71847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2C18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E551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1835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6E6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0.0386 </w:t>
                  </w:r>
                </w:p>
              </w:tc>
            </w:tr>
            <w:tr w14:paraId="3A2D1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18D52">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B6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4FE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5050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0.0551 </w:t>
                  </w:r>
                </w:p>
              </w:tc>
            </w:tr>
            <w:tr w14:paraId="2B72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F8907">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4D54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8B4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4C19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0.0036 </w:t>
                  </w:r>
                </w:p>
              </w:tc>
            </w:tr>
            <w:tr w14:paraId="31107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182E3">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7BF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A10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161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0.0606 </w:t>
                  </w:r>
                </w:p>
              </w:tc>
            </w:tr>
            <w:tr w14:paraId="3E21C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A4D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车辆冲洗废水</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C7B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A22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70E1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510</w:t>
                  </w:r>
                </w:p>
              </w:tc>
            </w:tr>
            <w:tr w14:paraId="0A64C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C3F8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F11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D80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6.5~7.5</w:t>
                  </w:r>
                </w:p>
              </w:tc>
            </w:tr>
            <w:tr w14:paraId="141A1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40AD7">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012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CCF1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EE75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0.6120 </w:t>
                  </w:r>
                </w:p>
              </w:tc>
            </w:tr>
            <w:tr w14:paraId="02011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25474">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E76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1"/>
                      <w:rFonts w:eastAsia="宋体"/>
                      <w:lang w:val="en-US" w:eastAsia="zh-CN" w:bidi="ar"/>
                    </w:rPr>
                    <w:t>5</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EEA9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73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0.2550 </w:t>
                  </w:r>
                </w:p>
              </w:tc>
            </w:tr>
            <w:tr w14:paraId="717E2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785C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BDE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9F56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31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0.0281 </w:t>
                  </w:r>
                </w:p>
              </w:tc>
            </w:tr>
            <w:tr w14:paraId="7CA24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FE3D8">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1D88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4E4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DB4B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0.0281 </w:t>
                  </w:r>
                </w:p>
              </w:tc>
            </w:tr>
            <w:tr w14:paraId="22630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926EE">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257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EFA7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0A0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0.0077 </w:t>
                  </w:r>
                </w:p>
              </w:tc>
            </w:tr>
            <w:tr w14:paraId="21311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FCEB6">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814C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E85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5D4E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0.0051 </w:t>
                  </w:r>
                </w:p>
              </w:tc>
            </w:tr>
            <w:tr w14:paraId="7342C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5B3A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06D3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19D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29A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0.0510 </w:t>
                  </w:r>
                </w:p>
              </w:tc>
            </w:tr>
            <w:tr w14:paraId="2AA9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917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生物除臭喷淋废水</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621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12B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3023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r>
            <w:tr w14:paraId="0D928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24641">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DC12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794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6.5~7.5</w:t>
                  </w:r>
                </w:p>
              </w:tc>
            </w:tr>
            <w:tr w14:paraId="66B1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0D9C">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268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1CC5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4414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0.0072 </w:t>
                  </w:r>
                </w:p>
              </w:tc>
            </w:tr>
            <w:tr w14:paraId="0E86A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C5779">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1BDD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1"/>
                      <w:rFonts w:eastAsia="宋体"/>
                      <w:lang w:val="en-US" w:eastAsia="zh-CN" w:bidi="ar"/>
                    </w:rPr>
                    <w:t>5</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D702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D6BD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0.0060 </w:t>
                  </w:r>
                </w:p>
              </w:tc>
            </w:tr>
            <w:tr w14:paraId="3B80C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25C62">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55D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A343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A2F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0.0048 </w:t>
                  </w:r>
                </w:p>
              </w:tc>
            </w:tr>
            <w:tr w14:paraId="5B885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CE1E4">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5CC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253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B17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0.0002 </w:t>
                  </w:r>
                </w:p>
              </w:tc>
            </w:tr>
            <w:tr w14:paraId="73AC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4C22D">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EBD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356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B9F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0.0024 </w:t>
                  </w:r>
                </w:p>
              </w:tc>
            </w:tr>
            <w:tr w14:paraId="4EAE2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FCEB6">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C8B7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A73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6944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0.0004 </w:t>
                  </w:r>
                </w:p>
              </w:tc>
            </w:tr>
            <w:tr w14:paraId="1B09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1544C">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695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EF1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C051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0.0005 </w:t>
                  </w:r>
                </w:p>
              </w:tc>
            </w:tr>
            <w:tr w14:paraId="61EAF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30F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综合生产废水</w:t>
                  </w: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FB3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废水量</w:t>
                  </w:r>
                </w:p>
              </w:tc>
              <w:tc>
                <w:tcPr>
                  <w:tcW w:w="1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CB8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c>
                <w:tcPr>
                  <w:tcW w:w="11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F51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7924.8</w:t>
                  </w:r>
                </w:p>
              </w:tc>
            </w:tr>
            <w:tr w14:paraId="56233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20BEC">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455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23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4426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6.5~7.5</w:t>
                  </w:r>
                </w:p>
              </w:tc>
            </w:tr>
            <w:tr w14:paraId="3944B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64A42">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63D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COD</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8A8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1907.0 </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68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15.1128 </w:t>
                  </w:r>
                </w:p>
              </w:tc>
            </w:tr>
            <w:tr w14:paraId="3E0CA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A45EA">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1E71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BOD</w:t>
                  </w:r>
                  <w:r>
                    <w:rPr>
                      <w:rStyle w:val="81"/>
                      <w:rFonts w:eastAsia="宋体"/>
                      <w:lang w:val="en-US" w:eastAsia="zh-CN" w:bidi="ar"/>
                    </w:rPr>
                    <w:t>5</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0EC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948.5 </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14B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7.5168 </w:t>
                  </w:r>
                </w:p>
              </w:tc>
            </w:tr>
            <w:tr w14:paraId="3E0A6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9E04D">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6BB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SS</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E4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918.6 </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6F6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7.2797 </w:t>
                  </w:r>
                </w:p>
              </w:tc>
            </w:tr>
            <w:tr w14:paraId="1CD4B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96DB7">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E149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NH</w:t>
                  </w:r>
                  <w:r>
                    <w:rPr>
                      <w:rStyle w:val="81"/>
                      <w:rFonts w:eastAsia="宋体"/>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-N</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3B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135.3 </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F6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1.0721 </w:t>
                  </w:r>
                </w:p>
              </w:tc>
            </w:tr>
            <w:tr w14:paraId="621D3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DADBC">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2E7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动植物油</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AD0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176.3 </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30CD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1.3971 </w:t>
                  </w:r>
                </w:p>
              </w:tc>
            </w:tr>
            <w:tr w14:paraId="109C8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BCA20">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90E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TP</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7CE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868F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0.1028 </w:t>
                  </w:r>
                </w:p>
              </w:tc>
            </w:tr>
            <w:tr w14:paraId="60A4F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EC231">
                  <w:pPr>
                    <w:jc w:val="center"/>
                    <w:rPr>
                      <w:rFonts w:hint="eastAsia" w:ascii="宋体" w:hAnsi="宋体" w:eastAsia="宋体" w:cs="宋体"/>
                      <w:i w:val="0"/>
                      <w:iCs w:val="0"/>
                      <w:color w:val="000000"/>
                      <w:sz w:val="21"/>
                      <w:szCs w:val="21"/>
                      <w:u w:val="none"/>
                    </w:rPr>
                  </w:pPr>
                </w:p>
              </w:tc>
              <w:tc>
                <w:tcPr>
                  <w:tcW w:w="1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450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TN</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44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217.0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01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1.7195 </w:t>
                  </w:r>
                </w:p>
              </w:tc>
            </w:tr>
          </w:tbl>
          <w:p w14:paraId="2C951BCA">
            <w:pPr>
              <w:tabs>
                <w:tab w:val="left" w:pos="960"/>
              </w:tabs>
              <w:spacing w:beforeLines="50"/>
              <w:jc w:val="center"/>
              <w:rPr>
                <w:rFonts w:hint="eastAsia" w:cs="宋体"/>
                <w:b/>
                <w:bCs/>
                <w:color w:val="000000" w:themeColor="text1"/>
                <w:spacing w:val="-4"/>
                <w:sz w:val="21"/>
                <w:szCs w:val="21"/>
                <w:highlight w:val="none"/>
                <w:lang w:eastAsia="zh-CN"/>
                <w14:textFill>
                  <w14:solidFill>
                    <w14:schemeClr w14:val="tx1"/>
                  </w14:solidFill>
                </w14:textFill>
              </w:rPr>
            </w:pPr>
          </w:p>
          <w:p w14:paraId="7AE5B11F">
            <w:pPr>
              <w:tabs>
                <w:tab w:val="left" w:pos="3435"/>
              </w:tabs>
              <w:autoSpaceDE w:val="0"/>
              <w:autoSpaceDN w:val="0"/>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w:t>
            </w:r>
            <w:r>
              <w:rPr>
                <w:rFonts w:hint="eastAsia" w:cs="宋体"/>
                <w:color w:val="000000" w:themeColor="text1"/>
                <w:sz w:val="21"/>
                <w:szCs w:val="21"/>
                <w:highlight w:val="none"/>
                <w:lang w:val="en-US" w:eastAsia="zh-CN"/>
                <w14:textFill>
                  <w14:solidFill>
                    <w14:schemeClr w14:val="tx1"/>
                  </w14:solidFill>
                </w14:textFill>
              </w:rPr>
              <w:t>接管</w:t>
            </w:r>
            <w:r>
              <w:rPr>
                <w:rFonts w:hint="eastAsia" w:ascii="Times New Roman" w:hAnsi="Times New Roman" w:eastAsia="宋体" w:cs="宋体"/>
                <w:color w:val="000000" w:themeColor="text1"/>
                <w:sz w:val="21"/>
                <w:szCs w:val="21"/>
                <w:highlight w:val="none"/>
                <w14:textFill>
                  <w14:solidFill>
                    <w14:schemeClr w14:val="tx1"/>
                  </w14:solidFill>
                </w14:textFill>
              </w:rPr>
              <w:t>可行性分析</w:t>
            </w:r>
          </w:p>
          <w:p w14:paraId="16135D52">
            <w:pPr>
              <w:tabs>
                <w:tab w:val="left" w:pos="3435"/>
              </w:tabs>
              <w:autoSpaceDE w:val="0"/>
              <w:autoSpaceDN w:val="0"/>
              <w:spacing w:line="360" w:lineRule="auto"/>
              <w:ind w:firstLine="420" w:firstLineChars="200"/>
              <w:rPr>
                <w:rFonts w:hint="eastAsia" w:cs="宋体"/>
                <w:smallCap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 w:val="21"/>
                <w:szCs w:val="21"/>
                <w:highlight w:val="none"/>
                <w:lang w:val="en-US" w:eastAsia="zh-CN"/>
                <w14:textFill>
                  <w14:solidFill>
                    <w14:schemeClr w14:val="tx1"/>
                  </w14:solidFill>
                </w14:textFill>
              </w:rPr>
              <w:t>①</w:t>
            </w:r>
            <w:r>
              <w:rPr>
                <w:rFonts w:hint="eastAsia" w:cs="宋体"/>
                <w:smallCaps w:val="0"/>
                <w:color w:val="000000" w:themeColor="text1"/>
                <w:sz w:val="21"/>
                <w:szCs w:val="21"/>
                <w:highlight w:val="none"/>
                <w:lang w:val="en-US" w:eastAsia="zh-CN"/>
                <w14:textFill>
                  <w14:solidFill>
                    <w14:schemeClr w14:val="tx1"/>
                  </w14:solidFill>
                </w14:textFill>
              </w:rPr>
              <w:t>水量可行性分析：</w:t>
            </w:r>
          </w:p>
          <w:p w14:paraId="5F317526">
            <w:pPr>
              <w:tabs>
                <w:tab w:val="left" w:pos="3435"/>
              </w:tabs>
              <w:autoSpaceDE w:val="0"/>
              <w:autoSpaceDN w:val="0"/>
              <w:spacing w:line="360" w:lineRule="auto"/>
              <w:ind w:firstLine="420" w:firstLineChars="200"/>
              <w:rPr>
                <w:rFonts w:hint="eastAsia"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本项目新建一座污水处理站，污水处理站处理规模为30t/d，本项目废水产生量为7924.8t/a（26.416t/d），废水量占污水处理站处理能力的88%，因此从水量角度分析，本项目污水处理站可处理本项目废水。</w:t>
            </w:r>
          </w:p>
          <w:p w14:paraId="1BA6D49F">
            <w:pPr>
              <w:keepNext w:val="0"/>
              <w:keepLines w:val="0"/>
              <w:pageBreakBefore w:val="0"/>
              <w:widowControl w:val="0"/>
              <w:tabs>
                <w:tab w:val="left" w:pos="3435"/>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cs="宋体"/>
                <w:smallCap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mallCaps w:val="0"/>
                <w:color w:val="000000" w:themeColor="text1"/>
                <w:sz w:val="21"/>
                <w:szCs w:val="21"/>
                <w:highlight w:val="none"/>
                <w:lang w:val="en-US" w:eastAsia="zh-CN"/>
                <w14:textFill>
                  <w14:solidFill>
                    <w14:schemeClr w14:val="tx1"/>
                  </w14:solidFill>
                </w14:textFill>
              </w:rPr>
              <w:t>②</w:t>
            </w:r>
            <w:r>
              <w:rPr>
                <w:rFonts w:hint="eastAsia" w:cs="宋体"/>
                <w:smallCaps w:val="0"/>
                <w:color w:val="000000" w:themeColor="text1"/>
                <w:sz w:val="21"/>
                <w:szCs w:val="21"/>
                <w:highlight w:val="none"/>
                <w:lang w:val="en-US" w:eastAsia="zh-CN"/>
                <w14:textFill>
                  <w14:solidFill>
                    <w14:schemeClr w14:val="tx1"/>
                  </w14:solidFill>
                </w14:textFill>
              </w:rPr>
              <w:t>处理工艺可行性分析</w:t>
            </w:r>
          </w:p>
          <w:p w14:paraId="245F0720">
            <w:pPr>
              <w:keepNext w:val="0"/>
              <w:keepLines w:val="0"/>
              <w:pageBreakBefore w:val="0"/>
              <w:widowControl w:val="0"/>
              <w:tabs>
                <w:tab w:val="left" w:pos="3435"/>
              </w:tabs>
              <w:kinsoku/>
              <w:wordWrap/>
              <w:overflowPunct/>
              <w:topLinePunct w:val="0"/>
              <w:autoSpaceDE w:val="0"/>
              <w:autoSpaceDN w:val="0"/>
              <w:bidi w:val="0"/>
              <w:adjustRightInd/>
              <w:snapToGrid/>
              <w:spacing w:line="360" w:lineRule="auto"/>
              <w:ind w:left="0" w:leftChars="0" w:firstLine="420" w:firstLineChars="200"/>
              <w:textAlignment w:val="auto"/>
              <w:rPr>
                <w:rFonts w:hint="eastAsia"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本项目生产废水经预处理后与生活污水经“格栅+絮凝沉淀+静态沉淀+水解酸化+好氧处理”处理后，生产废水处理可行性分析</w:t>
            </w:r>
          </w:p>
          <w:p w14:paraId="166B5BB2">
            <w:pPr>
              <w:keepNext w:val="0"/>
              <w:keepLines w:val="0"/>
              <w:pageBreakBefore w:val="0"/>
              <w:widowControl w:val="0"/>
              <w:tabs>
                <w:tab w:val="left" w:pos="3435"/>
              </w:tabs>
              <w:kinsoku/>
              <w:wordWrap/>
              <w:overflowPunct/>
              <w:topLinePunct w:val="0"/>
              <w:autoSpaceDE w:val="0"/>
              <w:autoSpaceDN w:val="0"/>
              <w:bidi w:val="0"/>
              <w:adjustRightInd/>
              <w:snapToGrid/>
              <w:spacing w:line="360" w:lineRule="auto"/>
              <w:ind w:left="0" w:leftChars="0" w:firstLine="406" w:firstLineChars="200"/>
              <w:jc w:val="center"/>
              <w:textAlignment w:val="auto"/>
              <w:rPr>
                <w:rFonts w:hint="eastAsia" w:cs="宋体"/>
                <w:b/>
                <w:bCs/>
                <w:color w:val="000000" w:themeColor="text1"/>
                <w:spacing w:val="-4"/>
                <w:sz w:val="21"/>
                <w:szCs w:val="21"/>
                <w:highlight w:val="none"/>
                <w:lang w:val="en-US" w:eastAsia="zh-CN"/>
                <w14:textFill>
                  <w14:solidFill>
                    <w14:schemeClr w14:val="tx1"/>
                  </w14:solidFill>
                </w14:textFill>
              </w:rPr>
            </w:pPr>
            <w:r>
              <w:rPr>
                <w:rFonts w:hint="eastAsia" w:cs="宋体"/>
                <w:b/>
                <w:bCs/>
                <w:color w:val="000000" w:themeColor="text1"/>
                <w:spacing w:val="-4"/>
                <w:sz w:val="21"/>
                <w:szCs w:val="21"/>
                <w:highlight w:val="none"/>
                <w:lang w:val="en-US" w:eastAsia="zh-CN"/>
                <w14:textFill>
                  <w14:solidFill>
                    <w14:schemeClr w14:val="tx1"/>
                  </w14:solidFill>
                </w14:textFill>
              </w:rPr>
              <w:object>
                <v:shape id="_x0000_i1028" o:spt="75" type="#_x0000_t75" style="height:318.75pt;width:188.25pt;" o:ole="t" filled="f" o:preferrelative="t" stroked="f" coordsize="21600,21600">
                  <v:path/>
                  <v:fill on="f" focussize="0,0"/>
                  <v:stroke on="f"/>
                  <v:imagedata r:id="rId18" o:title=""/>
                  <o:lock v:ext="edit" aspectratio="f"/>
                  <w10:wrap type="none"/>
                  <w10:anchorlock/>
                </v:shape>
                <o:OLEObject Type="Embed" ProgID="Visio.Drawing.11" ShapeID="_x0000_i1028" DrawAspect="Content" ObjectID="_1468075728" r:id="rId17">
                  <o:LockedField>false</o:LockedField>
                </o:OLEObject>
              </w:object>
            </w:r>
          </w:p>
          <w:p w14:paraId="52273735">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cs="宋体"/>
                <w:b/>
                <w:bCs/>
                <w:color w:val="000000" w:themeColor="text1"/>
                <w:spacing w:val="-4"/>
                <w:sz w:val="21"/>
                <w:szCs w:val="21"/>
                <w:highlight w:val="none"/>
                <w:lang w:val="en-US" w:eastAsia="zh-CN"/>
                <w14:textFill>
                  <w14:solidFill>
                    <w14:schemeClr w14:val="tx1"/>
                  </w14:solidFill>
                </w14:textFill>
              </w:rPr>
              <w:t>图4-1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b/>
                <w:bCs/>
                <w:smallCaps w:val="0"/>
                <w:color w:val="000000" w:themeColor="text1"/>
                <w:spacing w:val="-4"/>
                <w:sz w:val="21"/>
                <w:szCs w:val="21"/>
                <w:highlight w:val="none"/>
                <w:lang w:val="en-US" w:eastAsia="zh-CN"/>
                <w14:textFill>
                  <w14:solidFill>
                    <w14:schemeClr w14:val="tx1"/>
                  </w14:solidFill>
                </w14:textFill>
              </w:rPr>
              <w:t>废水处理设施处理工艺流程图</w:t>
            </w:r>
          </w:p>
          <w:p w14:paraId="6FE020FE">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预处理采用格栅+絮凝分离+静态沉淀池</w:t>
            </w:r>
            <w:r>
              <w:rPr>
                <w:rFonts w:hint="eastAsia"/>
                <w:color w:val="000000" w:themeColor="text1"/>
                <w:sz w:val="21"/>
                <w:szCs w:val="21"/>
                <w:lang w:eastAsia="zh-CN"/>
                <w14:textFill>
                  <w14:solidFill>
                    <w14:schemeClr w14:val="tx1"/>
                  </w14:solidFill>
                </w14:textFill>
              </w:rPr>
              <w:t>：</w:t>
            </w:r>
          </w:p>
          <w:p w14:paraId="0205A316">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格栅主要作用是拦截大块漂浮物，保护后续处理设施，主要作用是去除大部分毛、肉屑、骨屑、内脏杂物、未消化的食物和粪便中粒径较大的易沉物。</w:t>
            </w:r>
          </w:p>
          <w:p w14:paraId="63826DB6">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格栅出水投加混凝剂，利用管道混合器混和分离。废水经混凝反应后自流进入静态沉淀池，可以去除绝大部分SS、色度、油脂及部分COD。</w:t>
            </w:r>
          </w:p>
          <w:p w14:paraId="5B3C5807">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生化处理采用水解酸化+好氧处理工艺+MBR</w:t>
            </w:r>
            <w:r>
              <w:rPr>
                <w:rFonts w:hint="eastAsia"/>
                <w:color w:val="000000" w:themeColor="text1"/>
                <w:sz w:val="21"/>
                <w:szCs w:val="21"/>
                <w:lang w:eastAsia="zh-CN"/>
                <w14:textFill>
                  <w14:solidFill>
                    <w14:schemeClr w14:val="tx1"/>
                  </w14:solidFill>
                </w14:textFill>
              </w:rPr>
              <w:t>：</w:t>
            </w:r>
          </w:p>
          <w:p w14:paraId="4F995795">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生化处理采用水解酸化和接触氧化处理的联合工艺。由于废水中有机物浓度较高，且含有大量大分子污染物，直接采用好氧处理会使处理效率偏低。生化处理前段采用水解酸化处理工艺，水解酸化利用厌氧反应中的水解酸化阶段，而放弃了停留时间长反应速度慢的甲烷发酵阶段。水解酸化处理对有机物的去除率，特别是对悬浮物的去除率高于具有相同停留时间的初沉池。水解酸化可使屠宰废水中大分子难降解有机物转化为水分子易降解的有机物，出水的可生化性能得到改善，这使得好氧处理部分的停留时间小于传统处理工艺。与此同时，悬浮物被水解为可溶性物质。</w:t>
            </w:r>
          </w:p>
          <w:p w14:paraId="4D6AA1CC">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综上所述，由于本工程所需处理的污水其水质的各项指标比较稳定，可生化性较好，但是浓度相对较高，属中浓度有机废水。因此根据其水流特性及结合以往工程实例，污水设计采用上述结合工艺。</w:t>
            </w:r>
          </w:p>
          <w:p w14:paraId="54A91ACA">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由于屠宰废水其中含污泥量极大，为降低污泥体积，污泥经浓缩后进行机械脱水。污泥脱水采用目前国内常用的板框压滤机。</w:t>
            </w:r>
          </w:p>
          <w:p w14:paraId="068F6185">
            <w:pPr>
              <w:keepNext w:val="0"/>
              <w:keepLines w:val="0"/>
              <w:pageBreakBefore w:val="0"/>
              <w:widowControl w:val="0"/>
              <w:tabs>
                <w:tab w:val="left" w:pos="960"/>
              </w:tabs>
              <w:kinsoku/>
              <w:wordWrap/>
              <w:overflowPunct/>
              <w:topLinePunct w:val="0"/>
              <w:autoSpaceDE/>
              <w:autoSpaceDN/>
              <w:bidi w:val="0"/>
              <w:adjustRightInd/>
              <w:snapToGrid/>
              <w:spacing w:before="157" w:beforeLines="50"/>
              <w:jc w:val="center"/>
              <w:textAlignment w:val="auto"/>
              <w:rPr>
                <w:rFonts w:hint="default"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表4-</w:t>
            </w:r>
            <w:r>
              <w:rPr>
                <w:rFonts w:hint="eastAsia" w:cs="Times New Roman"/>
                <w:b/>
                <w:bCs/>
                <w:smallCaps w:val="0"/>
                <w:color w:val="000000" w:themeColor="text1"/>
                <w:spacing w:val="-4"/>
                <w:sz w:val="21"/>
                <w:szCs w:val="21"/>
                <w:highlight w:val="none"/>
                <w:lang w:val="en-US" w:eastAsia="zh-CN"/>
                <w14:textFill>
                  <w14:solidFill>
                    <w14:schemeClr w14:val="tx1"/>
                  </w14:solidFill>
                </w14:textFill>
              </w:rPr>
              <w:t>12</w:t>
            </w:r>
            <w:r>
              <w:rPr>
                <w:rFonts w:hint="eastAsia"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 xml:space="preserve">  污染物去除效率预测表  单位：mg/L</w:t>
            </w:r>
            <w:r>
              <w:rPr>
                <w:rFonts w:hint="eastAsia" w:cs="Times New Roman"/>
                <w:b/>
                <w:bCs/>
                <w:smallCaps w:val="0"/>
                <w:color w:val="000000" w:themeColor="text1"/>
                <w:spacing w:val="-4"/>
                <w:sz w:val="21"/>
                <w:szCs w:val="21"/>
                <w:highlight w:val="none"/>
                <w:lang w:val="en-US" w:eastAsia="zh-CN"/>
                <w14:textFill>
                  <w14:solidFill>
                    <w14:schemeClr w14:val="tx1"/>
                  </w14:solidFill>
                </w14:textFill>
              </w:rPr>
              <w:t>，pH值无量纲</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785"/>
              <w:gridCol w:w="499"/>
              <w:gridCol w:w="831"/>
              <w:gridCol w:w="862"/>
              <w:gridCol w:w="864"/>
              <w:gridCol w:w="864"/>
              <w:gridCol w:w="864"/>
              <w:gridCol w:w="864"/>
              <w:gridCol w:w="864"/>
              <w:gridCol w:w="959"/>
            </w:tblGrid>
            <w:tr w14:paraId="5A94513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77" w:type="pct"/>
                  <w:gridSpan w:val="2"/>
                  <w:tcBorders>
                    <w:tl2br w:val="nil"/>
                    <w:tr2bl w:val="nil"/>
                  </w:tcBorders>
                  <w:vAlign w:val="center"/>
                </w:tcPr>
                <w:p w14:paraId="034129E6">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工艺段</w:t>
                  </w:r>
                </w:p>
              </w:tc>
              <w:tc>
                <w:tcPr>
                  <w:tcW w:w="503" w:type="pct"/>
                  <w:tcBorders>
                    <w:tl2br w:val="nil"/>
                    <w:tr2bl w:val="nil"/>
                  </w:tcBorders>
                  <w:vAlign w:val="center"/>
                </w:tcPr>
                <w:p w14:paraId="66161E40">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pH值</w:t>
                  </w:r>
                </w:p>
              </w:tc>
              <w:tc>
                <w:tcPr>
                  <w:tcW w:w="522" w:type="pct"/>
                  <w:tcBorders>
                    <w:tl2br w:val="nil"/>
                    <w:tr2bl w:val="nil"/>
                  </w:tcBorders>
                  <w:shd w:val="clear" w:color="auto" w:fill="auto"/>
                  <w:vAlign w:val="center"/>
                </w:tcPr>
                <w:p w14:paraId="0B165D1E">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COD</w:t>
                  </w:r>
                </w:p>
              </w:tc>
              <w:tc>
                <w:tcPr>
                  <w:tcW w:w="523" w:type="pct"/>
                  <w:tcBorders>
                    <w:tl2br w:val="nil"/>
                    <w:tr2bl w:val="nil"/>
                  </w:tcBorders>
                  <w:shd w:val="clear" w:color="auto" w:fill="auto"/>
                  <w:vAlign w:val="center"/>
                </w:tcPr>
                <w:p w14:paraId="05AEC1B3">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BOD</w:t>
                  </w:r>
                  <w:r>
                    <w:rPr>
                      <w:rFonts w:hint="eastAsia"/>
                      <w:b w:val="0"/>
                      <w:bCs/>
                      <w:smallCaps w:val="0"/>
                      <w:color w:val="000000" w:themeColor="text1"/>
                      <w:kern w:val="0"/>
                      <w:sz w:val="21"/>
                      <w:szCs w:val="21"/>
                      <w:highlight w:val="none"/>
                      <w:vertAlign w:val="subscript"/>
                      <w:lang w:val="en-US" w:eastAsia="zh-CN"/>
                      <w14:textFill>
                        <w14:solidFill>
                          <w14:schemeClr w14:val="tx1"/>
                        </w14:solidFill>
                      </w14:textFill>
                    </w:rPr>
                    <w:t>5</w:t>
                  </w:r>
                </w:p>
              </w:tc>
              <w:tc>
                <w:tcPr>
                  <w:tcW w:w="523" w:type="pct"/>
                  <w:tcBorders>
                    <w:tl2br w:val="nil"/>
                    <w:tr2bl w:val="nil"/>
                  </w:tcBorders>
                  <w:shd w:val="clear" w:color="auto" w:fill="auto"/>
                  <w:vAlign w:val="center"/>
                </w:tcPr>
                <w:p w14:paraId="52FC7D4E">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SS</w:t>
                  </w:r>
                </w:p>
              </w:tc>
              <w:tc>
                <w:tcPr>
                  <w:tcW w:w="523" w:type="pct"/>
                  <w:tcBorders>
                    <w:tl2br w:val="nil"/>
                    <w:tr2bl w:val="nil"/>
                  </w:tcBorders>
                  <w:shd w:val="clear" w:color="auto" w:fill="auto"/>
                  <w:vAlign w:val="center"/>
                </w:tcPr>
                <w:p w14:paraId="1C3C437C">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NH</w:t>
                  </w:r>
                  <w:r>
                    <w:rPr>
                      <w:rFonts w:hint="eastAsia"/>
                      <w:b w:val="0"/>
                      <w:bCs/>
                      <w:smallCaps w:val="0"/>
                      <w:color w:val="000000" w:themeColor="text1"/>
                      <w:kern w:val="0"/>
                      <w:sz w:val="21"/>
                      <w:szCs w:val="21"/>
                      <w:highlight w:val="none"/>
                      <w:vertAlign w:val="subscript"/>
                      <w:lang w:val="en-US" w:eastAsia="zh-CN"/>
                      <w14:textFill>
                        <w14:solidFill>
                          <w14:schemeClr w14:val="tx1"/>
                        </w14:solidFill>
                      </w14:textFill>
                    </w:rPr>
                    <w:t>3</w:t>
                  </w:r>
                  <w:r>
                    <w:rPr>
                      <w:rFonts w:hint="eastAsia"/>
                      <w:b w:val="0"/>
                      <w:bCs/>
                      <w:smallCaps w:val="0"/>
                      <w:color w:val="000000" w:themeColor="text1"/>
                      <w:kern w:val="0"/>
                      <w:sz w:val="21"/>
                      <w:szCs w:val="21"/>
                      <w:highlight w:val="none"/>
                      <w:lang w:val="en-US" w:eastAsia="zh-CN"/>
                      <w14:textFill>
                        <w14:solidFill>
                          <w14:schemeClr w14:val="tx1"/>
                        </w14:solidFill>
                      </w14:textFill>
                    </w:rPr>
                    <w:t>-N</w:t>
                  </w:r>
                </w:p>
              </w:tc>
              <w:tc>
                <w:tcPr>
                  <w:tcW w:w="523" w:type="pct"/>
                  <w:tcBorders>
                    <w:tl2br w:val="nil"/>
                    <w:tr2bl w:val="nil"/>
                  </w:tcBorders>
                  <w:shd w:val="clear" w:color="auto" w:fill="auto"/>
                  <w:vAlign w:val="center"/>
                </w:tcPr>
                <w:p w14:paraId="035C4B50">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动植物油</w:t>
                  </w:r>
                </w:p>
              </w:tc>
              <w:tc>
                <w:tcPr>
                  <w:tcW w:w="523" w:type="pct"/>
                  <w:tcBorders>
                    <w:tl2br w:val="nil"/>
                    <w:tr2bl w:val="nil"/>
                  </w:tcBorders>
                  <w:shd w:val="clear" w:color="auto" w:fill="auto"/>
                  <w:vAlign w:val="center"/>
                </w:tcPr>
                <w:p w14:paraId="7AE82063">
                  <w:pPr>
                    <w:snapToGrid w:val="0"/>
                    <w:jc w:val="center"/>
                    <w:rPr>
                      <w:rFonts w:hint="eastAsia"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TP</w:t>
                  </w:r>
                </w:p>
              </w:tc>
              <w:tc>
                <w:tcPr>
                  <w:tcW w:w="580" w:type="pct"/>
                  <w:tcBorders>
                    <w:tl2br w:val="nil"/>
                    <w:tr2bl w:val="nil"/>
                  </w:tcBorders>
                  <w:vAlign w:val="center"/>
                </w:tcPr>
                <w:p w14:paraId="76E2D280">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TN</w:t>
                  </w:r>
                </w:p>
              </w:tc>
            </w:tr>
            <w:tr w14:paraId="4C90723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267" w:hRule="atLeast"/>
                <w:jc w:val="center"/>
              </w:trPr>
              <w:tc>
                <w:tcPr>
                  <w:tcW w:w="475" w:type="pct"/>
                  <w:vMerge w:val="restart"/>
                  <w:tcBorders>
                    <w:tl2br w:val="nil"/>
                    <w:tr2bl w:val="nil"/>
                  </w:tcBorders>
                  <w:vAlign w:val="center"/>
                </w:tcPr>
                <w:p w14:paraId="2FD3EF5B">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格栅+絮凝沉淀+静态沉淀</w:t>
                  </w:r>
                </w:p>
              </w:tc>
              <w:tc>
                <w:tcPr>
                  <w:tcW w:w="302" w:type="pct"/>
                  <w:tcBorders>
                    <w:tl2br w:val="nil"/>
                    <w:tr2bl w:val="nil"/>
                  </w:tcBorders>
                  <w:vAlign w:val="center"/>
                </w:tcPr>
                <w:p w14:paraId="6A1359E2">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进口</w:t>
                  </w:r>
                </w:p>
              </w:tc>
              <w:tc>
                <w:tcPr>
                  <w:tcW w:w="503" w:type="pct"/>
                  <w:tcBorders>
                    <w:tl2br w:val="nil"/>
                    <w:tr2bl w:val="nil"/>
                  </w:tcBorders>
                  <w:vAlign w:val="center"/>
                </w:tcPr>
                <w:p w14:paraId="3C36448B">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6.5~7.5</w:t>
                  </w:r>
                </w:p>
              </w:tc>
              <w:tc>
                <w:tcPr>
                  <w:tcW w:w="522" w:type="pct"/>
                  <w:tcBorders>
                    <w:tl2br w:val="nil"/>
                    <w:tr2bl w:val="nil"/>
                  </w:tcBorders>
                  <w:vAlign w:val="bottom"/>
                </w:tcPr>
                <w:p w14:paraId="3E010200">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1907.4 </w:t>
                  </w:r>
                </w:p>
              </w:tc>
              <w:tc>
                <w:tcPr>
                  <w:tcW w:w="523" w:type="pct"/>
                  <w:tcBorders>
                    <w:tl2br w:val="nil"/>
                    <w:tr2bl w:val="nil"/>
                  </w:tcBorders>
                  <w:vAlign w:val="bottom"/>
                </w:tcPr>
                <w:p w14:paraId="316DC56A">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948.7 </w:t>
                  </w:r>
                </w:p>
              </w:tc>
              <w:tc>
                <w:tcPr>
                  <w:tcW w:w="523" w:type="pct"/>
                  <w:tcBorders>
                    <w:tl2br w:val="nil"/>
                    <w:tr2bl w:val="nil"/>
                  </w:tcBorders>
                  <w:vAlign w:val="bottom"/>
                </w:tcPr>
                <w:p w14:paraId="255570D7">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919.5 </w:t>
                  </w:r>
                </w:p>
              </w:tc>
              <w:tc>
                <w:tcPr>
                  <w:tcW w:w="523" w:type="pct"/>
                  <w:tcBorders>
                    <w:tl2br w:val="nil"/>
                    <w:tr2bl w:val="nil"/>
                  </w:tcBorders>
                  <w:vAlign w:val="bottom"/>
                </w:tcPr>
                <w:p w14:paraId="7D95A59B">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134.9 </w:t>
                  </w:r>
                </w:p>
              </w:tc>
              <w:tc>
                <w:tcPr>
                  <w:tcW w:w="523" w:type="pct"/>
                  <w:tcBorders>
                    <w:tl2br w:val="nil"/>
                    <w:tr2bl w:val="nil"/>
                  </w:tcBorders>
                  <w:vAlign w:val="bottom"/>
                </w:tcPr>
                <w:p w14:paraId="07A24A52">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175.9 </w:t>
                  </w:r>
                </w:p>
              </w:tc>
              <w:tc>
                <w:tcPr>
                  <w:tcW w:w="523" w:type="pct"/>
                  <w:tcBorders>
                    <w:tl2br w:val="nil"/>
                    <w:tr2bl w:val="nil"/>
                  </w:tcBorders>
                  <w:vAlign w:val="bottom"/>
                </w:tcPr>
                <w:p w14:paraId="58629917">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12.9 </w:t>
                  </w:r>
                </w:p>
              </w:tc>
              <w:tc>
                <w:tcPr>
                  <w:tcW w:w="580" w:type="pct"/>
                  <w:tcBorders>
                    <w:tl2br w:val="nil"/>
                    <w:tr2bl w:val="nil"/>
                  </w:tcBorders>
                  <w:vAlign w:val="bottom"/>
                </w:tcPr>
                <w:p w14:paraId="5F12AE43">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216.4 </w:t>
                  </w:r>
                </w:p>
              </w:tc>
            </w:tr>
            <w:tr w14:paraId="1FB28C7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267" w:hRule="atLeast"/>
                <w:jc w:val="center"/>
              </w:trPr>
              <w:tc>
                <w:tcPr>
                  <w:tcW w:w="475" w:type="pct"/>
                  <w:vMerge w:val="continue"/>
                  <w:tcBorders>
                    <w:tl2br w:val="nil"/>
                    <w:tr2bl w:val="nil"/>
                  </w:tcBorders>
                  <w:vAlign w:val="center"/>
                </w:tcPr>
                <w:p w14:paraId="59E462D7">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p>
              </w:tc>
              <w:tc>
                <w:tcPr>
                  <w:tcW w:w="302" w:type="pct"/>
                  <w:tcBorders>
                    <w:tl2br w:val="nil"/>
                    <w:tr2bl w:val="nil"/>
                  </w:tcBorders>
                  <w:vAlign w:val="center"/>
                </w:tcPr>
                <w:p w14:paraId="37002F8A">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去除率</w:t>
                  </w:r>
                  <w:r>
                    <w:rPr>
                      <w:rFonts w:hint="eastAsia"/>
                      <w:b w:val="0"/>
                      <w:bCs/>
                      <w:smallCaps w:val="0"/>
                      <w:color w:val="000000" w:themeColor="text1"/>
                      <w:kern w:val="0"/>
                      <w:sz w:val="21"/>
                      <w:szCs w:val="21"/>
                      <w:highlight w:val="none"/>
                      <w:lang w:val="en-US" w:eastAsia="zh-CN"/>
                      <w14:textFill>
                        <w14:solidFill>
                          <w14:schemeClr w14:val="tx1"/>
                        </w14:solidFill>
                      </w14:textFill>
                    </w:rPr>
                    <w:t>%</w:t>
                  </w:r>
                </w:p>
              </w:tc>
              <w:tc>
                <w:tcPr>
                  <w:tcW w:w="503" w:type="pct"/>
                  <w:tcBorders>
                    <w:tl2br w:val="nil"/>
                    <w:tr2bl w:val="nil"/>
                  </w:tcBorders>
                  <w:vAlign w:val="center"/>
                </w:tcPr>
                <w:p w14:paraId="3344E72D">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w:t>
                  </w:r>
                </w:p>
              </w:tc>
              <w:tc>
                <w:tcPr>
                  <w:tcW w:w="522" w:type="pct"/>
                  <w:tcBorders>
                    <w:tl2br w:val="nil"/>
                    <w:tr2bl w:val="nil"/>
                  </w:tcBorders>
                  <w:vAlign w:val="bottom"/>
                </w:tcPr>
                <w:p w14:paraId="409C2E34">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50</w:t>
                  </w:r>
                </w:p>
              </w:tc>
              <w:tc>
                <w:tcPr>
                  <w:tcW w:w="523" w:type="pct"/>
                  <w:tcBorders>
                    <w:tl2br w:val="nil"/>
                    <w:tr2bl w:val="nil"/>
                  </w:tcBorders>
                  <w:vAlign w:val="bottom"/>
                </w:tcPr>
                <w:p w14:paraId="44B92554">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50</w:t>
                  </w:r>
                </w:p>
              </w:tc>
              <w:tc>
                <w:tcPr>
                  <w:tcW w:w="523" w:type="pct"/>
                  <w:tcBorders>
                    <w:tl2br w:val="nil"/>
                    <w:tr2bl w:val="nil"/>
                  </w:tcBorders>
                  <w:vAlign w:val="bottom"/>
                </w:tcPr>
                <w:p w14:paraId="5745F16E">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80</w:t>
                  </w:r>
                </w:p>
              </w:tc>
              <w:tc>
                <w:tcPr>
                  <w:tcW w:w="523" w:type="pct"/>
                  <w:tcBorders>
                    <w:tl2br w:val="nil"/>
                    <w:tr2bl w:val="nil"/>
                  </w:tcBorders>
                  <w:vAlign w:val="bottom"/>
                </w:tcPr>
                <w:p w14:paraId="1B385815">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20</w:t>
                  </w:r>
                </w:p>
              </w:tc>
              <w:tc>
                <w:tcPr>
                  <w:tcW w:w="523" w:type="pct"/>
                  <w:tcBorders>
                    <w:tl2br w:val="nil"/>
                    <w:tr2bl w:val="nil"/>
                  </w:tcBorders>
                  <w:vAlign w:val="bottom"/>
                </w:tcPr>
                <w:p w14:paraId="71815027">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80</w:t>
                  </w:r>
                </w:p>
              </w:tc>
              <w:tc>
                <w:tcPr>
                  <w:tcW w:w="523" w:type="pct"/>
                  <w:tcBorders>
                    <w:tl2br w:val="nil"/>
                    <w:tr2bl w:val="nil"/>
                  </w:tcBorders>
                  <w:vAlign w:val="bottom"/>
                </w:tcPr>
                <w:p w14:paraId="6E505BC9">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15</w:t>
                  </w:r>
                </w:p>
              </w:tc>
              <w:tc>
                <w:tcPr>
                  <w:tcW w:w="580" w:type="pct"/>
                  <w:tcBorders>
                    <w:tl2br w:val="nil"/>
                    <w:tr2bl w:val="nil"/>
                  </w:tcBorders>
                  <w:vAlign w:val="bottom"/>
                </w:tcPr>
                <w:p w14:paraId="65842546">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20</w:t>
                  </w:r>
                </w:p>
              </w:tc>
            </w:tr>
            <w:tr w14:paraId="2BE0632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267" w:hRule="atLeast"/>
                <w:jc w:val="center"/>
              </w:trPr>
              <w:tc>
                <w:tcPr>
                  <w:tcW w:w="475" w:type="pct"/>
                  <w:vMerge w:val="continue"/>
                  <w:tcBorders>
                    <w:tl2br w:val="nil"/>
                    <w:tr2bl w:val="nil"/>
                  </w:tcBorders>
                  <w:vAlign w:val="center"/>
                </w:tcPr>
                <w:p w14:paraId="3B10CBC3">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p>
              </w:tc>
              <w:tc>
                <w:tcPr>
                  <w:tcW w:w="302" w:type="pct"/>
                  <w:tcBorders>
                    <w:tl2br w:val="nil"/>
                    <w:tr2bl w:val="nil"/>
                  </w:tcBorders>
                  <w:vAlign w:val="center"/>
                </w:tcPr>
                <w:p w14:paraId="041A448A">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出口</w:t>
                  </w:r>
                </w:p>
              </w:tc>
              <w:tc>
                <w:tcPr>
                  <w:tcW w:w="503" w:type="pct"/>
                  <w:tcBorders>
                    <w:tl2br w:val="nil"/>
                    <w:tr2bl w:val="nil"/>
                  </w:tcBorders>
                  <w:vAlign w:val="center"/>
                </w:tcPr>
                <w:p w14:paraId="7199D396">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6.5~7.5</w:t>
                  </w:r>
                </w:p>
              </w:tc>
              <w:tc>
                <w:tcPr>
                  <w:tcW w:w="522" w:type="pct"/>
                  <w:tcBorders>
                    <w:tl2br w:val="nil"/>
                    <w:tr2bl w:val="nil"/>
                  </w:tcBorders>
                  <w:vAlign w:val="bottom"/>
                </w:tcPr>
                <w:p w14:paraId="13E72E35">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953.7 </w:t>
                  </w:r>
                </w:p>
              </w:tc>
              <w:tc>
                <w:tcPr>
                  <w:tcW w:w="523" w:type="pct"/>
                  <w:tcBorders>
                    <w:tl2br w:val="nil"/>
                    <w:tr2bl w:val="nil"/>
                  </w:tcBorders>
                  <w:vAlign w:val="bottom"/>
                </w:tcPr>
                <w:p w14:paraId="3659C850">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474.4 </w:t>
                  </w:r>
                </w:p>
              </w:tc>
              <w:tc>
                <w:tcPr>
                  <w:tcW w:w="523" w:type="pct"/>
                  <w:tcBorders>
                    <w:tl2br w:val="nil"/>
                    <w:tr2bl w:val="nil"/>
                  </w:tcBorders>
                  <w:vAlign w:val="bottom"/>
                </w:tcPr>
                <w:p w14:paraId="670180CF">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183.9 </w:t>
                  </w:r>
                </w:p>
              </w:tc>
              <w:tc>
                <w:tcPr>
                  <w:tcW w:w="523" w:type="pct"/>
                  <w:tcBorders>
                    <w:tl2br w:val="nil"/>
                    <w:tr2bl w:val="nil"/>
                  </w:tcBorders>
                  <w:vAlign w:val="bottom"/>
                </w:tcPr>
                <w:p w14:paraId="78AD285B">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107.9 </w:t>
                  </w:r>
                </w:p>
              </w:tc>
              <w:tc>
                <w:tcPr>
                  <w:tcW w:w="523" w:type="pct"/>
                  <w:tcBorders>
                    <w:tl2br w:val="nil"/>
                    <w:tr2bl w:val="nil"/>
                  </w:tcBorders>
                  <w:vAlign w:val="bottom"/>
                </w:tcPr>
                <w:p w14:paraId="178F0605">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35.2 </w:t>
                  </w:r>
                </w:p>
              </w:tc>
              <w:tc>
                <w:tcPr>
                  <w:tcW w:w="523" w:type="pct"/>
                  <w:tcBorders>
                    <w:tl2br w:val="nil"/>
                    <w:tr2bl w:val="nil"/>
                  </w:tcBorders>
                  <w:vAlign w:val="bottom"/>
                </w:tcPr>
                <w:p w14:paraId="73F29DB2">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11.0 </w:t>
                  </w:r>
                </w:p>
              </w:tc>
              <w:tc>
                <w:tcPr>
                  <w:tcW w:w="580" w:type="pct"/>
                  <w:tcBorders>
                    <w:tl2br w:val="nil"/>
                    <w:tr2bl w:val="nil"/>
                  </w:tcBorders>
                  <w:vAlign w:val="bottom"/>
                </w:tcPr>
                <w:p w14:paraId="27DE05ED">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173.1 </w:t>
                  </w:r>
                </w:p>
              </w:tc>
            </w:tr>
            <w:tr w14:paraId="7CCEAAF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475" w:type="pct"/>
                  <w:vMerge w:val="restart"/>
                  <w:tcBorders>
                    <w:tl2br w:val="nil"/>
                    <w:tr2bl w:val="nil"/>
                  </w:tcBorders>
                  <w:vAlign w:val="center"/>
                </w:tcPr>
                <w:p w14:paraId="413BDD84">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水解酸化+好氧处理</w:t>
                  </w:r>
                  <w:r>
                    <w:rPr>
                      <w:rFonts w:hint="eastAsia"/>
                      <w:b w:val="0"/>
                      <w:bCs/>
                      <w:smallCaps w:val="0"/>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MBR</w:t>
                  </w:r>
                </w:p>
              </w:tc>
              <w:tc>
                <w:tcPr>
                  <w:tcW w:w="302" w:type="pct"/>
                  <w:tcBorders>
                    <w:tl2br w:val="nil"/>
                    <w:tr2bl w:val="nil"/>
                  </w:tcBorders>
                  <w:shd w:val="clear" w:color="auto" w:fill="auto"/>
                  <w:vAlign w:val="center"/>
                </w:tcPr>
                <w:p w14:paraId="184C49F9">
                  <w:pPr>
                    <w:snapToGrid w:val="0"/>
                    <w:jc w:val="center"/>
                    <w:rPr>
                      <w:rFonts w:hint="eastAsia"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进口</w:t>
                  </w:r>
                </w:p>
              </w:tc>
              <w:tc>
                <w:tcPr>
                  <w:tcW w:w="503" w:type="pct"/>
                  <w:tcBorders>
                    <w:tl2br w:val="nil"/>
                    <w:tr2bl w:val="nil"/>
                  </w:tcBorders>
                  <w:shd w:val="clear" w:color="auto" w:fill="auto"/>
                  <w:vAlign w:val="center"/>
                </w:tcPr>
                <w:p w14:paraId="6725DC2E">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6.5~7.5</w:t>
                  </w:r>
                </w:p>
              </w:tc>
              <w:tc>
                <w:tcPr>
                  <w:tcW w:w="522" w:type="pct"/>
                  <w:tcBorders>
                    <w:tl2br w:val="nil"/>
                    <w:tr2bl w:val="nil"/>
                  </w:tcBorders>
                  <w:shd w:val="clear" w:color="auto" w:fill="auto"/>
                  <w:vAlign w:val="bottom"/>
                </w:tcPr>
                <w:p w14:paraId="4D023492">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953.7 </w:t>
                  </w:r>
                </w:p>
              </w:tc>
              <w:tc>
                <w:tcPr>
                  <w:tcW w:w="523" w:type="pct"/>
                  <w:tcBorders>
                    <w:tl2br w:val="nil"/>
                    <w:tr2bl w:val="nil"/>
                  </w:tcBorders>
                  <w:shd w:val="clear" w:color="auto" w:fill="auto"/>
                  <w:vAlign w:val="bottom"/>
                </w:tcPr>
                <w:p w14:paraId="1DAC99E0">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474.4 </w:t>
                  </w:r>
                </w:p>
              </w:tc>
              <w:tc>
                <w:tcPr>
                  <w:tcW w:w="523" w:type="pct"/>
                  <w:tcBorders>
                    <w:tl2br w:val="nil"/>
                    <w:tr2bl w:val="nil"/>
                  </w:tcBorders>
                  <w:shd w:val="clear" w:color="auto" w:fill="auto"/>
                  <w:vAlign w:val="bottom"/>
                </w:tcPr>
                <w:p w14:paraId="16011154">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183.9 </w:t>
                  </w:r>
                </w:p>
              </w:tc>
              <w:tc>
                <w:tcPr>
                  <w:tcW w:w="523" w:type="pct"/>
                  <w:tcBorders>
                    <w:tl2br w:val="nil"/>
                    <w:tr2bl w:val="nil"/>
                  </w:tcBorders>
                  <w:shd w:val="clear" w:color="auto" w:fill="auto"/>
                  <w:vAlign w:val="bottom"/>
                </w:tcPr>
                <w:p w14:paraId="02AE3B88">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107.9 </w:t>
                  </w:r>
                </w:p>
              </w:tc>
              <w:tc>
                <w:tcPr>
                  <w:tcW w:w="523" w:type="pct"/>
                  <w:tcBorders>
                    <w:tl2br w:val="nil"/>
                    <w:tr2bl w:val="nil"/>
                  </w:tcBorders>
                  <w:shd w:val="clear" w:color="auto" w:fill="auto"/>
                  <w:vAlign w:val="bottom"/>
                </w:tcPr>
                <w:p w14:paraId="53C0A6EB">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35.2 </w:t>
                  </w:r>
                </w:p>
              </w:tc>
              <w:tc>
                <w:tcPr>
                  <w:tcW w:w="523" w:type="pct"/>
                  <w:tcBorders>
                    <w:tl2br w:val="nil"/>
                    <w:tr2bl w:val="nil"/>
                  </w:tcBorders>
                  <w:shd w:val="clear" w:color="auto" w:fill="auto"/>
                  <w:vAlign w:val="bottom"/>
                </w:tcPr>
                <w:p w14:paraId="0A806FC5">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11.0 </w:t>
                  </w:r>
                </w:p>
              </w:tc>
              <w:tc>
                <w:tcPr>
                  <w:tcW w:w="580" w:type="pct"/>
                  <w:tcBorders>
                    <w:tl2br w:val="nil"/>
                    <w:tr2bl w:val="nil"/>
                  </w:tcBorders>
                  <w:shd w:val="clear" w:color="auto" w:fill="auto"/>
                  <w:vAlign w:val="bottom"/>
                </w:tcPr>
                <w:p w14:paraId="185ECEB0">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173.1 </w:t>
                  </w:r>
                </w:p>
              </w:tc>
            </w:tr>
            <w:tr w14:paraId="4C6C08F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475" w:type="pct"/>
                  <w:vMerge w:val="continue"/>
                  <w:tcBorders>
                    <w:tl2br w:val="nil"/>
                    <w:tr2bl w:val="nil"/>
                  </w:tcBorders>
                  <w:vAlign w:val="center"/>
                </w:tcPr>
                <w:p w14:paraId="77401902">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p>
              </w:tc>
              <w:tc>
                <w:tcPr>
                  <w:tcW w:w="302" w:type="pct"/>
                  <w:tcBorders>
                    <w:tl2br w:val="nil"/>
                    <w:tr2bl w:val="nil"/>
                  </w:tcBorders>
                  <w:shd w:val="clear" w:color="auto" w:fill="auto"/>
                  <w:vAlign w:val="center"/>
                </w:tcPr>
                <w:p w14:paraId="7771FC01">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去除率</w:t>
                  </w:r>
                  <w:r>
                    <w:rPr>
                      <w:rFonts w:hint="eastAsia"/>
                      <w:b w:val="0"/>
                      <w:bCs/>
                      <w:smallCaps w:val="0"/>
                      <w:color w:val="000000" w:themeColor="text1"/>
                      <w:kern w:val="0"/>
                      <w:sz w:val="21"/>
                      <w:szCs w:val="21"/>
                      <w:highlight w:val="none"/>
                      <w:lang w:val="en-US" w:eastAsia="zh-CN"/>
                      <w14:textFill>
                        <w14:solidFill>
                          <w14:schemeClr w14:val="tx1"/>
                        </w14:solidFill>
                      </w14:textFill>
                    </w:rPr>
                    <w:t>%</w:t>
                  </w:r>
                </w:p>
              </w:tc>
              <w:tc>
                <w:tcPr>
                  <w:tcW w:w="503" w:type="pct"/>
                  <w:tcBorders>
                    <w:tl2br w:val="nil"/>
                    <w:tr2bl w:val="nil"/>
                  </w:tcBorders>
                  <w:vAlign w:val="center"/>
                </w:tcPr>
                <w:p w14:paraId="4B1F6FCD">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w:t>
                  </w:r>
                </w:p>
              </w:tc>
              <w:tc>
                <w:tcPr>
                  <w:tcW w:w="522" w:type="pct"/>
                  <w:tcBorders>
                    <w:tl2br w:val="nil"/>
                    <w:tr2bl w:val="nil"/>
                  </w:tcBorders>
                  <w:vAlign w:val="bottom"/>
                </w:tcPr>
                <w:p w14:paraId="1320A058">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88</w:t>
                  </w:r>
                </w:p>
              </w:tc>
              <w:tc>
                <w:tcPr>
                  <w:tcW w:w="523" w:type="pct"/>
                  <w:tcBorders>
                    <w:tl2br w:val="nil"/>
                    <w:tr2bl w:val="nil"/>
                  </w:tcBorders>
                  <w:vAlign w:val="bottom"/>
                </w:tcPr>
                <w:p w14:paraId="742D3439">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92</w:t>
                  </w:r>
                </w:p>
              </w:tc>
              <w:tc>
                <w:tcPr>
                  <w:tcW w:w="523" w:type="pct"/>
                  <w:tcBorders>
                    <w:tl2br w:val="nil"/>
                    <w:tr2bl w:val="nil"/>
                  </w:tcBorders>
                  <w:vAlign w:val="bottom"/>
                </w:tcPr>
                <w:p w14:paraId="2A379325">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80</w:t>
                  </w:r>
                </w:p>
              </w:tc>
              <w:tc>
                <w:tcPr>
                  <w:tcW w:w="523" w:type="pct"/>
                  <w:tcBorders>
                    <w:tl2br w:val="nil"/>
                    <w:tr2bl w:val="nil"/>
                  </w:tcBorders>
                  <w:vAlign w:val="bottom"/>
                </w:tcPr>
                <w:p w14:paraId="26EE77DD">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88</w:t>
                  </w:r>
                </w:p>
              </w:tc>
              <w:tc>
                <w:tcPr>
                  <w:tcW w:w="523" w:type="pct"/>
                  <w:tcBorders>
                    <w:tl2br w:val="nil"/>
                    <w:tr2bl w:val="nil"/>
                  </w:tcBorders>
                  <w:vAlign w:val="bottom"/>
                </w:tcPr>
                <w:p w14:paraId="005DC893">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85</w:t>
                  </w:r>
                </w:p>
              </w:tc>
              <w:tc>
                <w:tcPr>
                  <w:tcW w:w="523" w:type="pct"/>
                  <w:tcBorders>
                    <w:tl2br w:val="nil"/>
                    <w:tr2bl w:val="nil"/>
                  </w:tcBorders>
                  <w:vAlign w:val="bottom"/>
                </w:tcPr>
                <w:p w14:paraId="25F8BF37">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88</w:t>
                  </w:r>
                </w:p>
              </w:tc>
              <w:tc>
                <w:tcPr>
                  <w:tcW w:w="580" w:type="pct"/>
                  <w:tcBorders>
                    <w:tl2br w:val="nil"/>
                    <w:tr2bl w:val="nil"/>
                  </w:tcBorders>
                  <w:vAlign w:val="bottom"/>
                </w:tcPr>
                <w:p w14:paraId="51984825">
                  <w:pPr>
                    <w:keepNext w:val="0"/>
                    <w:keepLines w:val="0"/>
                    <w:widowControl/>
                    <w:suppressLineNumbers w:val="0"/>
                    <w:jc w:val="center"/>
                    <w:textAlignment w:val="bottom"/>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88</w:t>
                  </w:r>
                </w:p>
              </w:tc>
            </w:tr>
            <w:tr w14:paraId="28E3F39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475" w:type="pct"/>
                  <w:vMerge w:val="continue"/>
                  <w:tcBorders>
                    <w:tl2br w:val="nil"/>
                    <w:tr2bl w:val="nil"/>
                  </w:tcBorders>
                  <w:vAlign w:val="center"/>
                </w:tcPr>
                <w:p w14:paraId="29490885">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p>
              </w:tc>
              <w:tc>
                <w:tcPr>
                  <w:tcW w:w="302" w:type="pct"/>
                  <w:tcBorders>
                    <w:tl2br w:val="nil"/>
                    <w:tr2bl w:val="nil"/>
                  </w:tcBorders>
                  <w:shd w:val="clear" w:color="auto" w:fill="auto"/>
                  <w:vAlign w:val="center"/>
                </w:tcPr>
                <w:p w14:paraId="76DDC2E5">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出口</w:t>
                  </w:r>
                </w:p>
              </w:tc>
              <w:tc>
                <w:tcPr>
                  <w:tcW w:w="503" w:type="pct"/>
                  <w:tcBorders>
                    <w:tl2br w:val="nil"/>
                    <w:tr2bl w:val="nil"/>
                  </w:tcBorders>
                  <w:shd w:val="clear" w:color="auto" w:fill="F1F1F1" w:themeFill="background1" w:themeFillShade="F2"/>
                  <w:vAlign w:val="center"/>
                </w:tcPr>
                <w:p w14:paraId="39070722">
                  <w:pPr>
                    <w:snapToGrid w:val="0"/>
                    <w:jc w:val="center"/>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6.5~7.5</w:t>
                  </w:r>
                </w:p>
              </w:tc>
              <w:tc>
                <w:tcPr>
                  <w:tcW w:w="522" w:type="pct"/>
                  <w:tcBorders>
                    <w:tl2br w:val="nil"/>
                    <w:tr2bl w:val="nil"/>
                  </w:tcBorders>
                  <w:shd w:val="clear" w:color="auto" w:fill="F1F1F1" w:themeFill="background1" w:themeFillShade="F2"/>
                  <w:vAlign w:val="bottom"/>
                </w:tcPr>
                <w:p w14:paraId="272790EF">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114.4 </w:t>
                  </w:r>
                </w:p>
              </w:tc>
              <w:tc>
                <w:tcPr>
                  <w:tcW w:w="523" w:type="pct"/>
                  <w:tcBorders>
                    <w:tl2br w:val="nil"/>
                    <w:tr2bl w:val="nil"/>
                  </w:tcBorders>
                  <w:shd w:val="clear" w:color="auto" w:fill="F1F1F1" w:themeFill="background1" w:themeFillShade="F2"/>
                  <w:vAlign w:val="bottom"/>
                </w:tcPr>
                <w:p w14:paraId="668F5611">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37.9 </w:t>
                  </w:r>
                </w:p>
              </w:tc>
              <w:tc>
                <w:tcPr>
                  <w:tcW w:w="523" w:type="pct"/>
                  <w:tcBorders>
                    <w:tl2br w:val="nil"/>
                    <w:tr2bl w:val="nil"/>
                  </w:tcBorders>
                  <w:shd w:val="clear" w:color="auto" w:fill="F1F1F1" w:themeFill="background1" w:themeFillShade="F2"/>
                  <w:vAlign w:val="bottom"/>
                </w:tcPr>
                <w:p w14:paraId="6DB04A62">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36.8 </w:t>
                  </w:r>
                </w:p>
              </w:tc>
              <w:tc>
                <w:tcPr>
                  <w:tcW w:w="523" w:type="pct"/>
                  <w:tcBorders>
                    <w:tl2br w:val="nil"/>
                    <w:tr2bl w:val="nil"/>
                  </w:tcBorders>
                  <w:shd w:val="clear" w:color="auto" w:fill="F1F1F1" w:themeFill="background1" w:themeFillShade="F2"/>
                  <w:vAlign w:val="bottom"/>
                </w:tcPr>
                <w:p w14:paraId="41EE0B91">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13.0 </w:t>
                  </w:r>
                </w:p>
              </w:tc>
              <w:tc>
                <w:tcPr>
                  <w:tcW w:w="523" w:type="pct"/>
                  <w:tcBorders>
                    <w:tl2br w:val="nil"/>
                    <w:tr2bl w:val="nil"/>
                  </w:tcBorders>
                  <w:shd w:val="clear" w:color="auto" w:fill="F1F1F1" w:themeFill="background1" w:themeFillShade="F2"/>
                  <w:vAlign w:val="bottom"/>
                </w:tcPr>
                <w:p w14:paraId="198AEA82">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5.3 </w:t>
                  </w:r>
                </w:p>
              </w:tc>
              <w:tc>
                <w:tcPr>
                  <w:tcW w:w="523" w:type="pct"/>
                  <w:tcBorders>
                    <w:tl2br w:val="nil"/>
                    <w:tr2bl w:val="nil"/>
                  </w:tcBorders>
                  <w:shd w:val="clear" w:color="auto" w:fill="F1F1F1" w:themeFill="background1" w:themeFillShade="F2"/>
                  <w:vAlign w:val="bottom"/>
                </w:tcPr>
                <w:p w14:paraId="06AC83F7">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1.3 </w:t>
                  </w:r>
                </w:p>
              </w:tc>
              <w:tc>
                <w:tcPr>
                  <w:tcW w:w="580" w:type="pct"/>
                  <w:tcBorders>
                    <w:tl2br w:val="nil"/>
                    <w:tr2bl w:val="nil"/>
                  </w:tcBorders>
                  <w:shd w:val="clear" w:color="auto" w:fill="F1F1F1" w:themeFill="background1" w:themeFillShade="F2"/>
                  <w:vAlign w:val="bottom"/>
                </w:tcPr>
                <w:p w14:paraId="1CC001F7">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 xml:space="preserve">20.8 </w:t>
                  </w:r>
                </w:p>
              </w:tc>
            </w:tr>
            <w:tr w14:paraId="1F72838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77" w:type="pct"/>
                  <w:gridSpan w:val="2"/>
                  <w:tcBorders>
                    <w:tl2br w:val="nil"/>
                    <w:tr2bl w:val="nil"/>
                  </w:tcBorders>
                  <w:vAlign w:val="center"/>
                </w:tcPr>
                <w:p w14:paraId="172A942A">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接管标准</w:t>
                  </w:r>
                </w:p>
              </w:tc>
              <w:tc>
                <w:tcPr>
                  <w:tcW w:w="503" w:type="pct"/>
                  <w:tcBorders>
                    <w:tl2br w:val="nil"/>
                    <w:tr2bl w:val="nil"/>
                  </w:tcBorders>
                  <w:shd w:val="clear" w:color="auto" w:fill="auto"/>
                  <w:vAlign w:val="center"/>
                </w:tcPr>
                <w:p w14:paraId="2473165F">
                  <w:pPr>
                    <w:snapToGrid w:val="0"/>
                    <w:jc w:val="center"/>
                    <w:rPr>
                      <w:rFonts w:hint="eastAsia"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6~9</w:t>
                  </w:r>
                </w:p>
              </w:tc>
              <w:tc>
                <w:tcPr>
                  <w:tcW w:w="522" w:type="pct"/>
                  <w:tcBorders>
                    <w:tl2br w:val="nil"/>
                    <w:tr2bl w:val="nil"/>
                  </w:tcBorders>
                  <w:shd w:val="clear" w:color="auto" w:fill="auto"/>
                  <w:vAlign w:val="bottom"/>
                </w:tcPr>
                <w:p w14:paraId="2686C5C5">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500</w:t>
                  </w:r>
                </w:p>
              </w:tc>
              <w:tc>
                <w:tcPr>
                  <w:tcW w:w="523" w:type="pct"/>
                  <w:tcBorders>
                    <w:tl2br w:val="nil"/>
                    <w:tr2bl w:val="nil"/>
                  </w:tcBorders>
                  <w:shd w:val="clear" w:color="auto" w:fill="auto"/>
                  <w:vAlign w:val="bottom"/>
                </w:tcPr>
                <w:p w14:paraId="495BA88D">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350</w:t>
                  </w:r>
                </w:p>
              </w:tc>
              <w:tc>
                <w:tcPr>
                  <w:tcW w:w="523" w:type="pct"/>
                  <w:tcBorders>
                    <w:tl2br w:val="nil"/>
                    <w:tr2bl w:val="nil"/>
                  </w:tcBorders>
                  <w:shd w:val="clear" w:color="auto" w:fill="auto"/>
                  <w:vAlign w:val="bottom"/>
                </w:tcPr>
                <w:p w14:paraId="78786CE8">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400</w:t>
                  </w:r>
                </w:p>
              </w:tc>
              <w:tc>
                <w:tcPr>
                  <w:tcW w:w="523" w:type="pct"/>
                  <w:tcBorders>
                    <w:tl2br w:val="nil"/>
                    <w:tr2bl w:val="nil"/>
                  </w:tcBorders>
                  <w:shd w:val="clear" w:color="auto" w:fill="auto"/>
                  <w:vAlign w:val="bottom"/>
                </w:tcPr>
                <w:p w14:paraId="2C7500BF">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45</w:t>
                  </w:r>
                </w:p>
              </w:tc>
              <w:tc>
                <w:tcPr>
                  <w:tcW w:w="523" w:type="pct"/>
                  <w:tcBorders>
                    <w:tl2br w:val="nil"/>
                    <w:tr2bl w:val="nil"/>
                  </w:tcBorders>
                  <w:shd w:val="clear" w:color="auto" w:fill="auto"/>
                  <w:vAlign w:val="bottom"/>
                </w:tcPr>
                <w:p w14:paraId="4E9F34DD">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100</w:t>
                  </w:r>
                </w:p>
              </w:tc>
              <w:tc>
                <w:tcPr>
                  <w:tcW w:w="523" w:type="pct"/>
                  <w:tcBorders>
                    <w:tl2br w:val="nil"/>
                    <w:tr2bl w:val="nil"/>
                  </w:tcBorders>
                  <w:shd w:val="clear" w:color="auto" w:fill="auto"/>
                  <w:vAlign w:val="bottom"/>
                </w:tcPr>
                <w:p w14:paraId="1620391A">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8</w:t>
                  </w:r>
                </w:p>
              </w:tc>
              <w:tc>
                <w:tcPr>
                  <w:tcW w:w="580" w:type="pct"/>
                  <w:tcBorders>
                    <w:tl2br w:val="nil"/>
                    <w:tr2bl w:val="nil"/>
                  </w:tcBorders>
                  <w:shd w:val="clear" w:color="auto" w:fill="auto"/>
                  <w:vAlign w:val="bottom"/>
                </w:tcPr>
                <w:p w14:paraId="7353A907">
                  <w:pPr>
                    <w:keepNext w:val="0"/>
                    <w:keepLines w:val="0"/>
                    <w:widowControl/>
                    <w:suppressLineNumbers w:val="0"/>
                    <w:jc w:val="center"/>
                    <w:textAlignment w:val="bottom"/>
                    <w:rPr>
                      <w:rFonts w:hint="default"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70</w:t>
                  </w:r>
                </w:p>
              </w:tc>
            </w:tr>
            <w:tr w14:paraId="34CA7E1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77" w:type="pct"/>
                  <w:gridSpan w:val="2"/>
                  <w:tcBorders>
                    <w:tl2br w:val="nil"/>
                    <w:tr2bl w:val="nil"/>
                  </w:tcBorders>
                  <w:vAlign w:val="center"/>
                </w:tcPr>
                <w:p w14:paraId="0A011F15">
                  <w:pPr>
                    <w:snapToGrid w:val="0"/>
                    <w:jc w:val="center"/>
                    <w:rPr>
                      <w:rFonts w:hint="default"/>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达标情况</w:t>
                  </w:r>
                </w:p>
              </w:tc>
              <w:tc>
                <w:tcPr>
                  <w:tcW w:w="503" w:type="pct"/>
                  <w:tcBorders>
                    <w:tl2br w:val="nil"/>
                    <w:tr2bl w:val="nil"/>
                  </w:tcBorders>
                  <w:shd w:val="clear" w:color="auto" w:fill="auto"/>
                  <w:vAlign w:val="center"/>
                </w:tcPr>
                <w:p w14:paraId="7E49020A">
                  <w:pPr>
                    <w:snapToGrid w:val="0"/>
                    <w:jc w:val="center"/>
                    <w:rPr>
                      <w:rFonts w:hint="default"/>
                      <w:b w:val="0"/>
                      <w:bCs/>
                      <w:smallCaps w:val="0"/>
                      <w:color w:val="000000" w:themeColor="text1"/>
                      <w:kern w:val="0"/>
                      <w:sz w:val="21"/>
                      <w:szCs w:val="21"/>
                      <w:highlight w:val="none"/>
                      <w:lang w:val="en-US" w:eastAsia="zh-CN"/>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2" w:type="pct"/>
                  <w:tcBorders>
                    <w:tl2br w:val="nil"/>
                    <w:tr2bl w:val="nil"/>
                  </w:tcBorders>
                  <w:shd w:val="clear" w:color="auto" w:fill="auto"/>
                  <w:vAlign w:val="bottom"/>
                </w:tcPr>
                <w:p w14:paraId="79F0AB21">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3" w:type="pct"/>
                  <w:tcBorders>
                    <w:tl2br w:val="nil"/>
                    <w:tr2bl w:val="nil"/>
                  </w:tcBorders>
                  <w:shd w:val="clear" w:color="auto" w:fill="auto"/>
                  <w:vAlign w:val="bottom"/>
                </w:tcPr>
                <w:p w14:paraId="517F54B0">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3" w:type="pct"/>
                  <w:tcBorders>
                    <w:tl2br w:val="nil"/>
                    <w:tr2bl w:val="nil"/>
                  </w:tcBorders>
                  <w:shd w:val="clear" w:color="auto" w:fill="auto"/>
                  <w:vAlign w:val="bottom"/>
                </w:tcPr>
                <w:p w14:paraId="6EB46AF0">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3" w:type="pct"/>
                  <w:tcBorders>
                    <w:tl2br w:val="nil"/>
                    <w:tr2bl w:val="nil"/>
                  </w:tcBorders>
                  <w:shd w:val="clear" w:color="auto" w:fill="auto"/>
                  <w:vAlign w:val="bottom"/>
                </w:tcPr>
                <w:p w14:paraId="18B59169">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3" w:type="pct"/>
                  <w:tcBorders>
                    <w:tl2br w:val="nil"/>
                    <w:tr2bl w:val="nil"/>
                  </w:tcBorders>
                  <w:shd w:val="clear" w:color="auto" w:fill="auto"/>
                  <w:vAlign w:val="bottom"/>
                </w:tcPr>
                <w:p w14:paraId="08D22BE6">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23" w:type="pct"/>
                  <w:tcBorders>
                    <w:tl2br w:val="nil"/>
                    <w:tr2bl w:val="nil"/>
                  </w:tcBorders>
                  <w:shd w:val="clear" w:color="auto" w:fill="auto"/>
                  <w:vAlign w:val="bottom"/>
                </w:tcPr>
                <w:p w14:paraId="37A9F2E0">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c>
                <w:tcPr>
                  <w:tcW w:w="580" w:type="pct"/>
                  <w:tcBorders>
                    <w:tl2br w:val="nil"/>
                    <w:tr2bl w:val="nil"/>
                  </w:tcBorders>
                  <w:shd w:val="clear" w:color="auto" w:fill="auto"/>
                  <w:vAlign w:val="bottom"/>
                </w:tcPr>
                <w:p w14:paraId="66A1FDA1">
                  <w:pPr>
                    <w:keepNext w:val="0"/>
                    <w:keepLines w:val="0"/>
                    <w:widowControl/>
                    <w:suppressLineNumbers w:val="0"/>
                    <w:jc w:val="center"/>
                    <w:textAlignment w:val="bottom"/>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eastAsia"/>
                      <w:b w:val="0"/>
                      <w:bCs/>
                      <w:smallCaps w:val="0"/>
                      <w:color w:val="000000" w:themeColor="text1"/>
                      <w:kern w:val="0"/>
                      <w:sz w:val="21"/>
                      <w:szCs w:val="21"/>
                      <w:highlight w:val="none"/>
                      <w:lang w:val="en-US" w:eastAsia="zh-CN"/>
                      <w14:textFill>
                        <w14:solidFill>
                          <w14:schemeClr w14:val="tx1"/>
                        </w14:solidFill>
                      </w14:textFill>
                    </w:rPr>
                    <w:t>达标</w:t>
                  </w:r>
                </w:p>
              </w:tc>
            </w:tr>
          </w:tbl>
          <w:p w14:paraId="3994FE35">
            <w:pPr>
              <w:tabs>
                <w:tab w:val="left" w:pos="3435"/>
              </w:tabs>
              <w:autoSpaceDE w:val="0"/>
              <w:autoSpaceDN w:val="0"/>
              <w:spacing w:line="360" w:lineRule="auto"/>
              <w:ind w:firstLine="420" w:firstLineChars="200"/>
              <w:rPr>
                <w:rFonts w:hint="eastAsia"/>
                <w:color w:val="000000" w:themeColor="text1"/>
                <w:spacing w:val="-4"/>
                <w:lang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根据上表分析可知，经‘</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格栅+絮凝沉淀+静态沉淀</w:t>
            </w:r>
            <w:r>
              <w:rPr>
                <w:rFonts w:hint="eastAsia" w:cs="宋体"/>
                <w:smallCaps w:val="0"/>
                <w:color w:val="000000" w:themeColor="text1"/>
                <w:sz w:val="21"/>
                <w:szCs w:val="21"/>
                <w:highlight w:val="none"/>
                <w:lang w:val="en-US" w:eastAsia="zh-CN"/>
                <w14:textFill>
                  <w14:solidFill>
                    <w14:schemeClr w14:val="tx1"/>
                  </w14:solidFill>
                </w14:textFill>
              </w:rPr>
              <w:t>’</w:t>
            </w:r>
            <w:r>
              <w:rPr>
                <w:rFonts w:hint="eastAsia" w:ascii="Times New Roman" w:hAnsi="Times New Roman"/>
                <w:b w:val="0"/>
                <w:bCs/>
                <w:smallCaps w:val="0"/>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水解酸化+好氧处理</w:t>
            </w:r>
            <w:r>
              <w:rPr>
                <w:rFonts w:hint="eastAsia" w:ascii="Times New Roman" w:hAnsi="Times New Roman"/>
                <w:b w:val="0"/>
                <w:bCs/>
                <w:smallCaps w:val="0"/>
                <w:color w:val="000000" w:themeColor="text1"/>
                <w:kern w:val="0"/>
                <w:sz w:val="21"/>
                <w:szCs w:val="21"/>
                <w:highlight w:val="none"/>
                <w:lang w:val="en-US" w:eastAsia="zh-CN"/>
                <w14:textFill>
                  <w14:solidFill>
                    <w14:schemeClr w14:val="tx1"/>
                  </w14:solidFill>
                </w14:textFill>
              </w:rPr>
              <w:t>’处理后可达指前污水处理厂接管标准</w:t>
            </w:r>
            <w:r>
              <w:rPr>
                <w:rFonts w:hint="eastAsia"/>
                <w:b w:val="0"/>
                <w:bCs/>
                <w:smallCaps w:val="0"/>
                <w:color w:val="000000" w:themeColor="text1"/>
                <w:kern w:val="0"/>
                <w:sz w:val="21"/>
                <w:szCs w:val="21"/>
                <w:highlight w:val="none"/>
                <w:lang w:val="en-US" w:eastAsia="zh-CN"/>
                <w14:textFill>
                  <w14:solidFill>
                    <w14:schemeClr w14:val="tx1"/>
                  </w14:solidFill>
                </w14:textFill>
              </w:rPr>
              <w:t>。</w:t>
            </w:r>
          </w:p>
          <w:p w14:paraId="59199708">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14:textFill>
                  <w14:solidFill>
                    <w14:schemeClr w14:val="tx1"/>
                  </w14:solidFill>
                </w14:textFill>
              </w:rPr>
            </w:pP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根据《排污许可证申请与核发技术规范 农副食品加工工业</w:t>
            </w:r>
            <w:r>
              <w:rPr>
                <w:rFonts w:hint="eastAsia" w:cs="宋体"/>
                <w:smallCaps w:val="0"/>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屠宰及肉类加工工业》（HJ860.3-2018）中表7屠宰及肉类加工工业排污单位废水</w:t>
            </w:r>
            <w:r>
              <w:rPr>
                <w:rFonts w:hint="eastAsia" w:cs="宋体"/>
                <w:smallCaps w:val="0"/>
                <w:color w:val="000000" w:themeColor="text1"/>
                <w:sz w:val="21"/>
                <w:szCs w:val="21"/>
                <w:highlight w:val="none"/>
                <w:lang w:val="en-US" w:eastAsia="zh-CN"/>
                <w14:textFill>
                  <w14:solidFill>
                    <w14:schemeClr w14:val="tx1"/>
                  </w14:solidFill>
                </w14:textFill>
              </w:rPr>
              <w:t>治理</w:t>
            </w: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可行技术参照表</w:t>
            </w:r>
            <w:r>
              <w:rPr>
                <w:rFonts w:hint="eastAsia" w:cs="宋体"/>
                <w:smallCaps w:val="0"/>
                <w:color w:val="000000" w:themeColor="text1"/>
                <w:sz w:val="21"/>
                <w:szCs w:val="21"/>
                <w:highlight w:val="none"/>
                <w:lang w:val="en-US" w:eastAsia="zh-CN"/>
                <w14:textFill>
                  <w14:solidFill>
                    <w14:schemeClr w14:val="tx1"/>
                  </w14:solidFill>
                </w14:textFill>
              </w:rPr>
              <w:t>—厂内综合污水处理站的综合污水、专门处理屠宰及肉类加工废水的集中式污水处理厂综合污水（屠宰及肉制品加工生产废水、生活污水、初期雨水等）—不含羽绒清洗废水—间接排放—排入城镇污水集中处理设施：执行GB13457的三级限值，</w:t>
            </w: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分析项目工程工艺技术可行性。</w:t>
            </w:r>
          </w:p>
          <w:p w14:paraId="00724F07">
            <w:pPr>
              <w:keepNext w:val="0"/>
              <w:keepLines w:val="0"/>
              <w:pageBreakBefore w:val="0"/>
              <w:widowControl w:val="0"/>
              <w:tabs>
                <w:tab w:val="left" w:pos="960"/>
              </w:tabs>
              <w:kinsoku/>
              <w:wordWrap/>
              <w:overflowPunct/>
              <w:topLinePunct w:val="0"/>
              <w:autoSpaceDE/>
              <w:autoSpaceDN/>
              <w:bidi w:val="0"/>
              <w:adjustRightInd/>
              <w:snapToGrid/>
              <w:spacing w:before="157" w:beforeLines="50"/>
              <w:jc w:val="center"/>
              <w:textAlignment w:val="auto"/>
              <w:rPr>
                <w:rFonts w:hint="default"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表4-</w:t>
            </w:r>
            <w:r>
              <w:rPr>
                <w:rFonts w:hint="eastAsia" w:cs="Times New Roman"/>
                <w:b/>
                <w:bCs/>
                <w:smallCaps w:val="0"/>
                <w:color w:val="000000" w:themeColor="text1"/>
                <w:spacing w:val="-4"/>
                <w:sz w:val="21"/>
                <w:szCs w:val="21"/>
                <w:highlight w:val="none"/>
                <w:lang w:val="en-US" w:eastAsia="zh-CN"/>
                <w14:textFill>
                  <w14:solidFill>
                    <w14:schemeClr w14:val="tx1"/>
                  </w14:solidFill>
                </w14:textFill>
              </w:rPr>
              <w:t>13</w:t>
            </w:r>
            <w:r>
              <w:rPr>
                <w:rFonts w:hint="eastAsia"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 xml:space="preserve">  污染物去除效率预测表  单位：mg/L</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1164"/>
              <w:gridCol w:w="4210"/>
              <w:gridCol w:w="1729"/>
              <w:gridCol w:w="1153"/>
            </w:tblGrid>
            <w:tr w14:paraId="5463FEA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05" w:type="pct"/>
                  <w:tcBorders>
                    <w:tl2br w:val="nil"/>
                    <w:tr2bl w:val="nil"/>
                  </w:tcBorders>
                  <w:vAlign w:val="center"/>
                </w:tcPr>
                <w:p w14:paraId="3AF6D9F5">
                  <w:pPr>
                    <w:snapToGrid w:val="0"/>
                    <w:jc w:val="center"/>
                    <w:rPr>
                      <w:rFonts w:hint="default"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t>处理方式</w:t>
                  </w:r>
                </w:p>
              </w:tc>
              <w:tc>
                <w:tcPr>
                  <w:tcW w:w="2549" w:type="pct"/>
                  <w:tcBorders>
                    <w:tl2br w:val="nil"/>
                    <w:tr2bl w:val="nil"/>
                  </w:tcBorders>
                  <w:vAlign w:val="center"/>
                </w:tcPr>
                <w:p w14:paraId="4FC6744E">
                  <w:pPr>
                    <w:snapToGrid w:val="0"/>
                    <w:jc w:val="center"/>
                    <w:rPr>
                      <w:rFonts w:hint="default"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t>屠宰及肉类加工工业排污单位废水污染防治可行技术</w:t>
                  </w:r>
                </w:p>
              </w:tc>
              <w:tc>
                <w:tcPr>
                  <w:tcW w:w="1047" w:type="pct"/>
                  <w:tcBorders>
                    <w:tl2br w:val="nil"/>
                    <w:tr2bl w:val="nil"/>
                  </w:tcBorders>
                  <w:vAlign w:val="center"/>
                </w:tcPr>
                <w:p w14:paraId="2D8A18EC">
                  <w:pPr>
                    <w:snapToGrid w:val="0"/>
                    <w:jc w:val="center"/>
                    <w:rPr>
                      <w:rFonts w:hint="default"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t>本项目</w:t>
                  </w:r>
                </w:p>
              </w:tc>
              <w:tc>
                <w:tcPr>
                  <w:tcW w:w="698" w:type="pct"/>
                  <w:tcBorders>
                    <w:tl2br w:val="nil"/>
                    <w:tr2bl w:val="nil"/>
                  </w:tcBorders>
                  <w:vAlign w:val="center"/>
                </w:tcPr>
                <w:p w14:paraId="7E430B6F">
                  <w:pPr>
                    <w:snapToGrid w:val="0"/>
                    <w:jc w:val="center"/>
                    <w:rPr>
                      <w:rFonts w:hint="default"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bCs w:val="0"/>
                      <w:smallCaps w:val="0"/>
                      <w:color w:val="000000" w:themeColor="text1"/>
                      <w:kern w:val="0"/>
                      <w:sz w:val="21"/>
                      <w:szCs w:val="21"/>
                      <w:highlight w:val="none"/>
                      <w:lang w:val="en-US" w:eastAsia="zh-CN"/>
                      <w14:textFill>
                        <w14:solidFill>
                          <w14:schemeClr w14:val="tx1"/>
                        </w14:solidFill>
                      </w14:textFill>
                    </w:rPr>
                    <w:t>是否为可行技术</w:t>
                  </w:r>
                </w:p>
              </w:tc>
            </w:tr>
            <w:tr w14:paraId="6836C5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05" w:type="pct"/>
                  <w:tcBorders>
                    <w:tl2br w:val="nil"/>
                    <w:tr2bl w:val="nil"/>
                  </w:tcBorders>
                  <w:vAlign w:val="center"/>
                </w:tcPr>
                <w:p w14:paraId="47738B85">
                  <w:pPr>
                    <w:snapToGrid w:val="0"/>
                    <w:jc w:val="center"/>
                    <w:rPr>
                      <w:rFonts w:hint="eastAsia" w:ascii="Times New Roman" w:hAnsi="Times New Roman" w:eastAsia="宋体" w:cs="Times New Roman"/>
                      <w:b w:val="0"/>
                      <w:bCs/>
                      <w:smallCap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预处理</w:t>
                  </w:r>
                </w:p>
              </w:tc>
              <w:tc>
                <w:tcPr>
                  <w:tcW w:w="2549" w:type="pct"/>
                  <w:tcBorders>
                    <w:tl2br w:val="nil"/>
                    <w:tr2bl w:val="nil"/>
                  </w:tcBorders>
                  <w:vAlign w:val="center"/>
                </w:tcPr>
                <w:p w14:paraId="6F1E9B7D">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粗（细）格栅（禽类屠宰需设置专用的细格栅、水力筛或筛网）；平流或旋流式沉砂、竖流或辐流式沉淀、混凝沉淀；斜板或平流式隔油池；气浮。</w:t>
                  </w:r>
                </w:p>
              </w:tc>
              <w:tc>
                <w:tcPr>
                  <w:tcW w:w="1047" w:type="pct"/>
                  <w:tcBorders>
                    <w:tl2br w:val="nil"/>
                    <w:tr2bl w:val="nil"/>
                  </w:tcBorders>
                  <w:vAlign w:val="center"/>
                </w:tcPr>
                <w:p w14:paraId="3DE552F3">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格栅+絮凝分离+静态沉淀</w:t>
                  </w:r>
                </w:p>
              </w:tc>
              <w:tc>
                <w:tcPr>
                  <w:tcW w:w="698" w:type="pct"/>
                  <w:tcBorders>
                    <w:tl2br w:val="nil"/>
                    <w:tr2bl w:val="nil"/>
                  </w:tcBorders>
                  <w:vAlign w:val="center"/>
                </w:tcPr>
                <w:p w14:paraId="6F063C60">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是</w:t>
                  </w:r>
                </w:p>
              </w:tc>
            </w:tr>
            <w:tr w14:paraId="4B13D2A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05" w:type="pct"/>
                  <w:tcBorders>
                    <w:tl2br w:val="nil"/>
                    <w:tr2bl w:val="nil"/>
                  </w:tcBorders>
                  <w:vAlign w:val="center"/>
                </w:tcPr>
                <w:p w14:paraId="79F01B74">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生化法处理</w:t>
                  </w:r>
                </w:p>
              </w:tc>
              <w:tc>
                <w:tcPr>
                  <w:tcW w:w="2549" w:type="pct"/>
                  <w:tcBorders>
                    <w:tl2br w:val="nil"/>
                    <w:tr2bl w:val="nil"/>
                  </w:tcBorders>
                  <w:vAlign w:val="center"/>
                </w:tcPr>
                <w:p w14:paraId="30DE6A9C">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升流式厌氧污泥床（UASB）；IC反应器或水解酸化技术；活性污泥法；氧化沟及其各类改型工艺。</w:t>
                  </w:r>
                </w:p>
              </w:tc>
              <w:tc>
                <w:tcPr>
                  <w:tcW w:w="1047" w:type="pct"/>
                  <w:tcBorders>
                    <w:tl2br w:val="nil"/>
                    <w:tr2bl w:val="nil"/>
                  </w:tcBorders>
                  <w:vAlign w:val="center"/>
                </w:tcPr>
                <w:p w14:paraId="02A38852">
                  <w:pPr>
                    <w:snapToGrid w:val="0"/>
                    <w:jc w:val="cente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水解酸化+好氧处理</w:t>
                  </w:r>
                </w:p>
              </w:tc>
              <w:tc>
                <w:tcPr>
                  <w:tcW w:w="698" w:type="pct"/>
                  <w:tcBorders>
                    <w:tl2br w:val="nil"/>
                    <w:tr2bl w:val="nil"/>
                  </w:tcBorders>
                  <w:vAlign w:val="center"/>
                </w:tcPr>
                <w:p w14:paraId="0D17D853">
                  <w:pPr>
                    <w:snapToGrid w:val="0"/>
                    <w:jc w:val="center"/>
                    <w:rPr>
                      <w:rFonts w:hint="default"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b w:val="0"/>
                      <w:bCs/>
                      <w:smallCaps w:val="0"/>
                      <w:color w:val="000000" w:themeColor="text1"/>
                      <w:kern w:val="0"/>
                      <w:sz w:val="21"/>
                      <w:szCs w:val="21"/>
                      <w:highlight w:val="none"/>
                      <w:lang w:val="en-US" w:eastAsia="zh-CN"/>
                      <w14:textFill>
                        <w14:solidFill>
                          <w14:schemeClr w14:val="tx1"/>
                        </w14:solidFill>
                      </w14:textFill>
                    </w:rPr>
                    <w:t>是</w:t>
                  </w:r>
                </w:p>
              </w:tc>
            </w:tr>
          </w:tbl>
          <w:p w14:paraId="0CB89AC5">
            <w:pPr>
              <w:tabs>
                <w:tab w:val="left" w:pos="3435"/>
              </w:tabs>
              <w:autoSpaceDE w:val="0"/>
              <w:autoSpaceDN w:val="0"/>
              <w:spacing w:line="360" w:lineRule="auto"/>
              <w:ind w:firstLine="420" w:firstLineChars="200"/>
              <w:rPr>
                <w:rFonts w:hint="default" w:ascii="Times New Roman" w:hAnsi="Times New Roman" w:eastAsia="宋体" w:cs="宋体"/>
                <w:smallCaps w:val="0"/>
                <w:color w:val="000000" w:themeColor="text1"/>
                <w:sz w:val="21"/>
                <w:szCs w:val="21"/>
                <w:highlight w:val="none"/>
                <w:lang w:val="en-US" w:eastAsia="zh-CN"/>
                <w14:textFill>
                  <w14:solidFill>
                    <w14:schemeClr w14:val="tx1"/>
                  </w14:solidFill>
                </w14:textFill>
              </w:rPr>
            </w:pPr>
            <w:r>
              <w:rPr>
                <w:rFonts w:hint="eastAsia" w:cs="宋体"/>
                <w:smallCaps w:val="0"/>
                <w:color w:val="000000" w:themeColor="text1"/>
                <w:sz w:val="21"/>
                <w:szCs w:val="21"/>
                <w:highlight w:val="none"/>
                <w:lang w:val="en-US" w:eastAsia="zh-CN"/>
                <w14:textFill>
                  <w14:solidFill>
                    <w14:schemeClr w14:val="tx1"/>
                  </w14:solidFill>
                </w14:textFill>
              </w:rPr>
              <w:t>②指前污水处理厂</w:t>
            </w:r>
            <w:r>
              <w:rPr>
                <w:rFonts w:hint="eastAsia" w:ascii="Times New Roman" w:hAnsi="Times New Roman" w:eastAsia="宋体" w:cs="宋体"/>
                <w:smallCaps w:val="0"/>
                <w:color w:val="000000" w:themeColor="text1"/>
                <w:sz w:val="21"/>
                <w:szCs w:val="21"/>
                <w:highlight w:val="none"/>
                <w:lang w:val="en-US" w:eastAsia="zh-CN"/>
                <w14:textFill>
                  <w14:solidFill>
                    <w14:schemeClr w14:val="tx1"/>
                  </w14:solidFill>
                </w14:textFill>
              </w:rPr>
              <w:t>简介</w:t>
            </w:r>
          </w:p>
          <w:p w14:paraId="07CD1A25">
            <w:pPr>
              <w:tabs>
                <w:tab w:val="left" w:pos="3435"/>
              </w:tabs>
              <w:autoSpaceDE w:val="0"/>
              <w:autoSpaceDN w:val="0"/>
              <w:spacing w:line="360" w:lineRule="auto"/>
              <w:ind w:firstLine="420" w:firstLineChars="200"/>
              <w:rPr>
                <w:rFonts w:hint="eastAsia" w:ascii="Times New Roman" w:hAnsi="Times New Roman" w:eastAsia="宋体" w:cs="宋体"/>
                <w:smallCaps w:val="0"/>
                <w:color w:val="000000" w:themeColor="text1"/>
                <w:sz w:val="21"/>
                <w:szCs w:val="21"/>
                <w:highlight w:val="none"/>
                <w:lang w:eastAsia="zh-CN"/>
                <w14:textFill>
                  <w14:solidFill>
                    <w14:schemeClr w14:val="tx1"/>
                  </w14:solidFill>
                </w14:textFill>
              </w:rPr>
            </w:pPr>
            <w:r>
              <w:rPr>
                <w:rFonts w:hint="eastAsia"/>
                <w:bCs/>
                <w:color w:val="000000" w:themeColor="text1"/>
                <w:kern w:val="0"/>
                <w:sz w:val="21"/>
                <w:szCs w:val="21"/>
                <w:lang w:eastAsia="zh-CN"/>
                <w14:textFill>
                  <w14:solidFill>
                    <w14:schemeClr w14:val="tx1"/>
                  </w14:solidFill>
                </w14:textFill>
              </w:rPr>
              <w:t>指前污水处理厂位于指前镇工业园区内（湖口路与兴旺路交叉口西南处），西侧紧邻丹金溧漕河，北侧紧邻湖口路，隔路为厂区，总规模1.0万m</w:t>
            </w:r>
            <w:r>
              <w:rPr>
                <w:rFonts w:hint="eastAsia"/>
                <w:bCs/>
                <w:color w:val="000000" w:themeColor="text1"/>
                <w:kern w:val="0"/>
                <w:sz w:val="21"/>
                <w:szCs w:val="21"/>
                <w:vertAlign w:val="superscript"/>
                <w:lang w:eastAsia="zh-CN"/>
                <w14:textFill>
                  <w14:solidFill>
                    <w14:schemeClr w14:val="tx1"/>
                  </w14:solidFill>
                </w14:textFill>
              </w:rPr>
              <w:t>3</w:t>
            </w:r>
            <w:r>
              <w:rPr>
                <w:rFonts w:hint="eastAsia"/>
                <w:bCs/>
                <w:color w:val="000000" w:themeColor="text1"/>
                <w:kern w:val="0"/>
                <w:sz w:val="21"/>
                <w:szCs w:val="21"/>
                <w:lang w:eastAsia="zh-CN"/>
                <w14:textFill>
                  <w14:solidFill>
                    <w14:schemeClr w14:val="tx1"/>
                  </w14:solidFill>
                </w14:textFill>
              </w:rPr>
              <w:t>/d，</w:t>
            </w:r>
            <w:r>
              <w:rPr>
                <w:rFonts w:hint="eastAsia"/>
                <w:bCs/>
                <w:color w:val="000000" w:themeColor="text1"/>
                <w:kern w:val="0"/>
                <w:sz w:val="21"/>
                <w:szCs w:val="21"/>
                <w:lang w:val="en-US" w:eastAsia="zh-CN"/>
                <w14:textFill>
                  <w14:solidFill>
                    <w14:schemeClr w14:val="tx1"/>
                  </w14:solidFill>
                </w14:textFill>
              </w:rPr>
              <w:t>现状已建成</w:t>
            </w:r>
            <w:r>
              <w:rPr>
                <w:rFonts w:hint="eastAsia"/>
                <w:bCs/>
                <w:color w:val="000000" w:themeColor="text1"/>
                <w:kern w:val="0"/>
                <w:sz w:val="21"/>
                <w:szCs w:val="21"/>
                <w:lang w:eastAsia="zh-CN"/>
                <w14:textFill>
                  <w14:solidFill>
                    <w14:schemeClr w14:val="tx1"/>
                  </w14:solidFill>
                </w14:textFill>
              </w:rPr>
              <w:t>建设规模0.5万m</w:t>
            </w:r>
            <w:r>
              <w:rPr>
                <w:rFonts w:hint="eastAsia"/>
                <w:bCs/>
                <w:color w:val="000000" w:themeColor="text1"/>
                <w:kern w:val="0"/>
                <w:sz w:val="21"/>
                <w:szCs w:val="21"/>
                <w:vertAlign w:val="superscript"/>
                <w:lang w:eastAsia="zh-CN"/>
                <w14:textFill>
                  <w14:solidFill>
                    <w14:schemeClr w14:val="tx1"/>
                  </w14:solidFill>
                </w14:textFill>
              </w:rPr>
              <w:t>3</w:t>
            </w:r>
            <w:r>
              <w:rPr>
                <w:rFonts w:hint="eastAsia"/>
                <w:bCs/>
                <w:color w:val="000000" w:themeColor="text1"/>
                <w:kern w:val="0"/>
                <w:sz w:val="21"/>
                <w:szCs w:val="21"/>
                <w:lang w:eastAsia="zh-CN"/>
                <w14:textFill>
                  <w14:solidFill>
                    <w14:schemeClr w14:val="tx1"/>
                  </w14:solidFill>
                </w14:textFill>
              </w:rPr>
              <w:t>/d。污水处理主体工艺为水解酸化+A</w:t>
            </w:r>
            <w:r>
              <w:rPr>
                <w:rFonts w:hint="eastAsia"/>
                <w:bCs/>
                <w:color w:val="000000" w:themeColor="text1"/>
                <w:kern w:val="0"/>
                <w:sz w:val="21"/>
                <w:szCs w:val="21"/>
                <w:vertAlign w:val="superscript"/>
                <w:lang w:eastAsia="zh-CN"/>
                <w14:textFill>
                  <w14:solidFill>
                    <w14:schemeClr w14:val="tx1"/>
                  </w14:solidFill>
                </w14:textFill>
              </w:rPr>
              <w:t>2</w:t>
            </w:r>
            <w:r>
              <w:rPr>
                <w:rFonts w:hint="eastAsia"/>
                <w:bCs/>
                <w:color w:val="000000" w:themeColor="text1"/>
                <w:kern w:val="0"/>
                <w:sz w:val="21"/>
                <w:szCs w:val="21"/>
                <w:lang w:eastAsia="zh-CN"/>
                <w14:textFill>
                  <w14:solidFill>
                    <w14:schemeClr w14:val="tx1"/>
                  </w14:solidFill>
                </w14:textFill>
              </w:rPr>
              <w:t>O+连续流砂过滤池，尾水排放执行《城镇污水处理厂污染物排放标准》（GB18918-2002）一级A标准和《太湖地区城镇污水处理厂及重点工业行业水污染物排放限值》（DB32/1072-2018）表2标准。</w:t>
            </w:r>
          </w:p>
          <w:p w14:paraId="3F6F903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cs="宋体"/>
                <w:smallCaps w:val="0"/>
                <w:color w:val="000000" w:themeColor="text1"/>
                <w:kern w:val="0"/>
                <w:sz w:val="21"/>
                <w:szCs w:val="21"/>
                <w:highlight w:val="none"/>
                <w:lang w:val="en-US" w:eastAsia="zh-CN"/>
                <w14:textFill>
                  <w14:solidFill>
                    <w14:schemeClr w14:val="tx1"/>
                  </w14:solidFill>
                </w14:textFill>
              </w:rPr>
            </w:pPr>
            <w:r>
              <w:rPr>
                <w:color w:val="000000" w:themeColor="text1"/>
                <w:sz w:val="21"/>
                <w:szCs w:val="21"/>
                <w14:textFill>
                  <w14:solidFill>
                    <w14:schemeClr w14:val="tx1"/>
                  </w14:solidFill>
                </w14:textFill>
              </w:rPr>
              <w:drawing>
                <wp:inline distT="0" distB="0" distL="0" distR="0">
                  <wp:extent cx="5090160" cy="2520315"/>
                  <wp:effectExtent l="0" t="0" r="15240"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5090160" cy="2520315"/>
                          </a:xfrm>
                          <a:prstGeom prst="rect">
                            <a:avLst/>
                          </a:prstGeom>
                        </pic:spPr>
                      </pic:pic>
                    </a:graphicData>
                  </a:graphic>
                </wp:inline>
              </w:drawing>
            </w:r>
          </w:p>
          <w:p w14:paraId="5B5462D1">
            <w:pPr>
              <w:keepNext w:val="0"/>
              <w:keepLines w:val="0"/>
              <w:pageBreakBefore w:val="0"/>
              <w:widowControl w:val="0"/>
              <w:tabs>
                <w:tab w:val="left" w:pos="960"/>
              </w:tabs>
              <w:kinsoku/>
              <w:wordWrap/>
              <w:overflowPunct/>
              <w:topLinePunct w:val="0"/>
              <w:autoSpaceDE/>
              <w:autoSpaceDN/>
              <w:bidi w:val="0"/>
              <w:adjustRightInd/>
              <w:snapToGrid/>
              <w:spacing w:before="157" w:beforeLines="50"/>
              <w:jc w:val="center"/>
              <w:textAlignment w:val="auto"/>
              <w:rPr>
                <w:rFonts w:hint="default"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pPr>
            <w:r>
              <w:rPr>
                <w:rFonts w:hint="default"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图</w:t>
            </w:r>
            <w:r>
              <w:rPr>
                <w:rFonts w:hint="eastAsia"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4-</w:t>
            </w:r>
            <w:r>
              <w:rPr>
                <w:rFonts w:hint="eastAsia" w:cs="Times New Roman"/>
                <w:b/>
                <w:bCs/>
                <w:smallCaps w:val="0"/>
                <w:color w:val="000000" w:themeColor="text1"/>
                <w:spacing w:val="-4"/>
                <w:sz w:val="21"/>
                <w:szCs w:val="21"/>
                <w:highlight w:val="none"/>
                <w:lang w:val="en-US" w:eastAsia="zh-CN"/>
                <w14:textFill>
                  <w14:solidFill>
                    <w14:schemeClr w14:val="tx1"/>
                  </w14:solidFill>
                </w14:textFill>
              </w:rPr>
              <w:t>2</w:t>
            </w:r>
            <w:r>
              <w:rPr>
                <w:rFonts w:hint="default" w:ascii="Times New Roman" w:hAnsi="Times New Roman" w:eastAsia="宋体" w:cs="Times New Roman"/>
                <w:b/>
                <w:bCs/>
                <w:smallCaps w:val="0"/>
                <w:color w:val="000000" w:themeColor="text1"/>
                <w:spacing w:val="-4"/>
                <w:sz w:val="21"/>
                <w:szCs w:val="21"/>
                <w:highlight w:val="none"/>
                <w:lang w:val="en-US" w:eastAsia="zh-CN"/>
                <w14:textFill>
                  <w14:solidFill>
                    <w14:schemeClr w14:val="tx1"/>
                  </w14:solidFill>
                </w14:textFill>
              </w:rPr>
              <w:t xml:space="preserve">  指前镇污水处理厂污水处理工艺流程图</w:t>
            </w:r>
          </w:p>
          <w:p w14:paraId="15826BB5">
            <w:pPr>
              <w:autoSpaceDE w:val="0"/>
              <w:autoSpaceDN w:val="0"/>
              <w:spacing w:line="360" w:lineRule="auto"/>
              <w:ind w:firstLine="420" w:firstLineChars="200"/>
              <w:jc w:val="left"/>
              <w:rPr>
                <w:rFonts w:hint="default"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pPr>
            <w:r>
              <w:rPr>
                <w:rFonts w:hint="eastAsia" w:cs="宋体"/>
                <w:smallCaps w:val="0"/>
                <w:color w:val="000000" w:themeColor="text1"/>
                <w:kern w:val="0"/>
                <w:sz w:val="21"/>
                <w:szCs w:val="21"/>
                <w:highlight w:val="none"/>
                <w:lang w:val="en-US" w:eastAsia="zh-CN"/>
                <w14:textFill>
                  <w14:solidFill>
                    <w14:schemeClr w14:val="tx1"/>
                  </w14:solidFill>
                </w14:textFill>
              </w:rPr>
              <w:t>③</w:t>
            </w:r>
            <w:r>
              <w:rPr>
                <w:rFonts w:hint="eastAsia"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t>水量接管可行性分析</w:t>
            </w:r>
          </w:p>
          <w:p w14:paraId="5F4FB1BE">
            <w:pPr>
              <w:autoSpaceDE w:val="0"/>
              <w:autoSpaceDN w:val="0"/>
              <w:spacing w:line="360" w:lineRule="auto"/>
              <w:ind w:firstLine="420" w:firstLineChars="200"/>
              <w:jc w:val="both"/>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hint="eastAsia" w:cs="宋体"/>
                <w:smallCaps w:val="0"/>
                <w:color w:val="000000" w:themeColor="text1"/>
                <w:kern w:val="0"/>
                <w:sz w:val="21"/>
                <w:szCs w:val="21"/>
                <w:highlight w:val="none"/>
                <w:lang w:val="en-US" w:eastAsia="zh-CN"/>
                <w14:textFill>
                  <w14:solidFill>
                    <w14:schemeClr w14:val="tx1"/>
                  </w14:solidFill>
                </w14:textFill>
              </w:rPr>
              <w:t>指前污水处理厂</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目前处理能力</w:t>
            </w:r>
            <w:r>
              <w:rPr>
                <w:rFonts w:hint="eastAsia" w:cs="宋体"/>
                <w:smallCaps w:val="0"/>
                <w:color w:val="000000" w:themeColor="text1"/>
                <w:kern w:val="0"/>
                <w:sz w:val="21"/>
                <w:szCs w:val="21"/>
                <w:highlight w:val="none"/>
                <w:lang w:val="en-US" w:eastAsia="zh-CN"/>
                <w14:textFill>
                  <w14:solidFill>
                    <w14:schemeClr w14:val="tx1"/>
                  </w14:solidFill>
                </w14:textFill>
              </w:rPr>
              <w:t>0.5</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万m</w:t>
            </w:r>
            <w:r>
              <w:rPr>
                <w:rFonts w:ascii="Times New Roman" w:hAnsi="Times New Roman" w:eastAsia="宋体" w:cs="宋体"/>
                <w:smallCaps w:val="0"/>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/d，目前实际污水处理量为</w:t>
            </w:r>
            <w:r>
              <w:rPr>
                <w:rFonts w:hint="eastAsia" w:cs="宋体"/>
                <w:smallCaps w:val="0"/>
                <w:color w:val="000000" w:themeColor="text1"/>
                <w:kern w:val="0"/>
                <w:sz w:val="21"/>
                <w:szCs w:val="21"/>
                <w:highlight w:val="none"/>
                <w:lang w:val="en-US" w:eastAsia="zh-CN"/>
                <w14:textFill>
                  <w14:solidFill>
                    <w14:schemeClr w14:val="tx1"/>
                  </w14:solidFill>
                </w14:textFill>
              </w:rPr>
              <w:t>0.4</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万m</w:t>
            </w:r>
            <w:r>
              <w:rPr>
                <w:rFonts w:ascii="Times New Roman" w:hAnsi="Times New Roman" w:eastAsia="宋体" w:cs="宋体"/>
                <w:smallCaps w:val="0"/>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/d，尚有</w:t>
            </w:r>
            <w:r>
              <w:rPr>
                <w:rFonts w:hint="eastAsia" w:cs="宋体"/>
                <w:smallCaps w:val="0"/>
                <w:color w:val="000000" w:themeColor="text1"/>
                <w:kern w:val="0"/>
                <w:sz w:val="21"/>
                <w:szCs w:val="21"/>
                <w:highlight w:val="none"/>
                <w:lang w:val="en-US" w:eastAsia="zh-CN"/>
                <w14:textFill>
                  <w14:solidFill>
                    <w14:schemeClr w14:val="tx1"/>
                  </w14:solidFill>
                </w14:textFill>
              </w:rPr>
              <w:t>0.1</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万m</w:t>
            </w:r>
            <w:r>
              <w:rPr>
                <w:rFonts w:ascii="Times New Roman" w:hAnsi="Times New Roman" w:eastAsia="宋体" w:cs="宋体"/>
                <w:smallCaps w:val="0"/>
                <w:color w:val="000000" w:themeColor="text1"/>
                <w:kern w:val="0"/>
                <w:sz w:val="21"/>
                <w:szCs w:val="21"/>
                <w:highlight w:val="none"/>
                <w:vertAlign w:val="superscript"/>
                <w14:textFill>
                  <w14:solidFill>
                    <w14:schemeClr w14:val="tx1"/>
                  </w14:solidFill>
                </w14:textFill>
              </w:rPr>
              <w:t>3</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/d的余量。</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本项目新增废水量</w:t>
            </w:r>
            <w:r>
              <w:rPr>
                <w:rFonts w:hint="eastAsia" w:cs="宋体"/>
                <w:smallCaps w:val="0"/>
                <w:color w:val="000000" w:themeColor="text1"/>
                <w:kern w:val="0"/>
                <w:sz w:val="21"/>
                <w:szCs w:val="21"/>
                <w:highlight w:val="none"/>
                <w:lang w:val="en-US" w:eastAsia="zh-CN"/>
                <w14:textFill>
                  <w14:solidFill>
                    <w14:schemeClr w14:val="tx1"/>
                  </w14:solidFill>
                </w14:textFill>
              </w:rPr>
              <w:t>26.416</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m</w:t>
            </w:r>
            <w:r>
              <w:rPr>
                <w:rFonts w:hint="eastAsia" w:ascii="Times New Roman" w:hAnsi="Times New Roman" w:eastAsia="宋体" w:cs="宋体"/>
                <w:smallCaps w:val="0"/>
                <w:color w:val="000000" w:themeColor="text1"/>
                <w:kern w:val="0"/>
                <w:sz w:val="21"/>
                <w:szCs w:val="21"/>
                <w:highlight w:val="none"/>
                <w:vertAlign w:val="superscript"/>
                <w14:textFill>
                  <w14:solidFill>
                    <w14:schemeClr w14:val="tx1"/>
                  </w14:solidFill>
                </w14:textFill>
              </w:rPr>
              <w:t>3</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/d（</w:t>
            </w:r>
            <w:r>
              <w:rPr>
                <w:rFonts w:hint="eastAsia" w:cs="宋体"/>
                <w:smallCaps w:val="0"/>
                <w:color w:val="000000" w:themeColor="text1"/>
                <w:kern w:val="0"/>
                <w:sz w:val="21"/>
                <w:szCs w:val="21"/>
                <w:highlight w:val="none"/>
                <w:lang w:val="en-US" w:eastAsia="zh-CN"/>
                <w14:textFill>
                  <w14:solidFill>
                    <w14:schemeClr w14:val="tx1"/>
                  </w14:solidFill>
                </w14:textFill>
              </w:rPr>
              <w:t>7924.8</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m</w:t>
            </w:r>
            <w:r>
              <w:rPr>
                <w:rFonts w:hint="eastAsia" w:ascii="Times New Roman" w:hAnsi="Times New Roman" w:eastAsia="宋体" w:cs="宋体"/>
                <w:smallCaps w:val="0"/>
                <w:color w:val="000000" w:themeColor="text1"/>
                <w:kern w:val="0"/>
                <w:sz w:val="21"/>
                <w:szCs w:val="21"/>
                <w:highlight w:val="none"/>
                <w:vertAlign w:val="superscript"/>
                <w14:textFill>
                  <w14:solidFill>
                    <w14:schemeClr w14:val="tx1"/>
                  </w14:solidFill>
                </w14:textFill>
              </w:rPr>
              <w:t>3</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/a）</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，占</w:t>
            </w:r>
            <w:r>
              <w:rPr>
                <w:rFonts w:hint="eastAsia" w:cs="宋体"/>
                <w:smallCaps w:val="0"/>
                <w:color w:val="000000" w:themeColor="text1"/>
                <w:kern w:val="0"/>
                <w:sz w:val="21"/>
                <w:szCs w:val="21"/>
                <w:highlight w:val="none"/>
                <w:lang w:eastAsia="zh-CN"/>
                <w14:textFill>
                  <w14:solidFill>
                    <w14:schemeClr w14:val="tx1"/>
                  </w14:solidFill>
                </w14:textFill>
              </w:rPr>
              <w:t>污水处理厂</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剩余处理量</w:t>
            </w:r>
            <w:r>
              <w:rPr>
                <w:rFonts w:hint="eastAsia" w:cs="宋体"/>
                <w:smallCaps w:val="0"/>
                <w:color w:val="000000" w:themeColor="text1"/>
                <w:kern w:val="0"/>
                <w:sz w:val="21"/>
                <w:szCs w:val="21"/>
                <w:highlight w:val="none"/>
                <w:lang w:val="en-US" w:eastAsia="zh-CN"/>
                <w14:textFill>
                  <w14:solidFill>
                    <w14:schemeClr w14:val="tx1"/>
                  </w14:solidFill>
                </w14:textFill>
              </w:rPr>
              <w:t>2.642</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基本不会对污水处理厂的正常运行造成影响，从废水量来看，</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完全有能力接纳本项目废水。</w:t>
            </w:r>
          </w:p>
          <w:p w14:paraId="0745BBF3">
            <w:pPr>
              <w:autoSpaceDE w:val="0"/>
              <w:autoSpaceDN w:val="0"/>
              <w:spacing w:line="360" w:lineRule="auto"/>
              <w:ind w:firstLine="420" w:firstLineChars="200"/>
              <w:jc w:val="left"/>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hint="eastAsia"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t>③</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水质可行性分析</w:t>
            </w:r>
          </w:p>
          <w:p w14:paraId="78910B14">
            <w:pPr>
              <w:autoSpaceDE w:val="0"/>
              <w:autoSpaceDN w:val="0"/>
              <w:spacing w:line="360" w:lineRule="auto"/>
              <w:ind w:firstLine="420" w:firstLineChars="200"/>
              <w:jc w:val="both"/>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本项目</w:t>
            </w:r>
            <w:r>
              <w:rPr>
                <w:rFonts w:hint="eastAsia" w:cs="宋体"/>
                <w:smallCaps w:val="0"/>
                <w:color w:val="000000" w:themeColor="text1"/>
                <w:kern w:val="0"/>
                <w:sz w:val="21"/>
                <w:szCs w:val="21"/>
                <w:highlight w:val="none"/>
                <w:lang w:val="en-US" w:eastAsia="zh-CN"/>
                <w14:textFill>
                  <w14:solidFill>
                    <w14:schemeClr w14:val="tx1"/>
                  </w14:solidFill>
                </w14:textFill>
              </w:rPr>
              <w:t>生产废水经厂内废水处理设施处理后达标纳管标准，</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生活污水</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水质简单</w:t>
            </w:r>
            <w:r>
              <w:rPr>
                <w:rFonts w:hint="eastAsia" w:ascii="Times New Roman" w:hAnsi="Times New Roman" w:eastAsia="宋体" w:cs="宋体"/>
                <w:smallCaps w:val="0"/>
                <w:color w:val="000000" w:themeColor="text1"/>
                <w:kern w:val="0"/>
                <w:sz w:val="21"/>
                <w:szCs w:val="21"/>
                <w:highlight w:val="none"/>
                <w14:textFill>
                  <w14:solidFill>
                    <w14:schemeClr w14:val="tx1"/>
                  </w14:solidFill>
                </w14:textFill>
              </w:rPr>
              <w:t>、排放浓度低、水量小，不会对污水处理厂运行产生冲击负荷，</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可达</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接管要求，经规范化排污口接管排入</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进行集中处理是可行的。</w:t>
            </w:r>
          </w:p>
          <w:p w14:paraId="79E43337">
            <w:pPr>
              <w:autoSpaceDE w:val="0"/>
              <w:autoSpaceDN w:val="0"/>
              <w:spacing w:line="360" w:lineRule="auto"/>
              <w:ind w:firstLine="420" w:firstLineChars="200"/>
              <w:jc w:val="left"/>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hint="eastAsia"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t>④</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管网配套</w:t>
            </w:r>
            <w:r>
              <w:rPr>
                <w:rFonts w:hint="eastAsia" w:ascii="Times New Roman" w:hAnsi="Times New Roman" w:eastAsia="宋体" w:cs="宋体"/>
                <w:smallCaps w:val="0"/>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smallCaps w:val="0"/>
                <w:color w:val="000000" w:themeColor="text1"/>
                <w:kern w:val="0"/>
                <w:sz w:val="21"/>
                <w:szCs w:val="21"/>
                <w:highlight w:val="none"/>
                <w:lang w:val="en-US" w:eastAsia="zh-CN"/>
                <w14:textFill>
                  <w14:solidFill>
                    <w14:schemeClr w14:val="tx1"/>
                  </w14:solidFill>
                </w14:textFill>
              </w:rPr>
              <w:t>落实情况及时间对接情况</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可行性分析</w:t>
            </w:r>
          </w:p>
          <w:p w14:paraId="4486C4A0">
            <w:pPr>
              <w:autoSpaceDE w:val="0"/>
              <w:autoSpaceDN w:val="0"/>
              <w:spacing w:line="360" w:lineRule="auto"/>
              <w:ind w:firstLine="420" w:firstLineChars="200"/>
              <w:jc w:val="both"/>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ascii="Times New Roman" w:hAnsi="Times New Roman" w:eastAsia="宋体" w:cs="宋体"/>
                <w:smallCaps w:val="0"/>
                <w:color w:val="000000" w:themeColor="text1"/>
                <w:kern w:val="0"/>
                <w:sz w:val="21"/>
                <w:szCs w:val="21"/>
                <w:highlight w:val="none"/>
                <w14:textFill>
                  <w14:solidFill>
                    <w14:schemeClr w14:val="tx1"/>
                  </w14:solidFill>
                </w14:textFill>
              </w:rPr>
              <w:t>目前建设项目所在地污水管网已铺设到位，因此建设项目产生的废水接管排入</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进行处理是可行的。建设项目实施雨污分流制，依托现有污水接管口和雨水排放口，该排放口已根据《江苏省排污口设置及规范化整治管理办法》进行规范化设置。</w:t>
            </w:r>
          </w:p>
          <w:p w14:paraId="1A8E0D93">
            <w:pPr>
              <w:autoSpaceDE w:val="0"/>
              <w:autoSpaceDN w:val="0"/>
              <w:spacing w:line="360" w:lineRule="auto"/>
              <w:ind w:firstLine="420" w:firstLineChars="200"/>
              <w:jc w:val="both"/>
              <w:rPr>
                <w:rFonts w:ascii="Times New Roman" w:hAnsi="Times New Roman" w:eastAsia="宋体" w:cs="宋体"/>
                <w:smallCaps w:val="0"/>
                <w:color w:val="000000" w:themeColor="text1"/>
                <w:kern w:val="0"/>
                <w:sz w:val="21"/>
                <w:szCs w:val="21"/>
                <w:highlight w:val="none"/>
                <w14:textFill>
                  <w14:solidFill>
                    <w14:schemeClr w14:val="tx1"/>
                  </w14:solidFill>
                </w14:textFill>
              </w:rPr>
            </w:pPr>
            <w:r>
              <w:rPr>
                <w:rFonts w:ascii="Times New Roman" w:hAnsi="Times New Roman" w:eastAsia="宋体" w:cs="宋体"/>
                <w:smallCaps w:val="0"/>
                <w:color w:val="000000" w:themeColor="text1"/>
                <w:kern w:val="0"/>
                <w:sz w:val="21"/>
                <w:szCs w:val="21"/>
                <w:highlight w:val="none"/>
                <w14:textFill>
                  <w14:solidFill>
                    <w14:schemeClr w14:val="tx1"/>
                  </w14:solidFill>
                </w14:textFill>
              </w:rPr>
              <w:t>从以上的分析可知，建设项目产生的废水接管排入</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集中处理可行，建设项目废水经</w:t>
            </w:r>
            <w:r>
              <w:rPr>
                <w:rFonts w:hint="eastAsia" w:cs="宋体"/>
                <w:smallCaps w:val="0"/>
                <w:color w:val="000000" w:themeColor="text1"/>
                <w:kern w:val="0"/>
                <w:sz w:val="21"/>
                <w:szCs w:val="21"/>
                <w:highlight w:val="none"/>
                <w:lang w:eastAsia="zh-CN"/>
                <w14:textFill>
                  <w14:solidFill>
                    <w14:schemeClr w14:val="tx1"/>
                  </w14:solidFill>
                </w14:textFill>
              </w:rPr>
              <w:t>指前污水处理厂</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处理达标后，尾水排入</w:t>
            </w:r>
            <w:r>
              <w:rPr>
                <w:rFonts w:hint="eastAsia" w:cs="宋体"/>
                <w:smallCaps w:val="0"/>
                <w:color w:val="000000" w:themeColor="text1"/>
                <w:kern w:val="0"/>
                <w:sz w:val="21"/>
                <w:szCs w:val="21"/>
                <w:highlight w:val="none"/>
                <w:lang w:eastAsia="zh-CN"/>
                <w14:textFill>
                  <w14:solidFill>
                    <w14:schemeClr w14:val="tx1"/>
                  </w14:solidFill>
                </w14:textFill>
              </w:rPr>
              <w:t>丹金溧漕河</w:t>
            </w:r>
            <w:r>
              <w:rPr>
                <w:rFonts w:ascii="Times New Roman" w:hAnsi="Times New Roman" w:eastAsia="宋体" w:cs="宋体"/>
                <w:smallCaps w:val="0"/>
                <w:color w:val="000000" w:themeColor="text1"/>
                <w:kern w:val="0"/>
                <w:sz w:val="21"/>
                <w:szCs w:val="21"/>
                <w:highlight w:val="none"/>
                <w14:textFill>
                  <w14:solidFill>
                    <w14:schemeClr w14:val="tx1"/>
                  </w14:solidFill>
                </w14:textFill>
              </w:rPr>
              <w:t>，对地表水体影响较小。</w:t>
            </w:r>
          </w:p>
          <w:p w14:paraId="0456558A">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（3）排放情况</w:t>
            </w:r>
          </w:p>
          <w:p w14:paraId="12E2FF10">
            <w:pPr>
              <w:tabs>
                <w:tab w:val="left" w:pos="960"/>
              </w:tabs>
              <w:spacing w:beforeLines="50"/>
              <w:jc w:val="center"/>
              <w:rPr>
                <w:rFonts w:hint="eastAsia" w:ascii="Times New Roman" w:hAnsi="Times New Roman" w:eastAsia="宋体" w:cs="宋体"/>
                <w:b/>
                <w:bCs/>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表4-</w:t>
            </w:r>
            <w:r>
              <w:rPr>
                <w:rFonts w:hint="eastAsia" w:cs="宋体"/>
                <w:b/>
                <w:bCs/>
                <w:color w:val="000000" w:themeColor="text1"/>
                <w:spacing w:val="-4"/>
                <w:sz w:val="21"/>
                <w:szCs w:val="21"/>
                <w:highlight w:val="none"/>
                <w:lang w:val="en-US" w:eastAsia="zh-CN"/>
                <w14:textFill>
                  <w14:solidFill>
                    <w14:schemeClr w14:val="tx1"/>
                  </w14:solidFill>
                </w14:textFill>
              </w:rPr>
              <w:t>14</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cs="宋体"/>
                <w:b/>
                <w:bCs/>
                <w:color w:val="000000" w:themeColor="text1"/>
                <w:spacing w:val="-4"/>
                <w:sz w:val="21"/>
                <w:szCs w:val="21"/>
                <w:highlight w:val="none"/>
                <w:lang w:val="en-US" w:eastAsia="zh-CN"/>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废水排放</w:t>
            </w:r>
            <w:r>
              <w:rPr>
                <w:rFonts w:ascii="Times New Roman" w:hAnsi="Times New Roman" w:eastAsia="宋体" w:cs="宋体"/>
                <w:b/>
                <w:bCs/>
                <w:color w:val="000000" w:themeColor="text1"/>
                <w:spacing w:val="-4"/>
                <w:sz w:val="21"/>
                <w:szCs w:val="21"/>
                <w:highlight w:val="none"/>
                <w14:textFill>
                  <w14:solidFill>
                    <w14:schemeClr w14:val="tx1"/>
                  </w14:solidFill>
                </w14:textFill>
              </w:rPr>
              <w:t>情况表</w:t>
            </w:r>
            <w:r>
              <w:rPr>
                <w:rFonts w:hint="eastAsia" w:cs="宋体"/>
                <w:b/>
                <w:bCs/>
                <w:color w:val="000000" w:themeColor="text1"/>
                <w:spacing w:val="-4"/>
                <w:sz w:val="21"/>
                <w:szCs w:val="21"/>
                <w:highlight w:val="none"/>
                <w:lang w:val="en-US" w:eastAsia="zh-CN"/>
                <w14:textFill>
                  <w14:solidFill>
                    <w14:schemeClr w14:val="tx1"/>
                  </w14:solidFill>
                </w14:textFill>
              </w:rPr>
              <w:t>=</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881"/>
              <w:gridCol w:w="1390"/>
              <w:gridCol w:w="899"/>
              <w:gridCol w:w="836"/>
              <w:gridCol w:w="841"/>
              <w:gridCol w:w="836"/>
              <w:gridCol w:w="841"/>
              <w:gridCol w:w="1735"/>
            </w:tblGrid>
            <w:tr w14:paraId="473DC3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restart"/>
                  <w:vAlign w:val="center"/>
                </w:tcPr>
                <w:p w14:paraId="5E7BB50F">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废水类别</w:t>
                  </w:r>
                </w:p>
              </w:tc>
              <w:tc>
                <w:tcPr>
                  <w:tcW w:w="841" w:type="pct"/>
                  <w:vMerge w:val="restart"/>
                  <w:vAlign w:val="center"/>
                </w:tcPr>
                <w:p w14:paraId="7EC7921A">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污染物名称</w:t>
                  </w:r>
                </w:p>
              </w:tc>
              <w:tc>
                <w:tcPr>
                  <w:tcW w:w="544" w:type="pct"/>
                  <w:vMerge w:val="restart"/>
                  <w:vAlign w:val="center"/>
                </w:tcPr>
                <w:p w14:paraId="742241B0">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治理措施</w:t>
                  </w:r>
                </w:p>
              </w:tc>
              <w:tc>
                <w:tcPr>
                  <w:tcW w:w="1015" w:type="pct"/>
                  <w:gridSpan w:val="2"/>
                  <w:vAlign w:val="center"/>
                </w:tcPr>
                <w:p w14:paraId="75E8510B">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接管情况</w:t>
                  </w:r>
                </w:p>
              </w:tc>
              <w:tc>
                <w:tcPr>
                  <w:tcW w:w="1015" w:type="pct"/>
                  <w:gridSpan w:val="2"/>
                  <w:vAlign w:val="center"/>
                </w:tcPr>
                <w:p w14:paraId="4B8491F3">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污染物排放量</w:t>
                  </w:r>
                </w:p>
              </w:tc>
              <w:tc>
                <w:tcPr>
                  <w:tcW w:w="1049" w:type="pct"/>
                  <w:vMerge w:val="restart"/>
                  <w:vAlign w:val="center"/>
                </w:tcPr>
                <w:p w14:paraId="58092D1F">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排放方式与去向</w:t>
                  </w:r>
                </w:p>
              </w:tc>
            </w:tr>
            <w:tr w14:paraId="636EEF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44DB8F0B">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841" w:type="pct"/>
                  <w:vMerge w:val="continue"/>
                  <w:vAlign w:val="center"/>
                </w:tcPr>
                <w:p w14:paraId="4BE90E1E">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544" w:type="pct"/>
                  <w:vMerge w:val="continue"/>
                  <w:vAlign w:val="center"/>
                </w:tcPr>
                <w:p w14:paraId="5115EBFF">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506" w:type="pct"/>
                  <w:vAlign w:val="center"/>
                </w:tcPr>
                <w:p w14:paraId="525EAE27">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浓度</w:t>
                  </w:r>
                </w:p>
              </w:tc>
              <w:tc>
                <w:tcPr>
                  <w:tcW w:w="509" w:type="pct"/>
                  <w:vAlign w:val="center"/>
                </w:tcPr>
                <w:p w14:paraId="7A99349A">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接管量</w:t>
                  </w:r>
                </w:p>
              </w:tc>
              <w:tc>
                <w:tcPr>
                  <w:tcW w:w="506" w:type="pct"/>
                  <w:vAlign w:val="center"/>
                </w:tcPr>
                <w:p w14:paraId="27A2CAD0">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浓度</w:t>
                  </w:r>
                </w:p>
              </w:tc>
              <w:tc>
                <w:tcPr>
                  <w:tcW w:w="509" w:type="pct"/>
                  <w:vAlign w:val="center"/>
                </w:tcPr>
                <w:p w14:paraId="1866A61A">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排放量</w:t>
                  </w:r>
                </w:p>
              </w:tc>
              <w:tc>
                <w:tcPr>
                  <w:tcW w:w="1049" w:type="pct"/>
                  <w:vMerge w:val="continue"/>
                  <w:vAlign w:val="center"/>
                </w:tcPr>
                <w:p w14:paraId="3F193C74">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7734607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6E4C8EAD">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841" w:type="pct"/>
                  <w:vMerge w:val="continue"/>
                  <w:vAlign w:val="center"/>
                </w:tcPr>
                <w:p w14:paraId="585E8576">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544" w:type="pct"/>
                  <w:vMerge w:val="continue"/>
                  <w:vAlign w:val="center"/>
                </w:tcPr>
                <w:p w14:paraId="2CBB8523">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506" w:type="pct"/>
                  <w:vAlign w:val="center"/>
                </w:tcPr>
                <w:p w14:paraId="1CD21189">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mg/L</w:t>
                  </w:r>
                </w:p>
              </w:tc>
              <w:tc>
                <w:tcPr>
                  <w:tcW w:w="509" w:type="pct"/>
                  <w:vAlign w:val="center"/>
                </w:tcPr>
                <w:p w14:paraId="790B8A5C">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t/a</w:t>
                  </w:r>
                </w:p>
              </w:tc>
              <w:tc>
                <w:tcPr>
                  <w:tcW w:w="506" w:type="pct"/>
                  <w:vAlign w:val="center"/>
                </w:tcPr>
                <w:p w14:paraId="5EBB5D2F">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mg/L</w:t>
                  </w:r>
                </w:p>
              </w:tc>
              <w:tc>
                <w:tcPr>
                  <w:tcW w:w="509" w:type="pct"/>
                  <w:vAlign w:val="center"/>
                </w:tcPr>
                <w:p w14:paraId="42472BFD">
                  <w:pPr>
                    <w:pStyle w:val="39"/>
                    <w:adjustRightInd/>
                    <w:spacing w:beforeLines="0" w:afterLines="0" w:line="240" w:lineRule="auto"/>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t/a</w:t>
                  </w:r>
                </w:p>
              </w:tc>
              <w:tc>
                <w:tcPr>
                  <w:tcW w:w="1049" w:type="pct"/>
                  <w:vMerge w:val="continue"/>
                  <w:vAlign w:val="center"/>
                </w:tcPr>
                <w:p w14:paraId="01964F6D">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1F5BEA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restart"/>
                  <w:vAlign w:val="center"/>
                </w:tcPr>
                <w:p w14:paraId="33B0FE4D">
                  <w:pPr>
                    <w:snapToGrid w:val="0"/>
                    <w:jc w:val="center"/>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综合</w:t>
                  </w:r>
                  <w:r>
                    <w:rPr>
                      <w:rFonts w:hint="eastAsia" w:ascii="Times New Roman" w:hAnsi="Times New Roman" w:eastAsia="宋体" w:cs="宋体"/>
                      <w:color w:val="000000" w:themeColor="text1"/>
                      <w:kern w:val="11"/>
                      <w:sz w:val="21"/>
                      <w:szCs w:val="21"/>
                      <w:highlight w:val="none"/>
                      <w:lang w:val="en-US" w:eastAsia="zh-CN"/>
                      <w14:textFill>
                        <w14:solidFill>
                          <w14:schemeClr w14:val="tx1"/>
                        </w14:solidFill>
                      </w14:textFill>
                    </w:rPr>
                    <w:t>生产废水</w:t>
                  </w:r>
                </w:p>
              </w:tc>
              <w:tc>
                <w:tcPr>
                  <w:tcW w:w="841" w:type="pct"/>
                  <w:vAlign w:val="center"/>
                </w:tcPr>
                <w:p w14:paraId="02C701B4">
                  <w:pPr>
                    <w:pStyle w:val="39"/>
                    <w:adjustRightInd/>
                    <w:spacing w:beforeLines="0" w:afterLines="0" w:line="240" w:lineRule="auto"/>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废水量</w:t>
                  </w:r>
                </w:p>
              </w:tc>
              <w:tc>
                <w:tcPr>
                  <w:tcW w:w="544" w:type="pct"/>
                  <w:vMerge w:val="restart"/>
                  <w:vAlign w:val="center"/>
                </w:tcPr>
                <w:p w14:paraId="3C2A78AB">
                  <w:pPr>
                    <w:pStyle w:val="39"/>
                    <w:adjustRightInd/>
                    <w:spacing w:beforeLines="0" w:afterLines="0" w:line="240" w:lineRule="auto"/>
                    <w:jc w:val="center"/>
                    <w:rPr>
                      <w:rFonts w:hint="eastAsia" w:ascii="Times New Roman" w:hAnsi="Times New Roman" w:eastAsia="宋体" w:cs="宋体"/>
                      <w:bCs/>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格栅+絮凝分离+静态沉淀+水解酸化+好氧处理</w:t>
                  </w:r>
                </w:p>
              </w:tc>
              <w:tc>
                <w:tcPr>
                  <w:tcW w:w="506" w:type="pct"/>
                  <w:vAlign w:val="center"/>
                </w:tcPr>
                <w:p w14:paraId="6699FEF0">
                  <w:pPr>
                    <w:pStyle w:val="39"/>
                    <w:adjustRightInd/>
                    <w:spacing w:beforeLines="0" w:afterLines="0" w:line="240" w:lineRule="auto"/>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w:t>
                  </w:r>
                </w:p>
              </w:tc>
              <w:tc>
                <w:tcPr>
                  <w:tcW w:w="509" w:type="pct"/>
                  <w:vAlign w:val="center"/>
                </w:tcPr>
                <w:p w14:paraId="5C234E48">
                  <w:pPr>
                    <w:pStyle w:val="39"/>
                    <w:adjustRightInd/>
                    <w:spacing w:beforeLines="0" w:afterLines="0" w:line="240" w:lineRule="auto"/>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cs="宋体"/>
                      <w:bCs/>
                      <w:color w:val="000000" w:themeColor="text1"/>
                      <w:sz w:val="21"/>
                      <w:szCs w:val="21"/>
                      <w:highlight w:val="none"/>
                      <w:lang w:val="en-US" w:eastAsia="zh-CN"/>
                      <w14:textFill>
                        <w14:solidFill>
                          <w14:schemeClr w14:val="tx1"/>
                        </w14:solidFill>
                      </w14:textFill>
                    </w:rPr>
                    <w:t>7924.8</w:t>
                  </w:r>
                </w:p>
              </w:tc>
              <w:tc>
                <w:tcPr>
                  <w:tcW w:w="506" w:type="pct"/>
                  <w:vAlign w:val="center"/>
                </w:tcPr>
                <w:p w14:paraId="27C5FA98">
                  <w:pPr>
                    <w:snapToGrid w:val="0"/>
                    <w:jc w:val="center"/>
                    <w:rPr>
                      <w:rFonts w:ascii="Times New Roman" w:hAnsi="Times New Roman" w:eastAsia="宋体" w:cs="宋体"/>
                      <w:color w:val="000000" w:themeColor="text1"/>
                      <w:kern w:val="11"/>
                      <w:sz w:val="21"/>
                      <w:szCs w:val="21"/>
                      <w:highlight w:val="none"/>
                      <w14:textFill>
                        <w14:solidFill>
                          <w14:schemeClr w14:val="tx1"/>
                        </w14:solidFill>
                      </w14:textFill>
                    </w:rPr>
                  </w:pPr>
                  <w:r>
                    <w:rPr>
                      <w:rFonts w:ascii="Times New Roman" w:hAnsi="Times New Roman" w:eastAsia="宋体" w:cs="宋体"/>
                      <w:color w:val="000000" w:themeColor="text1"/>
                      <w:kern w:val="11"/>
                      <w:sz w:val="21"/>
                      <w:szCs w:val="21"/>
                      <w:highlight w:val="none"/>
                      <w14:textFill>
                        <w14:solidFill>
                          <w14:schemeClr w14:val="tx1"/>
                        </w14:solidFill>
                      </w14:textFill>
                    </w:rPr>
                    <w:t>/</w:t>
                  </w:r>
                </w:p>
              </w:tc>
              <w:tc>
                <w:tcPr>
                  <w:tcW w:w="509" w:type="pct"/>
                  <w:vAlign w:val="center"/>
                </w:tcPr>
                <w:p w14:paraId="18B5E481">
                  <w:pPr>
                    <w:pStyle w:val="39"/>
                    <w:adjustRightInd/>
                    <w:spacing w:beforeLines="0" w:afterLines="0" w:line="240" w:lineRule="auto"/>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cs="宋体"/>
                      <w:bCs/>
                      <w:color w:val="000000" w:themeColor="text1"/>
                      <w:sz w:val="21"/>
                      <w:szCs w:val="21"/>
                      <w:highlight w:val="none"/>
                      <w:lang w:val="en-US" w:eastAsia="zh-CN"/>
                      <w14:textFill>
                        <w14:solidFill>
                          <w14:schemeClr w14:val="tx1"/>
                        </w14:solidFill>
                      </w14:textFill>
                    </w:rPr>
                    <w:t>7924.8</w:t>
                  </w:r>
                </w:p>
              </w:tc>
              <w:tc>
                <w:tcPr>
                  <w:tcW w:w="1049" w:type="pct"/>
                  <w:vMerge w:val="restart"/>
                  <w:vAlign w:val="center"/>
                </w:tcPr>
                <w:p w14:paraId="33AB571E">
                  <w:pPr>
                    <w:pStyle w:val="39"/>
                    <w:adjustRightInd/>
                    <w:spacing w:beforeLines="0" w:afterLines="0" w:line="240" w:lineRule="auto"/>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接管至</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指前污水处理厂</w:t>
                  </w:r>
                  <w:r>
                    <w:rPr>
                      <w:rFonts w:ascii="Times New Roman" w:hAnsi="Times New Roman" w:eastAsia="宋体" w:cs="宋体"/>
                      <w:color w:val="000000" w:themeColor="text1"/>
                      <w:sz w:val="21"/>
                      <w:szCs w:val="21"/>
                      <w:highlight w:val="none"/>
                      <w14:textFill>
                        <w14:solidFill>
                          <w14:schemeClr w14:val="tx1"/>
                        </w14:solidFill>
                      </w14:textFill>
                    </w:rPr>
                    <w:t>，尾水排入</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丹金溧漕河</w:t>
                  </w:r>
                </w:p>
              </w:tc>
            </w:tr>
            <w:tr w14:paraId="5C2D30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09B31E97">
                  <w:pPr>
                    <w:snapToGrid w:val="0"/>
                    <w:jc w:val="center"/>
                    <w:rPr>
                      <w:rFonts w:ascii="Times New Roman" w:hAnsi="Times New Roman" w:eastAsia="宋体" w:cs="宋体"/>
                      <w:color w:val="000000" w:themeColor="text1"/>
                      <w:kern w:val="11"/>
                      <w:sz w:val="21"/>
                      <w:szCs w:val="21"/>
                      <w:highlight w:val="none"/>
                      <w14:textFill>
                        <w14:solidFill>
                          <w14:schemeClr w14:val="tx1"/>
                        </w14:solidFill>
                      </w14:textFill>
                    </w:rPr>
                  </w:pPr>
                </w:p>
              </w:tc>
              <w:tc>
                <w:tcPr>
                  <w:tcW w:w="841" w:type="pct"/>
                  <w:shd w:val="clear" w:color="auto" w:fill="auto"/>
                  <w:vAlign w:val="center"/>
                </w:tcPr>
                <w:p w14:paraId="7FB2A81C">
                  <w:pPr>
                    <w:pStyle w:val="39"/>
                    <w:adjustRightInd/>
                    <w:spacing w:beforeLines="0" w:afterLines="0" w:line="240" w:lineRule="auto"/>
                    <w:jc w:val="center"/>
                    <w:rPr>
                      <w:rFonts w:ascii="Times New Roman" w:hAnsi="Times New Roman" w:eastAsia="宋体" w:cs="宋体"/>
                      <w:bCs/>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pH值</w:t>
                  </w:r>
                </w:p>
              </w:tc>
              <w:tc>
                <w:tcPr>
                  <w:tcW w:w="544" w:type="pct"/>
                  <w:vMerge w:val="continue"/>
                  <w:vAlign w:val="center"/>
                </w:tcPr>
                <w:p w14:paraId="5A26573D">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1015" w:type="pct"/>
                  <w:gridSpan w:val="2"/>
                  <w:vAlign w:val="center"/>
                </w:tcPr>
                <w:p w14:paraId="358D78C6">
                  <w:pPr>
                    <w:snapToGrid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6.5~7.5（无量纲）</w:t>
                  </w:r>
                </w:p>
              </w:tc>
              <w:tc>
                <w:tcPr>
                  <w:tcW w:w="1015" w:type="pct"/>
                  <w:gridSpan w:val="2"/>
                  <w:vAlign w:val="center"/>
                </w:tcPr>
                <w:p w14:paraId="35601D75">
                  <w:pPr>
                    <w:snapToGrid w:val="0"/>
                    <w:jc w:val="center"/>
                    <w:textAlignment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t>6~9</w:t>
                  </w:r>
                </w:p>
              </w:tc>
              <w:tc>
                <w:tcPr>
                  <w:tcW w:w="1049" w:type="pct"/>
                  <w:vMerge w:val="continue"/>
                  <w:vAlign w:val="center"/>
                </w:tcPr>
                <w:p w14:paraId="4E103CCE">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20570E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5A0927D1">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1" w:type="pct"/>
                  <w:shd w:val="clear" w:color="auto" w:fill="auto"/>
                  <w:vAlign w:val="center"/>
                </w:tcPr>
                <w:p w14:paraId="5E2C5268">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COD</w:t>
                  </w:r>
                </w:p>
              </w:tc>
              <w:tc>
                <w:tcPr>
                  <w:tcW w:w="544" w:type="pct"/>
                  <w:vMerge w:val="continue"/>
                  <w:vAlign w:val="center"/>
                </w:tcPr>
                <w:p w14:paraId="00747980">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2FF32BB4">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190.7 </w:t>
                  </w:r>
                </w:p>
              </w:tc>
              <w:tc>
                <w:tcPr>
                  <w:tcW w:w="841" w:type="dxa"/>
                  <w:vAlign w:val="center"/>
                </w:tcPr>
                <w:p w14:paraId="58EB067D">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c>
                <w:tcPr>
                  <w:tcW w:w="836" w:type="dxa"/>
                  <w:shd w:val="clear" w:color="auto" w:fill="auto"/>
                  <w:vAlign w:val="bottom"/>
                </w:tcPr>
                <w:p w14:paraId="216B2945">
                  <w:pPr>
                    <w:keepNext w:val="0"/>
                    <w:keepLines w:val="0"/>
                    <w:widowControl/>
                    <w:suppressLineNumbers w:val="0"/>
                    <w:jc w:val="center"/>
                    <w:textAlignment w:val="bottom"/>
                    <w:rPr>
                      <w:rFonts w:ascii="Times New Roman" w:hAnsi="Times New Roman" w:eastAsia="宋体" w:cs="宋体"/>
                      <w:color w:val="000000" w:themeColor="text1"/>
                      <w:kern w:val="11"/>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50</w:t>
                  </w:r>
                </w:p>
              </w:tc>
              <w:tc>
                <w:tcPr>
                  <w:tcW w:w="841" w:type="dxa"/>
                  <w:shd w:val="clear" w:color="auto" w:fill="auto"/>
                  <w:vAlign w:val="center"/>
                </w:tcPr>
                <w:p w14:paraId="55AFE9A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0.3962 </w:t>
                  </w:r>
                </w:p>
              </w:tc>
              <w:tc>
                <w:tcPr>
                  <w:tcW w:w="1049" w:type="pct"/>
                  <w:vMerge w:val="continue"/>
                  <w:vAlign w:val="center"/>
                </w:tcPr>
                <w:p w14:paraId="2AE3514F">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596066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084CEC6D">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1" w:type="pct"/>
                  <w:shd w:val="clear" w:color="auto" w:fill="auto"/>
                  <w:vAlign w:val="center"/>
                </w:tcPr>
                <w:p w14:paraId="2789544B">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BOD</w:t>
                  </w:r>
                  <w:r>
                    <w:rPr>
                      <w:rFonts w:hint="eastAsia" w:ascii="Times New Roman" w:hAnsi="Times New Roman" w:eastAsia="宋体" w:cs="宋体"/>
                      <w:color w:val="000000" w:themeColor="text1"/>
                      <w:sz w:val="21"/>
                      <w:szCs w:val="21"/>
                      <w:highlight w:val="none"/>
                      <w:vertAlign w:val="subscript"/>
                      <w:lang w:val="en-US" w:eastAsia="zh-CN"/>
                      <w14:textFill>
                        <w14:solidFill>
                          <w14:schemeClr w14:val="tx1"/>
                        </w14:solidFill>
                      </w14:textFill>
                    </w:rPr>
                    <w:t>5</w:t>
                  </w:r>
                </w:p>
              </w:tc>
              <w:tc>
                <w:tcPr>
                  <w:tcW w:w="544" w:type="pct"/>
                  <w:vMerge w:val="continue"/>
                  <w:vAlign w:val="center"/>
                </w:tcPr>
                <w:p w14:paraId="20D310C6">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36FE6E90">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71.1 </w:t>
                  </w:r>
                </w:p>
              </w:tc>
              <w:tc>
                <w:tcPr>
                  <w:tcW w:w="841" w:type="dxa"/>
                  <w:vAlign w:val="center"/>
                </w:tcPr>
                <w:p w14:paraId="10C6E903">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c>
                <w:tcPr>
                  <w:tcW w:w="836" w:type="dxa"/>
                  <w:shd w:val="clear" w:color="auto" w:fill="auto"/>
                  <w:vAlign w:val="bottom"/>
                </w:tcPr>
                <w:p w14:paraId="6BE0D1BF">
                  <w:pPr>
                    <w:keepNext w:val="0"/>
                    <w:keepLines w:val="0"/>
                    <w:widowControl/>
                    <w:suppressLineNumbers w:val="0"/>
                    <w:jc w:val="center"/>
                    <w:textAlignment w:val="bottom"/>
                    <w:rPr>
                      <w:rFonts w:hint="default" w:ascii="Times New Roman" w:hAnsi="Times New Roman" w:eastAsia="宋体" w:cs="宋体"/>
                      <w:color w:val="000000" w:themeColor="text1"/>
                      <w:kern w:val="11"/>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841" w:type="dxa"/>
                  <w:shd w:val="clear" w:color="auto" w:fill="auto"/>
                  <w:vAlign w:val="center"/>
                </w:tcPr>
                <w:p w14:paraId="5A296C5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0.0792 </w:t>
                  </w:r>
                </w:p>
              </w:tc>
              <w:tc>
                <w:tcPr>
                  <w:tcW w:w="1049" w:type="pct"/>
                  <w:vMerge w:val="continue"/>
                  <w:vAlign w:val="center"/>
                </w:tcPr>
                <w:p w14:paraId="4D1EACBB">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6AC879B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136DC9F6">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1" w:type="pct"/>
                  <w:shd w:val="clear" w:color="auto" w:fill="auto"/>
                  <w:vAlign w:val="center"/>
                </w:tcPr>
                <w:p w14:paraId="042E8CB7">
                  <w:pPr>
                    <w:snapToGrid w:val="0"/>
                    <w:jc w:val="center"/>
                    <w:rPr>
                      <w:rFonts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SS</w:t>
                  </w:r>
                </w:p>
              </w:tc>
              <w:tc>
                <w:tcPr>
                  <w:tcW w:w="544" w:type="pct"/>
                  <w:vMerge w:val="continue"/>
                  <w:vAlign w:val="center"/>
                </w:tcPr>
                <w:p w14:paraId="22DD7D36">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305E4355">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36.7 </w:t>
                  </w:r>
                </w:p>
              </w:tc>
              <w:tc>
                <w:tcPr>
                  <w:tcW w:w="841" w:type="dxa"/>
                  <w:vAlign w:val="center"/>
                </w:tcPr>
                <w:p w14:paraId="0D3866CE">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c>
                <w:tcPr>
                  <w:tcW w:w="836" w:type="dxa"/>
                  <w:shd w:val="clear" w:color="auto" w:fill="auto"/>
                  <w:vAlign w:val="bottom"/>
                </w:tcPr>
                <w:p w14:paraId="69DB58AC">
                  <w:pPr>
                    <w:keepNext w:val="0"/>
                    <w:keepLines w:val="0"/>
                    <w:widowControl/>
                    <w:suppressLineNumbers w:val="0"/>
                    <w:jc w:val="center"/>
                    <w:textAlignment w:val="bottom"/>
                    <w:rPr>
                      <w:rFonts w:hint="default" w:ascii="Times New Roman" w:hAnsi="Times New Roman" w:eastAsia="宋体" w:cs="宋体"/>
                      <w:color w:val="000000" w:themeColor="text1"/>
                      <w:kern w:val="11"/>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841" w:type="dxa"/>
                  <w:shd w:val="clear" w:color="auto" w:fill="auto"/>
                  <w:vAlign w:val="center"/>
                </w:tcPr>
                <w:p w14:paraId="43635C4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0.0792 </w:t>
                  </w:r>
                </w:p>
              </w:tc>
              <w:tc>
                <w:tcPr>
                  <w:tcW w:w="1049" w:type="pct"/>
                  <w:vMerge w:val="continue"/>
                  <w:vAlign w:val="center"/>
                </w:tcPr>
                <w:p w14:paraId="53842A6D">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697DF0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4DEB290D">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1" w:type="pct"/>
                  <w:shd w:val="clear" w:color="auto" w:fill="auto"/>
                  <w:vAlign w:val="center"/>
                </w:tcPr>
                <w:p w14:paraId="13464B59">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NH</w:t>
                  </w:r>
                  <w:r>
                    <w:rPr>
                      <w:rFonts w:ascii="Times New Roman" w:hAnsi="Times New Roman" w:eastAsia="宋体" w:cs="宋体"/>
                      <w:color w:val="000000" w:themeColor="text1"/>
                      <w:sz w:val="21"/>
                      <w:szCs w:val="21"/>
                      <w:highlight w:val="none"/>
                      <w:vertAlign w:val="subscript"/>
                      <w14:textFill>
                        <w14:solidFill>
                          <w14:schemeClr w14:val="tx1"/>
                        </w14:solidFill>
                      </w14:textFill>
                    </w:rPr>
                    <w:t>3</w:t>
                  </w:r>
                  <w:r>
                    <w:rPr>
                      <w:rFonts w:ascii="Times New Roman" w:hAnsi="Times New Roman" w:eastAsia="宋体" w:cs="宋体"/>
                      <w:color w:val="000000" w:themeColor="text1"/>
                      <w:sz w:val="21"/>
                      <w:szCs w:val="21"/>
                      <w:highlight w:val="none"/>
                      <w14:textFill>
                        <w14:solidFill>
                          <w14:schemeClr w14:val="tx1"/>
                        </w14:solidFill>
                      </w14:textFill>
                    </w:rPr>
                    <w:t>-N</w:t>
                  </w:r>
                </w:p>
              </w:tc>
              <w:tc>
                <w:tcPr>
                  <w:tcW w:w="544" w:type="pct"/>
                  <w:vMerge w:val="continue"/>
                  <w:vAlign w:val="center"/>
                </w:tcPr>
                <w:p w14:paraId="092E863B">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64FD12EE">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21.6 </w:t>
                  </w:r>
                </w:p>
              </w:tc>
              <w:tc>
                <w:tcPr>
                  <w:tcW w:w="841" w:type="dxa"/>
                  <w:vAlign w:val="center"/>
                </w:tcPr>
                <w:p w14:paraId="03FA95A4">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c>
                <w:tcPr>
                  <w:tcW w:w="836" w:type="dxa"/>
                  <w:vAlign w:val="bottom"/>
                </w:tcPr>
                <w:p w14:paraId="6F85B84A">
                  <w:pPr>
                    <w:keepNext w:val="0"/>
                    <w:keepLines w:val="0"/>
                    <w:widowControl/>
                    <w:suppressLineNumbers w:val="0"/>
                    <w:jc w:val="center"/>
                    <w:textAlignment w:val="bottom"/>
                    <w:rPr>
                      <w:rFonts w:hint="eastAsia" w:ascii="Times New Roman" w:hAnsi="Times New Roman" w:eastAsia="宋体" w:cs="宋体"/>
                      <w:color w:val="000000" w:themeColor="text1"/>
                      <w:kern w:val="1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841" w:type="dxa"/>
                  <w:vAlign w:val="center"/>
                </w:tcPr>
                <w:p w14:paraId="075220A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0.0317 </w:t>
                  </w:r>
                </w:p>
              </w:tc>
              <w:tc>
                <w:tcPr>
                  <w:tcW w:w="1049" w:type="pct"/>
                  <w:vMerge w:val="continue"/>
                  <w:vAlign w:val="center"/>
                </w:tcPr>
                <w:p w14:paraId="769F3318">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721679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3A73D272">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0" w:type="auto"/>
                  <w:shd w:val="clear" w:color="auto" w:fill="auto"/>
                  <w:vAlign w:val="center"/>
                </w:tcPr>
                <w:p w14:paraId="3860EFB6">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动植物油</w:t>
                  </w:r>
                </w:p>
              </w:tc>
              <w:tc>
                <w:tcPr>
                  <w:tcW w:w="544" w:type="pct"/>
                  <w:vMerge w:val="continue"/>
                  <w:vAlign w:val="center"/>
                </w:tcPr>
                <w:p w14:paraId="11DA6BC3">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3FEA09AC">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5.3 </w:t>
                  </w:r>
                </w:p>
              </w:tc>
              <w:tc>
                <w:tcPr>
                  <w:tcW w:w="841" w:type="dxa"/>
                  <w:vAlign w:val="center"/>
                </w:tcPr>
                <w:p w14:paraId="724AF3D3">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c>
                <w:tcPr>
                  <w:tcW w:w="836" w:type="dxa"/>
                  <w:vAlign w:val="bottom"/>
                </w:tcPr>
                <w:p w14:paraId="664B5AE7">
                  <w:pPr>
                    <w:keepNext w:val="0"/>
                    <w:keepLines w:val="0"/>
                    <w:widowControl/>
                    <w:suppressLineNumbers w:val="0"/>
                    <w:jc w:val="center"/>
                    <w:textAlignment w:val="bottom"/>
                    <w:rPr>
                      <w:rFonts w:hint="eastAsia" w:ascii="Times New Roman" w:hAnsi="Times New Roman" w:eastAsia="宋体" w:cs="宋体"/>
                      <w:color w:val="000000" w:themeColor="text1"/>
                      <w:kern w:val="1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841" w:type="dxa"/>
                  <w:vAlign w:val="center"/>
                </w:tcPr>
                <w:p w14:paraId="28B8037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0.0079 </w:t>
                  </w:r>
                </w:p>
              </w:tc>
              <w:tc>
                <w:tcPr>
                  <w:tcW w:w="1049" w:type="pct"/>
                  <w:vMerge w:val="continue"/>
                  <w:vAlign w:val="center"/>
                </w:tcPr>
                <w:p w14:paraId="432E0B41">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718EE8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69C8BFB7">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0" w:type="auto"/>
                  <w:shd w:val="clear" w:color="auto" w:fill="auto"/>
                  <w:vAlign w:val="center"/>
                </w:tcPr>
                <w:p w14:paraId="5BAF75C1">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TP</w:t>
                  </w:r>
                </w:p>
              </w:tc>
              <w:tc>
                <w:tcPr>
                  <w:tcW w:w="544" w:type="pct"/>
                  <w:vMerge w:val="continue"/>
                  <w:vAlign w:val="center"/>
                </w:tcPr>
                <w:p w14:paraId="369BA1C8">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361ABE70">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2.2 </w:t>
                  </w:r>
                </w:p>
              </w:tc>
              <w:tc>
                <w:tcPr>
                  <w:tcW w:w="841" w:type="dxa"/>
                  <w:vAlign w:val="center"/>
                </w:tcPr>
                <w:p w14:paraId="3F8DE76D">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c>
                <w:tcPr>
                  <w:tcW w:w="836" w:type="dxa"/>
                  <w:vAlign w:val="bottom"/>
                </w:tcPr>
                <w:p w14:paraId="6B106DCA">
                  <w:pPr>
                    <w:keepNext w:val="0"/>
                    <w:keepLines w:val="0"/>
                    <w:widowControl/>
                    <w:suppressLineNumbers w:val="0"/>
                    <w:jc w:val="center"/>
                    <w:textAlignment w:val="bottom"/>
                    <w:rPr>
                      <w:rFonts w:hint="default" w:ascii="Times New Roman" w:hAnsi="Times New Roman" w:eastAsia="宋体" w:cs="宋体"/>
                      <w:color w:val="000000" w:themeColor="text1"/>
                      <w:kern w:val="1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0.5</w:t>
                  </w:r>
                </w:p>
              </w:tc>
              <w:tc>
                <w:tcPr>
                  <w:tcW w:w="841" w:type="dxa"/>
                  <w:vAlign w:val="center"/>
                </w:tcPr>
                <w:p w14:paraId="5F290CE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0.0040 </w:t>
                  </w:r>
                </w:p>
              </w:tc>
              <w:tc>
                <w:tcPr>
                  <w:tcW w:w="1049" w:type="pct"/>
                  <w:vMerge w:val="continue"/>
                  <w:vAlign w:val="center"/>
                </w:tcPr>
                <w:p w14:paraId="7135854C">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r w14:paraId="04EFEC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33" w:type="pct"/>
                  <w:vMerge w:val="continue"/>
                  <w:vAlign w:val="center"/>
                </w:tcPr>
                <w:p w14:paraId="5CF1632F">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0" w:type="auto"/>
                  <w:shd w:val="clear" w:color="auto" w:fill="auto"/>
                  <w:vAlign w:val="center"/>
                </w:tcPr>
                <w:p w14:paraId="0162DCB5">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TN</w:t>
                  </w:r>
                </w:p>
              </w:tc>
              <w:tc>
                <w:tcPr>
                  <w:tcW w:w="544" w:type="pct"/>
                  <w:vMerge w:val="continue"/>
                  <w:vAlign w:val="center"/>
                </w:tcPr>
                <w:p w14:paraId="34D71E0E">
                  <w:pPr>
                    <w:pStyle w:val="39"/>
                    <w:adjustRightInd/>
                    <w:spacing w:beforeLines="0" w:afterLines="0" w:line="240" w:lineRule="auto"/>
                    <w:jc w:val="center"/>
                    <w:rPr>
                      <w:rFonts w:ascii="Times New Roman" w:hAnsi="Times New Roman" w:eastAsia="宋体" w:cs="宋体"/>
                      <w:color w:val="000000" w:themeColor="text1"/>
                      <w:kern w:val="2"/>
                      <w:sz w:val="21"/>
                      <w:szCs w:val="21"/>
                      <w:highlight w:val="none"/>
                      <w14:textFill>
                        <w14:solidFill>
                          <w14:schemeClr w14:val="tx1"/>
                        </w14:solidFill>
                      </w14:textFill>
                    </w:rPr>
                  </w:pPr>
                </w:p>
              </w:tc>
              <w:tc>
                <w:tcPr>
                  <w:tcW w:w="836" w:type="dxa"/>
                  <w:vAlign w:val="center"/>
                </w:tcPr>
                <w:p w14:paraId="1848B789">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34.7 </w:t>
                  </w:r>
                </w:p>
              </w:tc>
              <w:tc>
                <w:tcPr>
                  <w:tcW w:w="841" w:type="dxa"/>
                  <w:vAlign w:val="center"/>
                </w:tcPr>
                <w:p w14:paraId="2401B109">
                  <w:pPr>
                    <w:keepNext w:val="0"/>
                    <w:keepLines w:val="0"/>
                    <w:widowControl/>
                    <w:suppressLineNumbers w:val="0"/>
                    <w:jc w:val="center"/>
                    <w:textAlignment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c>
                <w:tcPr>
                  <w:tcW w:w="836" w:type="dxa"/>
                  <w:vAlign w:val="bottom"/>
                </w:tcPr>
                <w:p w14:paraId="404E94AB">
                  <w:pPr>
                    <w:keepNext w:val="0"/>
                    <w:keepLines w:val="0"/>
                    <w:widowControl/>
                    <w:suppressLineNumbers w:val="0"/>
                    <w:jc w:val="center"/>
                    <w:textAlignment w:val="bottom"/>
                    <w:rPr>
                      <w:rFonts w:hint="default" w:ascii="Times New Roman" w:hAnsi="Times New Roman" w:eastAsia="宋体" w:cs="宋体"/>
                      <w:color w:val="000000" w:themeColor="text1"/>
                      <w:kern w:val="11"/>
                      <w:sz w:val="21"/>
                      <w:szCs w:val="21"/>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841" w:type="dxa"/>
                  <w:vAlign w:val="center"/>
                </w:tcPr>
                <w:p w14:paraId="145CB41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0.0951 </w:t>
                  </w:r>
                </w:p>
              </w:tc>
              <w:tc>
                <w:tcPr>
                  <w:tcW w:w="1049" w:type="pct"/>
                  <w:vMerge w:val="continue"/>
                  <w:vAlign w:val="center"/>
                </w:tcPr>
                <w:p w14:paraId="7F529153">
                  <w:pPr>
                    <w:pStyle w:val="39"/>
                    <w:adjustRightInd/>
                    <w:spacing w:beforeLines="0" w:afterLines="0" w:line="240" w:lineRule="auto"/>
                    <w:jc w:val="center"/>
                    <w:rPr>
                      <w:rFonts w:ascii="Times New Roman" w:hAnsi="Times New Roman" w:eastAsia="宋体" w:cs="宋体"/>
                      <w:color w:val="000000" w:themeColor="text1"/>
                      <w:sz w:val="21"/>
                      <w:szCs w:val="21"/>
                      <w:highlight w:val="none"/>
                      <w14:textFill>
                        <w14:solidFill>
                          <w14:schemeClr w14:val="tx1"/>
                        </w14:solidFill>
                      </w14:textFill>
                    </w:rPr>
                  </w:pPr>
                </w:p>
              </w:tc>
            </w:tr>
          </w:tbl>
          <w:p w14:paraId="4DC2C1F1">
            <w:pPr>
              <w:autoSpaceDE w:val="0"/>
              <w:autoSpaceDN w:val="0"/>
              <w:spacing w:line="360" w:lineRule="auto"/>
              <w:ind w:firstLine="420" w:firstLineChars="200"/>
              <w:jc w:val="left"/>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（4）排放口基本情况</w:t>
            </w:r>
          </w:p>
          <w:p w14:paraId="09E2731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15</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废水排放口基本情况表</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696"/>
              <w:gridCol w:w="672"/>
              <w:gridCol w:w="1441"/>
              <w:gridCol w:w="1437"/>
              <w:gridCol w:w="1112"/>
              <w:gridCol w:w="1924"/>
              <w:gridCol w:w="977"/>
            </w:tblGrid>
            <w:tr w14:paraId="65716D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595" w:type="pct"/>
                  <w:gridSpan w:val="4"/>
                  <w:vAlign w:val="center"/>
                </w:tcPr>
                <w:p w14:paraId="53876022">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排放口基本情况</w:t>
                  </w:r>
                </w:p>
              </w:tc>
              <w:tc>
                <w:tcPr>
                  <w:tcW w:w="2404" w:type="pct"/>
                  <w:gridSpan w:val="3"/>
                  <w:vAlign w:val="center"/>
                </w:tcPr>
                <w:p w14:paraId="6AC47F00">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排放标准</w:t>
                  </w:r>
                </w:p>
              </w:tc>
            </w:tr>
            <w:tr w14:paraId="300D21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restart"/>
                  <w:vAlign w:val="center"/>
                </w:tcPr>
                <w:p w14:paraId="7A14A2DC">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排放口</w:t>
                  </w:r>
                </w:p>
                <w:p w14:paraId="75DC5C95">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编号</w:t>
                  </w:r>
                </w:p>
              </w:tc>
              <w:tc>
                <w:tcPr>
                  <w:tcW w:w="415" w:type="pct"/>
                  <w:vMerge w:val="restart"/>
                  <w:vAlign w:val="center"/>
                </w:tcPr>
                <w:p w14:paraId="578F06FA">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类型</w:t>
                  </w:r>
                </w:p>
              </w:tc>
              <w:tc>
                <w:tcPr>
                  <w:tcW w:w="1749" w:type="pct"/>
                  <w:gridSpan w:val="2"/>
                  <w:vAlign w:val="center"/>
                </w:tcPr>
                <w:p w14:paraId="72F18CD1">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排放口地理坐标</w:t>
                  </w:r>
                </w:p>
              </w:tc>
              <w:tc>
                <w:tcPr>
                  <w:tcW w:w="681" w:type="pct"/>
                  <w:vMerge w:val="restart"/>
                  <w:vAlign w:val="center"/>
                </w:tcPr>
                <w:p w14:paraId="32505787">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污染物种类</w:t>
                  </w:r>
                </w:p>
              </w:tc>
              <w:tc>
                <w:tcPr>
                  <w:tcW w:w="1124" w:type="pct"/>
                  <w:vMerge w:val="restart"/>
                  <w:vAlign w:val="center"/>
                </w:tcPr>
                <w:p w14:paraId="6D52D846">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标准名称</w:t>
                  </w:r>
                </w:p>
              </w:tc>
              <w:tc>
                <w:tcPr>
                  <w:tcW w:w="598" w:type="pct"/>
                  <w:vMerge w:val="restart"/>
                  <w:vAlign w:val="center"/>
                </w:tcPr>
                <w:p w14:paraId="6C31C667">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标准限值/（mg/L）</w:t>
                  </w:r>
                </w:p>
              </w:tc>
            </w:tr>
            <w:tr w14:paraId="3DBAD4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0799BD91">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tc>
              <w:tc>
                <w:tcPr>
                  <w:tcW w:w="415" w:type="pct"/>
                  <w:vMerge w:val="continue"/>
                  <w:vAlign w:val="center"/>
                </w:tcPr>
                <w:p w14:paraId="5E97521E">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tc>
              <w:tc>
                <w:tcPr>
                  <w:tcW w:w="872" w:type="pct"/>
                  <w:vAlign w:val="center"/>
                </w:tcPr>
                <w:p w14:paraId="59C4C399">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经度</w:t>
                  </w:r>
                </w:p>
              </w:tc>
              <w:tc>
                <w:tcPr>
                  <w:tcW w:w="877" w:type="pct"/>
                  <w:vAlign w:val="center"/>
                </w:tcPr>
                <w:p w14:paraId="5A3F74EF">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纬度</w:t>
                  </w:r>
                </w:p>
              </w:tc>
              <w:tc>
                <w:tcPr>
                  <w:tcW w:w="681" w:type="pct"/>
                  <w:vMerge w:val="continue"/>
                  <w:vAlign w:val="center"/>
                </w:tcPr>
                <w:p w14:paraId="48040138">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tc>
              <w:tc>
                <w:tcPr>
                  <w:tcW w:w="1124" w:type="pct"/>
                  <w:vMerge w:val="continue"/>
                  <w:vAlign w:val="center"/>
                </w:tcPr>
                <w:p w14:paraId="498D1403">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tc>
              <w:tc>
                <w:tcPr>
                  <w:tcW w:w="598" w:type="pct"/>
                  <w:vMerge w:val="continue"/>
                  <w:vAlign w:val="center"/>
                </w:tcPr>
                <w:p w14:paraId="0D1549CE">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p>
              </w:tc>
            </w:tr>
            <w:tr w14:paraId="3FA06C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restart"/>
                  <w:vAlign w:val="center"/>
                </w:tcPr>
                <w:p w14:paraId="6B5F22A0">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Cs/>
                      <w:color w:val="000000" w:themeColor="text1"/>
                      <w:spacing w:val="-4"/>
                      <w:sz w:val="21"/>
                      <w:szCs w:val="21"/>
                      <w:highlight w:val="none"/>
                      <w14:textFill>
                        <w14:solidFill>
                          <w14:schemeClr w14:val="tx1"/>
                        </w14:solidFill>
                      </w14:textFill>
                    </w:rPr>
                    <w:t>WS-1</w:t>
                  </w:r>
                </w:p>
              </w:tc>
              <w:tc>
                <w:tcPr>
                  <w:tcW w:w="415" w:type="pct"/>
                  <w:vMerge w:val="restart"/>
                  <w:vAlign w:val="center"/>
                </w:tcPr>
                <w:p w14:paraId="513F1188">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一般</w:t>
                  </w:r>
                </w:p>
                <w:p w14:paraId="716EC171">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排放口</w:t>
                  </w:r>
                </w:p>
              </w:tc>
              <w:tc>
                <w:tcPr>
                  <w:tcW w:w="872" w:type="pct"/>
                  <w:vMerge w:val="restart"/>
                  <w:vAlign w:val="center"/>
                </w:tcPr>
                <w:p w14:paraId="53F0C479">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E</w:t>
                  </w:r>
                  <w:r>
                    <w:rPr>
                      <w:rFonts w:hint="eastAsia" w:ascii="Times New Roman" w:hAnsi="Times New Roman" w:cs="宋体"/>
                      <w:color w:val="000000" w:themeColor="text1"/>
                      <w:sz w:val="21"/>
                      <w:szCs w:val="21"/>
                      <w:highlight w:val="none"/>
                      <w:lang w:val="en-US" w:eastAsia="zh-CN"/>
                      <w14:textFill>
                        <w14:solidFill>
                          <w14:schemeClr w14:val="tx1"/>
                        </w14:solidFill>
                      </w14:textFill>
                    </w:rPr>
                    <w:t>119</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28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26.233</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877" w:type="pct"/>
                  <w:vMerge w:val="restart"/>
                  <w:vAlign w:val="center"/>
                </w:tcPr>
                <w:p w14:paraId="17CCE93C">
                  <w:pPr>
                    <w:pStyle w:val="51"/>
                    <w:adjustRightInd/>
                    <w:spacing w:beforeLines="0" w:line="240" w:lineRule="auto"/>
                    <w:ind w:firstLine="0" w:firstLine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N31°</w:t>
                  </w:r>
                  <w:r>
                    <w:rPr>
                      <w:rFonts w:hint="eastAsia" w:ascii="Times New Roman" w:hAnsi="Times New Roman" w:cs="宋体"/>
                      <w:color w:val="000000" w:themeColor="text1"/>
                      <w:sz w:val="21"/>
                      <w:szCs w:val="21"/>
                      <w:highlight w:val="none"/>
                      <w:lang w:val="en-US" w:eastAsia="zh-CN"/>
                      <w14:textFill>
                        <w14:solidFill>
                          <w14:schemeClr w14:val="tx1"/>
                        </w14:solidFill>
                      </w14:textFill>
                    </w:rPr>
                    <w:t>38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cs="宋体"/>
                      <w:color w:val="000000" w:themeColor="text1"/>
                      <w:sz w:val="21"/>
                      <w:szCs w:val="21"/>
                      <w:highlight w:val="none"/>
                      <w:lang w:val="en-US" w:eastAsia="zh-CN"/>
                      <w14:textFill>
                        <w14:solidFill>
                          <w14:schemeClr w14:val="tx1"/>
                        </w14:solidFill>
                      </w14:textFill>
                    </w:rPr>
                    <w:t>48.868</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681" w:type="pct"/>
                  <w:vAlign w:val="center"/>
                </w:tcPr>
                <w:p w14:paraId="2A00B48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pH值</w:t>
                  </w:r>
                </w:p>
              </w:tc>
              <w:tc>
                <w:tcPr>
                  <w:tcW w:w="1124" w:type="pct"/>
                  <w:vMerge w:val="restart"/>
                  <w:vAlign w:val="center"/>
                </w:tcPr>
                <w:p w14:paraId="513A1E27">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《污水排入城镇下水道水质标准》（</w:t>
                  </w:r>
                  <w:r>
                    <w:rPr>
                      <w:rFonts w:ascii="Times New Roman" w:hAnsi="Times New Roman" w:eastAsia="宋体" w:cs="宋体"/>
                      <w:color w:val="000000" w:themeColor="text1"/>
                      <w:kern w:val="0"/>
                      <w:sz w:val="21"/>
                      <w:szCs w:val="21"/>
                      <w:highlight w:val="none"/>
                      <w14:textFill>
                        <w14:solidFill>
                          <w14:schemeClr w14:val="tx1"/>
                        </w14:solidFill>
                      </w14:textFill>
                    </w:rPr>
                    <w:t>GB/T31962-2015</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2CD0FAFA">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表</w:t>
                  </w:r>
                  <w:r>
                    <w:rPr>
                      <w:rFonts w:ascii="Times New Roman" w:hAnsi="Times New Roman" w:eastAsia="宋体" w:cs="宋体"/>
                      <w:color w:val="000000" w:themeColor="text1"/>
                      <w:kern w:val="0"/>
                      <w:sz w:val="21"/>
                      <w:szCs w:val="21"/>
                      <w:highlight w:val="none"/>
                      <w14:textFill>
                        <w14:solidFill>
                          <w14:schemeClr w14:val="tx1"/>
                        </w14:solidFill>
                      </w14:textFill>
                    </w:rPr>
                    <w:t>1</w:t>
                  </w:r>
                  <w:r>
                    <w:rPr>
                      <w:rFonts w:hint="eastAsia" w:ascii="Times New Roman" w:hAnsi="Times New Roman" w:eastAsia="宋体" w:cs="宋体"/>
                      <w:color w:val="000000" w:themeColor="text1"/>
                      <w:kern w:val="0"/>
                      <w:sz w:val="21"/>
                      <w:szCs w:val="21"/>
                      <w:highlight w:val="none"/>
                      <w14:textFill>
                        <w14:solidFill>
                          <w14:schemeClr w14:val="tx1"/>
                        </w14:solidFill>
                      </w14:textFill>
                    </w:rPr>
                    <w:t>中B等级标准</w:t>
                  </w:r>
                </w:p>
              </w:tc>
              <w:tc>
                <w:tcPr>
                  <w:tcW w:w="977" w:type="dxa"/>
                  <w:vAlign w:val="center"/>
                </w:tcPr>
                <w:p w14:paraId="7C26A183">
                  <w:pPr>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6~9</w:t>
                  </w:r>
                </w:p>
              </w:tc>
            </w:tr>
            <w:tr w14:paraId="3CEB2E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0EC0B3D6">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66CB91FE">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2" w:type="pct"/>
                  <w:vMerge w:val="continue"/>
                  <w:vAlign w:val="center"/>
                </w:tcPr>
                <w:p w14:paraId="036B9D6B">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7" w:type="pct"/>
                  <w:vMerge w:val="continue"/>
                  <w:vAlign w:val="center"/>
                </w:tcPr>
                <w:p w14:paraId="6D158ABB">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681" w:type="pct"/>
                  <w:vAlign w:val="center"/>
                </w:tcPr>
                <w:p w14:paraId="1D0F887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化学需氧量</w:t>
                  </w:r>
                </w:p>
              </w:tc>
              <w:tc>
                <w:tcPr>
                  <w:tcW w:w="1124" w:type="pct"/>
                  <w:vMerge w:val="continue"/>
                  <w:vAlign w:val="center"/>
                </w:tcPr>
                <w:p w14:paraId="4A0DBB00">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77B5C1E4">
                  <w:pPr>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500</w:t>
                  </w:r>
                </w:p>
              </w:tc>
            </w:tr>
            <w:tr w14:paraId="48C9EC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51CF7FC0">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4353EB98">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2" w:type="pct"/>
                  <w:vMerge w:val="continue"/>
                  <w:vAlign w:val="center"/>
                </w:tcPr>
                <w:p w14:paraId="3775F8AD">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7" w:type="pct"/>
                  <w:vMerge w:val="continue"/>
                  <w:vAlign w:val="center"/>
                </w:tcPr>
                <w:p w14:paraId="29239D32">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681" w:type="pct"/>
                  <w:vAlign w:val="center"/>
                </w:tcPr>
                <w:p w14:paraId="4A7595E9">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生化需氧量</w:t>
                  </w:r>
                </w:p>
              </w:tc>
              <w:tc>
                <w:tcPr>
                  <w:tcW w:w="1124" w:type="pct"/>
                  <w:vMerge w:val="continue"/>
                  <w:vAlign w:val="center"/>
                </w:tcPr>
                <w:p w14:paraId="269B63E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09ED63DD">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350</w:t>
                  </w:r>
                </w:p>
              </w:tc>
            </w:tr>
            <w:tr w14:paraId="25380C2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79EE56F3">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1DF9F7AD">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2" w:type="pct"/>
                  <w:vMerge w:val="continue"/>
                  <w:vAlign w:val="center"/>
                </w:tcPr>
                <w:p w14:paraId="374784C8">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7" w:type="pct"/>
                  <w:vMerge w:val="continue"/>
                  <w:vAlign w:val="center"/>
                </w:tcPr>
                <w:p w14:paraId="37AF2582">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681" w:type="pct"/>
                  <w:vAlign w:val="center"/>
                </w:tcPr>
                <w:p w14:paraId="25A7A4D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悬浮物</w:t>
                  </w:r>
                </w:p>
              </w:tc>
              <w:tc>
                <w:tcPr>
                  <w:tcW w:w="1124" w:type="pct"/>
                  <w:vMerge w:val="continue"/>
                  <w:vAlign w:val="center"/>
                </w:tcPr>
                <w:p w14:paraId="0ED8268F">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70DA54A7">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400</w:t>
                  </w:r>
                </w:p>
              </w:tc>
            </w:tr>
            <w:tr w14:paraId="08240B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5A78B330">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3C094628">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2" w:type="pct"/>
                  <w:vMerge w:val="continue"/>
                  <w:vAlign w:val="center"/>
                </w:tcPr>
                <w:p w14:paraId="36B674FF">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877" w:type="pct"/>
                  <w:vMerge w:val="continue"/>
                  <w:vAlign w:val="center"/>
                </w:tcPr>
                <w:p w14:paraId="7017AFC2">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681" w:type="pct"/>
                  <w:vAlign w:val="center"/>
                </w:tcPr>
                <w:p w14:paraId="26D631A8">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氨氮</w:t>
                  </w:r>
                </w:p>
              </w:tc>
              <w:tc>
                <w:tcPr>
                  <w:tcW w:w="1124" w:type="pct"/>
                  <w:vMerge w:val="continue"/>
                  <w:vAlign w:val="center"/>
                </w:tcPr>
                <w:p w14:paraId="4D72E5C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29FB700D">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45</w:t>
                  </w:r>
                </w:p>
              </w:tc>
            </w:tr>
            <w:tr w14:paraId="180EE9B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523D1732">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052782F0">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2" w:type="pct"/>
                  <w:vMerge w:val="continue"/>
                  <w:vAlign w:val="center"/>
                </w:tcPr>
                <w:p w14:paraId="1F7CB88E">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7" w:type="pct"/>
                  <w:vMerge w:val="continue"/>
                  <w:vAlign w:val="center"/>
                </w:tcPr>
                <w:p w14:paraId="4C8D9985">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81" w:type="pct"/>
                  <w:vAlign w:val="center"/>
                </w:tcPr>
                <w:p w14:paraId="3E80765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动植物油</w:t>
                  </w:r>
                </w:p>
              </w:tc>
              <w:tc>
                <w:tcPr>
                  <w:tcW w:w="1124" w:type="pct"/>
                  <w:vMerge w:val="continue"/>
                  <w:vAlign w:val="center"/>
                </w:tcPr>
                <w:p w14:paraId="286205B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36E87DD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100</w:t>
                  </w:r>
                </w:p>
              </w:tc>
            </w:tr>
            <w:tr w14:paraId="69F7DD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30847B61">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7DECEEC0">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2" w:type="pct"/>
                  <w:vMerge w:val="continue"/>
                  <w:vAlign w:val="center"/>
                </w:tcPr>
                <w:p w14:paraId="41C9AF60">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7" w:type="pct"/>
                  <w:vMerge w:val="continue"/>
                  <w:vAlign w:val="center"/>
                </w:tcPr>
                <w:p w14:paraId="17782542">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81" w:type="pct"/>
                  <w:vAlign w:val="center"/>
                </w:tcPr>
                <w:p w14:paraId="147FCA9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总磷</w:t>
                  </w:r>
                </w:p>
              </w:tc>
              <w:tc>
                <w:tcPr>
                  <w:tcW w:w="1124" w:type="pct"/>
                  <w:vMerge w:val="continue"/>
                  <w:vAlign w:val="center"/>
                </w:tcPr>
                <w:p w14:paraId="5C95CE81">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067F473F">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8</w:t>
                  </w:r>
                </w:p>
              </w:tc>
            </w:tr>
            <w:tr w14:paraId="3DB9C1C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30" w:type="pct"/>
                  <w:vMerge w:val="continue"/>
                  <w:vAlign w:val="center"/>
                </w:tcPr>
                <w:p w14:paraId="42BE0DFE">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p>
              </w:tc>
              <w:tc>
                <w:tcPr>
                  <w:tcW w:w="415" w:type="pct"/>
                  <w:vMerge w:val="continue"/>
                  <w:vAlign w:val="center"/>
                </w:tcPr>
                <w:p w14:paraId="6BC81986">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2" w:type="pct"/>
                  <w:vMerge w:val="continue"/>
                  <w:vAlign w:val="center"/>
                </w:tcPr>
                <w:p w14:paraId="72873C15">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77" w:type="pct"/>
                  <w:vMerge w:val="continue"/>
                  <w:vAlign w:val="center"/>
                </w:tcPr>
                <w:p w14:paraId="58A899EF">
                  <w:pPr>
                    <w:tabs>
                      <w:tab w:val="left" w:pos="960"/>
                    </w:tabs>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681" w:type="pct"/>
                  <w:vAlign w:val="center"/>
                </w:tcPr>
                <w:p w14:paraId="2F9BCA9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总氮</w:t>
                  </w:r>
                </w:p>
              </w:tc>
              <w:tc>
                <w:tcPr>
                  <w:tcW w:w="1124" w:type="pct"/>
                  <w:vMerge w:val="continue"/>
                  <w:vAlign w:val="center"/>
                </w:tcPr>
                <w:p w14:paraId="7285344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977" w:type="dxa"/>
                  <w:vAlign w:val="center"/>
                </w:tcPr>
                <w:p w14:paraId="4C7F32F0">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70</w:t>
                  </w:r>
                </w:p>
              </w:tc>
            </w:tr>
          </w:tbl>
          <w:p w14:paraId="0330DC49">
            <w:pPr>
              <w:autoSpaceDE w:val="0"/>
              <w:autoSpaceDN w:val="0"/>
              <w:spacing w:line="360" w:lineRule="auto"/>
              <w:ind w:firstLine="420" w:firstLineChars="200"/>
              <w:jc w:val="left"/>
              <w:rPr>
                <w:rFonts w:hint="eastAsia" w:ascii="Times New Roman" w:hAnsi="Times New Roman" w:eastAsia="宋体" w:cs="宋体"/>
                <w:color w:val="000000" w:themeColor="text1"/>
                <w:kern w:val="0"/>
                <w:sz w:val="21"/>
                <w:szCs w:val="21"/>
                <w:highlight w:val="none"/>
                <w14:textFill>
                  <w14:solidFill>
                    <w14:schemeClr w14:val="tx1"/>
                  </w14:solidFill>
                </w14:textFill>
              </w:rPr>
            </w:pPr>
          </w:p>
          <w:p w14:paraId="3D89EACD">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（5）监测计划</w:t>
            </w:r>
          </w:p>
          <w:p w14:paraId="5AF36F75">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-16</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废水</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监测计划</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545"/>
              <w:gridCol w:w="4496"/>
              <w:gridCol w:w="1218"/>
            </w:tblGrid>
            <w:tr w14:paraId="710990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40" w:type="pct"/>
                  <w:vAlign w:val="center"/>
                </w:tcPr>
                <w:p w14:paraId="4370237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w:t>
                  </w:r>
                  <w:r>
                    <w:rPr>
                      <w:rFonts w:hint="eastAsia" w:ascii="Times New Roman" w:hAnsi="Times New Roman" w:eastAsia="宋体" w:cs="宋体"/>
                      <w:b/>
                      <w:color w:val="000000" w:themeColor="text1"/>
                      <w:sz w:val="21"/>
                      <w:szCs w:val="21"/>
                      <w:highlight w:val="none"/>
                      <w14:textFill>
                        <w14:solidFill>
                          <w14:schemeClr w14:val="tx1"/>
                        </w14:solidFill>
                      </w14:textFill>
                    </w:rPr>
                    <w:t>点位</w:t>
                  </w:r>
                </w:p>
              </w:tc>
              <w:tc>
                <w:tcPr>
                  <w:tcW w:w="2721" w:type="pct"/>
                  <w:vAlign w:val="center"/>
                </w:tcPr>
                <w:p w14:paraId="5A014573">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监测因子</w:t>
                  </w:r>
                </w:p>
              </w:tc>
              <w:tc>
                <w:tcPr>
                  <w:tcW w:w="737" w:type="pct"/>
                  <w:vAlign w:val="center"/>
                </w:tcPr>
                <w:p w14:paraId="349EC1E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监测频次</w:t>
                  </w:r>
                </w:p>
              </w:tc>
            </w:tr>
            <w:tr w14:paraId="13376E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40" w:type="pct"/>
                  <w:vMerge w:val="restart"/>
                  <w:vAlign w:val="center"/>
                </w:tcPr>
                <w:p w14:paraId="4C067066">
                  <w:pPr>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废水</w:t>
                  </w:r>
                  <w:r>
                    <w:rPr>
                      <w:rFonts w:ascii="Times New Roman" w:hAnsi="Times New Roman" w:eastAsia="宋体" w:cs="宋体"/>
                      <w:color w:val="000000" w:themeColor="text1"/>
                      <w:sz w:val="21"/>
                      <w:szCs w:val="21"/>
                      <w:highlight w:val="none"/>
                      <w14:textFill>
                        <w14:solidFill>
                          <w14:schemeClr w14:val="tx1"/>
                        </w14:solidFill>
                      </w14:textFill>
                    </w:rPr>
                    <w:t>总</w:t>
                  </w:r>
                  <w:r>
                    <w:rPr>
                      <w:rFonts w:hint="eastAsia" w:cs="宋体"/>
                      <w:color w:val="000000" w:themeColor="text1"/>
                      <w:sz w:val="21"/>
                      <w:szCs w:val="21"/>
                      <w:highlight w:val="none"/>
                      <w:lang w:val="en-US" w:eastAsia="zh-CN"/>
                      <w14:textFill>
                        <w14:solidFill>
                          <w14:schemeClr w14:val="tx1"/>
                        </w14:solidFill>
                      </w14:textFill>
                    </w:rPr>
                    <w:t>排放</w:t>
                  </w:r>
                  <w:r>
                    <w:rPr>
                      <w:rFonts w:ascii="Times New Roman" w:hAnsi="Times New Roman" w:eastAsia="宋体" w:cs="宋体"/>
                      <w:color w:val="000000" w:themeColor="text1"/>
                      <w:sz w:val="21"/>
                      <w:szCs w:val="21"/>
                      <w:highlight w:val="none"/>
                      <w14:textFill>
                        <w14:solidFill>
                          <w14:schemeClr w14:val="tx1"/>
                        </w14:solidFill>
                      </w14:textFill>
                    </w:rPr>
                    <w:t>口</w:t>
                  </w:r>
                </w:p>
              </w:tc>
              <w:tc>
                <w:tcPr>
                  <w:tcW w:w="2721" w:type="pct"/>
                  <w:vAlign w:val="center"/>
                </w:tcPr>
                <w:p w14:paraId="7E3036BD">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流量</w:t>
                  </w:r>
                  <w:r>
                    <w:rPr>
                      <w:rFonts w:hint="eastAsia" w:ascii="Times New Roman" w:hAnsi="Times New Roman" w:eastAsia="宋体" w:cs="宋体"/>
                      <w:color w:val="000000" w:themeColor="text1"/>
                      <w:sz w:val="21"/>
                      <w:szCs w:val="21"/>
                      <w:highlight w:val="none"/>
                      <w14:textFill>
                        <w14:solidFill>
                          <w14:schemeClr w14:val="tx1"/>
                        </w14:solidFill>
                      </w14:textFill>
                    </w:rPr>
                    <w:t>、pH值</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化学需氧量、五日生化需氧量、悬浮物、氨氮、动植物油、总磷、总氮、大肠菌群数、阴离子表面活性剂</w:t>
                  </w:r>
                </w:p>
              </w:tc>
              <w:tc>
                <w:tcPr>
                  <w:tcW w:w="737" w:type="pct"/>
                  <w:vAlign w:val="center"/>
                </w:tcPr>
                <w:p w14:paraId="18E46FF2">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半年</w:t>
                  </w:r>
                </w:p>
              </w:tc>
            </w:tr>
            <w:tr w14:paraId="49A756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40" w:type="pct"/>
                  <w:vMerge w:val="continue"/>
                  <w:vAlign w:val="center"/>
                </w:tcPr>
                <w:p w14:paraId="408BE78D">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p>
              </w:tc>
              <w:tc>
                <w:tcPr>
                  <w:tcW w:w="2721" w:type="pct"/>
                  <w:vAlign w:val="center"/>
                </w:tcPr>
                <w:p w14:paraId="0C33DBC3">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色度、溶解性总固体</w:t>
                  </w:r>
                </w:p>
              </w:tc>
              <w:tc>
                <w:tcPr>
                  <w:tcW w:w="737" w:type="pct"/>
                  <w:vAlign w:val="center"/>
                </w:tcPr>
                <w:p w14:paraId="2745D34B">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w:t>
                  </w:r>
                </w:p>
              </w:tc>
            </w:tr>
            <w:tr w14:paraId="539D36C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40" w:type="pct"/>
                  <w:vAlign w:val="center"/>
                </w:tcPr>
                <w:p w14:paraId="53CFC8BA">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生活污水排放口</w:t>
                  </w:r>
                </w:p>
              </w:tc>
              <w:tc>
                <w:tcPr>
                  <w:tcW w:w="2721" w:type="pct"/>
                  <w:vAlign w:val="center"/>
                </w:tcPr>
                <w:p w14:paraId="26239914">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流量、pH值</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化学需氧量、五日生化需氧量、悬浮物、氨氮、动植物油、总磷、总氮、磷酸盐</w:t>
                  </w:r>
                </w:p>
              </w:tc>
              <w:tc>
                <w:tcPr>
                  <w:tcW w:w="737" w:type="pct"/>
                  <w:vAlign w:val="center"/>
                </w:tcPr>
                <w:p w14:paraId="28A8A4EE">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w:t>
                  </w:r>
                </w:p>
              </w:tc>
            </w:tr>
          </w:tbl>
          <w:p w14:paraId="1BB16A77">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3、</w:t>
            </w:r>
            <w:r>
              <w:rPr>
                <w:rFonts w:ascii="Times New Roman" w:hAnsi="Times New Roman" w:eastAsia="宋体" w:cs="宋体"/>
                <w:b/>
                <w:color w:val="000000" w:themeColor="text1"/>
                <w:sz w:val="21"/>
                <w:szCs w:val="21"/>
                <w:highlight w:val="none"/>
                <w14:textFill>
                  <w14:solidFill>
                    <w14:schemeClr w14:val="tx1"/>
                  </w14:solidFill>
                </w14:textFill>
              </w:rPr>
              <w:t>噪声</w:t>
            </w:r>
          </w:p>
          <w:p w14:paraId="666AE1C6">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（1）产生情况</w:t>
            </w:r>
          </w:p>
          <w:p w14:paraId="16831080">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本项目生产过程中设备</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动物叫声</w:t>
            </w:r>
            <w:r>
              <w:rPr>
                <w:rFonts w:ascii="Times New Roman" w:hAnsi="Times New Roman" w:eastAsia="宋体" w:cs="宋体"/>
                <w:color w:val="000000" w:themeColor="text1"/>
                <w:kern w:val="0"/>
                <w:sz w:val="21"/>
                <w:szCs w:val="21"/>
                <w:highlight w:val="none"/>
                <w14:textFill>
                  <w14:solidFill>
                    <w14:schemeClr w14:val="tx1"/>
                  </w14:solidFill>
                </w14:textFill>
              </w:rPr>
              <w:t>会产生一定的噪声，为间歇性噪声。噪声在传播过程中受到多种因素的干扰，使其产生衰减，根据建设项目噪声源和环境特征，预测过程中考虑了厂房等建筑物的屏障作用、空气吸收。预测模式采用点声源处于半自由空间的几何发散模式。根据《环境影响评价技术导则</w:t>
            </w:r>
            <w:r>
              <w:rPr>
                <w:rFonts w:hint="eastAsia" w:ascii="Times New Roman" w:hAnsi="Times New Roman" w:eastAsia="宋体" w:cs="宋体"/>
                <w:color w:val="000000" w:themeColor="text1"/>
                <w:kern w:val="0"/>
                <w:sz w:val="21"/>
                <w:szCs w:val="21"/>
                <w:highlight w:val="none"/>
                <w14:textFill>
                  <w14:solidFill>
                    <w14:schemeClr w14:val="tx1"/>
                  </w14:solidFill>
                </w14:textFill>
              </w:rPr>
              <w:t xml:space="preserve"> </w:t>
            </w:r>
            <w:r>
              <w:rPr>
                <w:rFonts w:ascii="Times New Roman" w:hAnsi="Times New Roman" w:eastAsia="宋体" w:cs="宋体"/>
                <w:color w:val="000000" w:themeColor="text1"/>
                <w:kern w:val="0"/>
                <w:sz w:val="21"/>
                <w:szCs w:val="21"/>
                <w:highlight w:val="none"/>
                <w14:textFill>
                  <w14:solidFill>
                    <w14:schemeClr w14:val="tx1"/>
                  </w14:solidFill>
                </w14:textFill>
              </w:rPr>
              <w:t>声环境》（HJ2.4-2021）的技术要求进行计算。本项目厂界外50米范围内无声环境保护目标，根据导则仅需预测厂界贡献值。</w:t>
            </w:r>
          </w:p>
          <w:p w14:paraId="25B4B6AB">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17</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工业企业噪声源强调查清单（室外声源）</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1359"/>
              <w:gridCol w:w="656"/>
              <w:gridCol w:w="909"/>
              <w:gridCol w:w="909"/>
              <w:gridCol w:w="909"/>
              <w:gridCol w:w="1091"/>
              <w:gridCol w:w="1241"/>
              <w:gridCol w:w="709"/>
            </w:tblGrid>
            <w:tr w14:paraId="5A54ED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88" w:type="pct"/>
                  <w:vMerge w:val="restart"/>
                  <w:vAlign w:val="center"/>
                </w:tcPr>
                <w:p w14:paraId="6402DEF8">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序号</w:t>
                  </w:r>
                </w:p>
              </w:tc>
              <w:tc>
                <w:tcPr>
                  <w:tcW w:w="822" w:type="pct"/>
                  <w:vMerge w:val="restart"/>
                  <w:vAlign w:val="center"/>
                </w:tcPr>
                <w:p w14:paraId="1E88499A">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声源名称</w:t>
                  </w:r>
                </w:p>
              </w:tc>
              <w:tc>
                <w:tcPr>
                  <w:tcW w:w="397" w:type="pct"/>
                  <w:vMerge w:val="restart"/>
                  <w:vAlign w:val="center"/>
                </w:tcPr>
                <w:p w14:paraId="33581463">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型号</w:t>
                  </w:r>
                </w:p>
              </w:tc>
              <w:tc>
                <w:tcPr>
                  <w:tcW w:w="1650" w:type="pct"/>
                  <w:gridSpan w:val="3"/>
                  <w:vAlign w:val="center"/>
                </w:tcPr>
                <w:p w14:paraId="62F1494B">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空间相对位置（m）</w:t>
                  </w:r>
                </w:p>
              </w:tc>
              <w:tc>
                <w:tcPr>
                  <w:tcW w:w="660" w:type="pct"/>
                  <w:vAlign w:val="center"/>
                </w:tcPr>
                <w:p w14:paraId="373A8F98">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声源源强</w:t>
                  </w:r>
                </w:p>
              </w:tc>
              <w:tc>
                <w:tcPr>
                  <w:tcW w:w="751" w:type="pct"/>
                  <w:vMerge w:val="restart"/>
                  <w:vAlign w:val="center"/>
                </w:tcPr>
                <w:p w14:paraId="18EFE439">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声源控制措施</w:t>
                  </w:r>
                </w:p>
              </w:tc>
              <w:tc>
                <w:tcPr>
                  <w:tcW w:w="429" w:type="pct"/>
                  <w:vMerge w:val="restart"/>
                  <w:vAlign w:val="center"/>
                </w:tcPr>
                <w:p w14:paraId="56F19F76">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运行时段</w:t>
                  </w:r>
                </w:p>
              </w:tc>
            </w:tr>
            <w:tr w14:paraId="47259E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88" w:type="pct"/>
                  <w:vMerge w:val="continue"/>
                  <w:vAlign w:val="center"/>
                </w:tcPr>
                <w:p w14:paraId="51C61426">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822" w:type="pct"/>
                  <w:vMerge w:val="continue"/>
                  <w:vAlign w:val="center"/>
                </w:tcPr>
                <w:p w14:paraId="26ECB949">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397" w:type="pct"/>
                  <w:vMerge w:val="continue"/>
                  <w:vAlign w:val="center"/>
                </w:tcPr>
                <w:p w14:paraId="4CAE92C4">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p>
              </w:tc>
              <w:tc>
                <w:tcPr>
                  <w:tcW w:w="550" w:type="pct"/>
                  <w:vAlign w:val="center"/>
                </w:tcPr>
                <w:p w14:paraId="09A405D5">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X</w:t>
                  </w:r>
                </w:p>
              </w:tc>
              <w:tc>
                <w:tcPr>
                  <w:tcW w:w="550" w:type="pct"/>
                  <w:vAlign w:val="center"/>
                </w:tcPr>
                <w:p w14:paraId="47E711E9">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Y</w:t>
                  </w:r>
                </w:p>
              </w:tc>
              <w:tc>
                <w:tcPr>
                  <w:tcW w:w="550" w:type="pct"/>
                  <w:vAlign w:val="center"/>
                </w:tcPr>
                <w:p w14:paraId="6D410F6E">
                  <w:pPr>
                    <w:widowControl/>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Z</w:t>
                  </w:r>
                </w:p>
              </w:tc>
              <w:tc>
                <w:tcPr>
                  <w:tcW w:w="660" w:type="pct"/>
                  <w:vAlign w:val="center"/>
                </w:tcPr>
                <w:p w14:paraId="481D50AD">
                  <w:pPr>
                    <w:widowControl/>
                    <w:snapToGrid w:val="0"/>
                    <w:ind w:left="-105" w:leftChars="-50" w:right="-105" w:rightChars="-5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声功率级（dB（A））</w:t>
                  </w:r>
                </w:p>
              </w:tc>
              <w:tc>
                <w:tcPr>
                  <w:tcW w:w="751" w:type="pct"/>
                  <w:vMerge w:val="continue"/>
                  <w:vAlign w:val="center"/>
                </w:tcPr>
                <w:p w14:paraId="3D1A7696">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p>
              </w:tc>
              <w:tc>
                <w:tcPr>
                  <w:tcW w:w="429" w:type="pct"/>
                  <w:vMerge w:val="continue"/>
                  <w:vAlign w:val="center"/>
                </w:tcPr>
                <w:p w14:paraId="4A1E295A">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p>
              </w:tc>
            </w:tr>
            <w:tr w14:paraId="3986B6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88" w:type="pct"/>
                  <w:vAlign w:val="center"/>
                </w:tcPr>
                <w:p w14:paraId="12E19151">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ascii="Times New Roman" w:hAnsi="Times New Roman" w:eastAsia="宋体" w:cs="宋体"/>
                      <w:bCs/>
                      <w:color w:val="000000" w:themeColor="text1"/>
                      <w:kern w:val="0"/>
                      <w:sz w:val="21"/>
                      <w:szCs w:val="21"/>
                      <w:highlight w:val="none"/>
                      <w14:textFill>
                        <w14:solidFill>
                          <w14:schemeClr w14:val="tx1"/>
                        </w14:solidFill>
                      </w14:textFill>
                    </w:rPr>
                    <w:t>1</w:t>
                  </w:r>
                </w:p>
              </w:tc>
              <w:tc>
                <w:tcPr>
                  <w:tcW w:w="822" w:type="pct"/>
                  <w:vAlign w:val="center"/>
                </w:tcPr>
                <w:p w14:paraId="7D8CFBE0">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ascii="Times New Roman" w:hAnsi="Times New Roman" w:eastAsia="宋体" w:cs="宋体"/>
                      <w:bCs/>
                      <w:color w:val="000000" w:themeColor="text1"/>
                      <w:kern w:val="0"/>
                      <w:sz w:val="21"/>
                      <w:szCs w:val="21"/>
                      <w:highlight w:val="none"/>
                      <w14:textFill>
                        <w14:solidFill>
                          <w14:schemeClr w14:val="tx1"/>
                        </w14:solidFill>
                      </w14:textFill>
                    </w:rPr>
                    <w:t>风机</w:t>
                  </w:r>
                </w:p>
              </w:tc>
              <w:tc>
                <w:tcPr>
                  <w:tcW w:w="397" w:type="pct"/>
                  <w:vAlign w:val="center"/>
                </w:tcPr>
                <w:p w14:paraId="02AF7ECB">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ascii="Times New Roman" w:hAnsi="Times New Roman" w:eastAsia="宋体" w:cs="宋体"/>
                      <w:bCs/>
                      <w:color w:val="000000" w:themeColor="text1"/>
                      <w:kern w:val="0"/>
                      <w:sz w:val="21"/>
                      <w:szCs w:val="21"/>
                      <w:highlight w:val="none"/>
                      <w14:textFill>
                        <w14:solidFill>
                          <w14:schemeClr w14:val="tx1"/>
                        </w14:solidFill>
                      </w14:textFill>
                    </w:rPr>
                    <w:t>/</w:t>
                  </w:r>
                </w:p>
              </w:tc>
              <w:tc>
                <w:tcPr>
                  <w:tcW w:w="550" w:type="pct"/>
                  <w:vAlign w:val="center"/>
                </w:tcPr>
                <w:p w14:paraId="14DB3F82">
                  <w:pPr>
                    <w:widowControl/>
                    <w:snapToGrid w:val="0"/>
                    <w:jc w:val="center"/>
                    <w:rPr>
                      <w:rFonts w:hint="default" w:ascii="Times New Roman" w:hAnsi="Times New Roman" w:eastAsia="宋体" w:cs="宋体"/>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kern w:val="0"/>
                      <w:sz w:val="21"/>
                      <w:szCs w:val="21"/>
                      <w:highlight w:val="none"/>
                      <w:lang w:val="en-US" w:eastAsia="zh-CN"/>
                      <w14:textFill>
                        <w14:solidFill>
                          <w14:schemeClr w14:val="tx1"/>
                        </w14:solidFill>
                      </w14:textFill>
                    </w:rPr>
                    <w:t>26</w:t>
                  </w:r>
                </w:p>
              </w:tc>
              <w:tc>
                <w:tcPr>
                  <w:tcW w:w="550" w:type="pct"/>
                  <w:vAlign w:val="center"/>
                </w:tcPr>
                <w:p w14:paraId="017204F9">
                  <w:pPr>
                    <w:widowControl/>
                    <w:snapToGrid w:val="0"/>
                    <w:jc w:val="center"/>
                    <w:rPr>
                      <w:rFonts w:hint="default" w:ascii="Times New Roman" w:hAnsi="Times New Roman" w:eastAsia="宋体" w:cs="宋体"/>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bCs/>
                      <w:color w:val="000000" w:themeColor="text1"/>
                      <w:kern w:val="0"/>
                      <w:sz w:val="21"/>
                      <w:szCs w:val="21"/>
                      <w:highlight w:val="none"/>
                      <w:lang w:val="en-US" w:eastAsia="zh-CN"/>
                      <w14:textFill>
                        <w14:solidFill>
                          <w14:schemeClr w14:val="tx1"/>
                        </w14:solidFill>
                      </w14:textFill>
                    </w:rPr>
                    <w:t>40</w:t>
                  </w:r>
                </w:p>
              </w:tc>
              <w:tc>
                <w:tcPr>
                  <w:tcW w:w="550" w:type="pct"/>
                  <w:vAlign w:val="center"/>
                </w:tcPr>
                <w:p w14:paraId="03577F8E">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ascii="Times New Roman" w:hAnsi="Times New Roman" w:eastAsia="宋体" w:cs="宋体"/>
                      <w:bCs/>
                      <w:color w:val="000000" w:themeColor="text1"/>
                      <w:kern w:val="0"/>
                      <w:sz w:val="21"/>
                      <w:szCs w:val="21"/>
                      <w:highlight w:val="none"/>
                      <w14:textFill>
                        <w14:solidFill>
                          <w14:schemeClr w14:val="tx1"/>
                        </w14:solidFill>
                      </w14:textFill>
                    </w:rPr>
                    <w:t>1</w:t>
                  </w:r>
                </w:p>
              </w:tc>
              <w:tc>
                <w:tcPr>
                  <w:tcW w:w="660" w:type="pct"/>
                  <w:vAlign w:val="center"/>
                </w:tcPr>
                <w:p w14:paraId="06F65D35">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hint="eastAsia" w:ascii="Times New Roman" w:hAnsi="Times New Roman" w:eastAsia="宋体" w:cs="宋体"/>
                      <w:bCs/>
                      <w:color w:val="000000" w:themeColor="text1"/>
                      <w:kern w:val="0"/>
                      <w:sz w:val="21"/>
                      <w:szCs w:val="21"/>
                      <w:highlight w:val="none"/>
                      <w14:textFill>
                        <w14:solidFill>
                          <w14:schemeClr w14:val="tx1"/>
                        </w14:solidFill>
                      </w14:textFill>
                    </w:rPr>
                    <w:t>85</w:t>
                  </w:r>
                </w:p>
              </w:tc>
              <w:tc>
                <w:tcPr>
                  <w:tcW w:w="751" w:type="pct"/>
                  <w:vAlign w:val="center"/>
                </w:tcPr>
                <w:p w14:paraId="565F56C3">
                  <w:pPr>
                    <w:widowControl/>
                    <w:snapToGrid w:val="0"/>
                    <w:jc w:val="center"/>
                    <w:rPr>
                      <w:rFonts w:ascii="Times New Roman" w:hAnsi="Times New Roman" w:eastAsia="宋体" w:cs="宋体"/>
                      <w:bCs/>
                      <w:color w:val="000000" w:themeColor="text1"/>
                      <w:kern w:val="0"/>
                      <w:sz w:val="21"/>
                      <w:szCs w:val="21"/>
                      <w:highlight w:val="none"/>
                      <w14:textFill>
                        <w14:solidFill>
                          <w14:schemeClr w14:val="tx1"/>
                        </w14:solidFill>
                      </w14:textFill>
                    </w:rPr>
                  </w:pPr>
                  <w:r>
                    <w:rPr>
                      <w:rFonts w:ascii="Times New Roman" w:hAnsi="Times New Roman" w:eastAsia="宋体" w:cs="宋体"/>
                      <w:bCs/>
                      <w:color w:val="000000" w:themeColor="text1"/>
                      <w:kern w:val="0"/>
                      <w:sz w:val="21"/>
                      <w:szCs w:val="21"/>
                      <w:highlight w:val="none"/>
                      <w14:textFill>
                        <w14:solidFill>
                          <w14:schemeClr w14:val="tx1"/>
                        </w14:solidFill>
                      </w14:textFill>
                    </w:rPr>
                    <w:t>减振、隔声</w:t>
                  </w:r>
                </w:p>
              </w:tc>
              <w:tc>
                <w:tcPr>
                  <w:tcW w:w="429" w:type="pct"/>
                  <w:vAlign w:val="center"/>
                </w:tcPr>
                <w:p w14:paraId="5D04627D">
                  <w:pPr>
                    <w:widowControl/>
                    <w:snapToGrid w:val="0"/>
                    <w:jc w:val="center"/>
                    <w:rPr>
                      <w:rFonts w:hint="eastAsia" w:ascii="Times New Roman" w:hAnsi="Times New Roman" w:eastAsia="宋体" w:cs="宋体"/>
                      <w:bCs/>
                      <w:color w:val="000000" w:themeColor="text1"/>
                      <w:kern w:val="0"/>
                      <w:sz w:val="21"/>
                      <w:szCs w:val="21"/>
                      <w:highlight w:val="none"/>
                      <w:lang w:eastAsia="zh-CN"/>
                      <w14:textFill>
                        <w14:solidFill>
                          <w14:schemeClr w14:val="tx1"/>
                        </w14:solidFill>
                      </w14:textFill>
                    </w:rPr>
                  </w:pPr>
                  <w:r>
                    <w:rPr>
                      <w:rFonts w:hint="eastAsia" w:cs="宋体"/>
                      <w:bCs/>
                      <w:color w:val="000000" w:themeColor="text1"/>
                      <w:kern w:val="0"/>
                      <w:sz w:val="21"/>
                      <w:szCs w:val="21"/>
                      <w:highlight w:val="none"/>
                      <w:lang w:val="en-US" w:eastAsia="zh-CN"/>
                      <w14:textFill>
                        <w14:solidFill>
                          <w14:schemeClr w14:val="tx1"/>
                        </w14:solidFill>
                      </w14:textFill>
                    </w:rPr>
                    <w:t>昼间</w:t>
                  </w:r>
                </w:p>
              </w:tc>
            </w:tr>
          </w:tbl>
          <w:p w14:paraId="37010AA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18</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工业企业</w:t>
            </w:r>
            <w:r>
              <w:rPr>
                <w:rFonts w:ascii="Times New Roman" w:hAnsi="Times New Roman" w:eastAsia="宋体" w:cs="宋体"/>
                <w:b/>
                <w:bCs/>
                <w:color w:val="000000" w:themeColor="text1"/>
                <w:spacing w:val="-4"/>
                <w:sz w:val="21"/>
                <w:szCs w:val="21"/>
                <w:highlight w:val="none"/>
                <w14:textFill>
                  <w14:solidFill>
                    <w14:schemeClr w14:val="tx1"/>
                  </w14:solidFill>
                </w14:textFill>
              </w:rPr>
              <w:t>噪声源强调查清单（室内声源）</w:t>
            </w:r>
          </w:p>
          <w:tbl>
            <w:tblPr>
              <w:tblStyle w:val="2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34"/>
              <w:gridCol w:w="361"/>
              <w:gridCol w:w="842"/>
              <w:gridCol w:w="1300"/>
              <w:gridCol w:w="766"/>
              <w:gridCol w:w="430"/>
              <w:gridCol w:w="291"/>
              <w:gridCol w:w="290"/>
              <w:gridCol w:w="280"/>
              <w:gridCol w:w="392"/>
              <w:gridCol w:w="393"/>
              <w:gridCol w:w="632"/>
              <w:gridCol w:w="372"/>
              <w:gridCol w:w="584"/>
              <w:gridCol w:w="666"/>
              <w:gridCol w:w="423"/>
            </w:tblGrid>
            <w:tr w14:paraId="1A6063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restart"/>
                  <w:vAlign w:val="center"/>
                </w:tcPr>
                <w:p w14:paraId="48ACE21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序号</w:t>
                  </w:r>
                </w:p>
              </w:tc>
              <w:tc>
                <w:tcPr>
                  <w:tcW w:w="361" w:type="dxa"/>
                  <w:vMerge w:val="restart"/>
                  <w:vAlign w:val="center"/>
                </w:tcPr>
                <w:p w14:paraId="12DD7D3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建筑物</w:t>
                  </w:r>
                  <w:r>
                    <w:rPr>
                      <w:rFonts w:ascii="Times New Roman" w:hAnsi="Times New Roman" w:eastAsia="宋体" w:cs="宋体"/>
                      <w:b/>
                      <w:bCs/>
                      <w:color w:val="000000" w:themeColor="text1"/>
                      <w:sz w:val="21"/>
                      <w:szCs w:val="21"/>
                      <w:highlight w:val="none"/>
                      <w14:textFill>
                        <w14:solidFill>
                          <w14:schemeClr w14:val="tx1"/>
                        </w14:solidFill>
                      </w14:textFill>
                    </w:rPr>
                    <w:t>名称</w:t>
                  </w:r>
                </w:p>
              </w:tc>
              <w:tc>
                <w:tcPr>
                  <w:tcW w:w="842" w:type="dxa"/>
                  <w:vMerge w:val="restart"/>
                  <w:vAlign w:val="center"/>
                </w:tcPr>
                <w:p w14:paraId="407691C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声源名称</w:t>
                  </w:r>
                </w:p>
              </w:tc>
              <w:tc>
                <w:tcPr>
                  <w:tcW w:w="1300" w:type="dxa"/>
                  <w:vMerge w:val="restart"/>
                  <w:vAlign w:val="center"/>
                </w:tcPr>
                <w:p w14:paraId="4B21DD3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型号</w:t>
                  </w:r>
                </w:p>
              </w:tc>
              <w:tc>
                <w:tcPr>
                  <w:tcW w:w="766" w:type="dxa"/>
                  <w:vAlign w:val="center"/>
                </w:tcPr>
                <w:p w14:paraId="4BB261E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声源</w:t>
                  </w:r>
                  <w:r>
                    <w:rPr>
                      <w:rFonts w:ascii="Times New Roman" w:hAnsi="Times New Roman" w:eastAsia="宋体" w:cs="宋体"/>
                      <w:b/>
                      <w:bCs/>
                      <w:color w:val="000000" w:themeColor="text1"/>
                      <w:sz w:val="21"/>
                      <w:szCs w:val="21"/>
                      <w:highlight w:val="none"/>
                      <w14:textFill>
                        <w14:solidFill>
                          <w14:schemeClr w14:val="tx1"/>
                        </w14:solidFill>
                      </w14:textFill>
                    </w:rPr>
                    <w:t>源强</w:t>
                  </w:r>
                </w:p>
              </w:tc>
              <w:tc>
                <w:tcPr>
                  <w:tcW w:w="410" w:type="dxa"/>
                  <w:vMerge w:val="restart"/>
                  <w:vAlign w:val="center"/>
                </w:tcPr>
                <w:p w14:paraId="740782A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声源控制措施</w:t>
                  </w:r>
                </w:p>
              </w:tc>
              <w:tc>
                <w:tcPr>
                  <w:tcW w:w="856" w:type="dxa"/>
                  <w:gridSpan w:val="3"/>
                  <w:vAlign w:val="center"/>
                </w:tcPr>
                <w:p w14:paraId="04B0E50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空间相对位置</w:t>
                  </w:r>
                  <w:r>
                    <w:rPr>
                      <w:rFonts w:hint="eastAsia" w:ascii="Times New Roman" w:hAnsi="Times New Roman" w:eastAsia="宋体" w:cs="宋体"/>
                      <w:b/>
                      <w:bCs/>
                      <w:color w:val="000000" w:themeColor="text1"/>
                      <w:sz w:val="21"/>
                      <w:szCs w:val="21"/>
                      <w:highlight w:val="none"/>
                      <w14:textFill>
                        <w14:solidFill>
                          <w14:schemeClr w14:val="tx1"/>
                        </w14:solidFill>
                      </w14:textFill>
                    </w:rPr>
                    <w:t>/m</w:t>
                  </w:r>
                </w:p>
              </w:tc>
              <w:tc>
                <w:tcPr>
                  <w:tcW w:w="785" w:type="dxa"/>
                  <w:gridSpan w:val="2"/>
                  <w:vAlign w:val="center"/>
                </w:tcPr>
                <w:p w14:paraId="05E5C69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距</w:t>
                  </w:r>
                  <w:r>
                    <w:rPr>
                      <w:rFonts w:ascii="Times New Roman" w:hAnsi="Times New Roman" w:eastAsia="宋体" w:cs="宋体"/>
                      <w:b/>
                      <w:bCs/>
                      <w:color w:val="000000" w:themeColor="text1"/>
                      <w:sz w:val="21"/>
                      <w:szCs w:val="21"/>
                      <w:highlight w:val="none"/>
                      <w14:textFill>
                        <w14:solidFill>
                          <w14:schemeClr w14:val="tx1"/>
                        </w14:solidFill>
                      </w14:textFill>
                    </w:rPr>
                    <w:t>室内边界距离</w:t>
                  </w:r>
                </w:p>
              </w:tc>
              <w:tc>
                <w:tcPr>
                  <w:tcW w:w="632" w:type="dxa"/>
                  <w:vMerge w:val="restart"/>
                  <w:vAlign w:val="center"/>
                </w:tcPr>
                <w:p w14:paraId="274065C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室内边界</w:t>
                  </w:r>
                  <w:r>
                    <w:rPr>
                      <w:rFonts w:ascii="Times New Roman" w:hAnsi="Times New Roman" w:eastAsia="宋体" w:cs="宋体"/>
                      <w:b/>
                      <w:bCs/>
                      <w:color w:val="000000" w:themeColor="text1"/>
                      <w:sz w:val="21"/>
                      <w:szCs w:val="21"/>
                      <w:highlight w:val="none"/>
                      <w14:textFill>
                        <w14:solidFill>
                          <w14:schemeClr w14:val="tx1"/>
                        </w14:solidFill>
                      </w14:textFill>
                    </w:rPr>
                    <w:t>声级</w:t>
                  </w:r>
                </w:p>
                <w:p w14:paraId="1A5A32D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/dB（A）</w:t>
                  </w:r>
                </w:p>
              </w:tc>
              <w:tc>
                <w:tcPr>
                  <w:tcW w:w="372" w:type="dxa"/>
                  <w:vMerge w:val="restart"/>
                  <w:vAlign w:val="center"/>
                </w:tcPr>
                <w:p w14:paraId="1872765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运行时段</w:t>
                  </w:r>
                </w:p>
              </w:tc>
              <w:tc>
                <w:tcPr>
                  <w:tcW w:w="507" w:type="dxa"/>
                  <w:vMerge w:val="restart"/>
                  <w:vAlign w:val="center"/>
                </w:tcPr>
                <w:p w14:paraId="74FEE12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建筑物插入损失</w:t>
                  </w:r>
                  <w:r>
                    <w:rPr>
                      <w:rFonts w:hint="eastAsia" w:ascii="Times New Roman" w:hAnsi="Times New Roman" w:eastAsia="宋体" w:cs="宋体"/>
                      <w:b/>
                      <w:bCs/>
                      <w:color w:val="000000" w:themeColor="text1"/>
                      <w:sz w:val="21"/>
                      <w:szCs w:val="21"/>
                      <w:highlight w:val="none"/>
                      <w14:textFill>
                        <w14:solidFill>
                          <w14:schemeClr w14:val="tx1"/>
                        </w14:solidFill>
                      </w14:textFill>
                    </w:rPr>
                    <w:t>/dB（A）</w:t>
                  </w:r>
                </w:p>
              </w:tc>
              <w:tc>
                <w:tcPr>
                  <w:tcW w:w="1089" w:type="dxa"/>
                  <w:gridSpan w:val="2"/>
                  <w:vAlign w:val="center"/>
                </w:tcPr>
                <w:p w14:paraId="4697FC7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建筑物外噪声</w:t>
                  </w:r>
                </w:p>
              </w:tc>
            </w:tr>
            <w:tr w14:paraId="183F4F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729A582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361" w:type="dxa"/>
                  <w:vMerge w:val="continue"/>
                  <w:vAlign w:val="center"/>
                </w:tcPr>
                <w:p w14:paraId="403698F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842" w:type="dxa"/>
                  <w:vMerge w:val="continue"/>
                  <w:vAlign w:val="center"/>
                </w:tcPr>
                <w:p w14:paraId="6673809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1300" w:type="dxa"/>
                  <w:vMerge w:val="continue"/>
                  <w:vAlign w:val="center"/>
                </w:tcPr>
                <w:p w14:paraId="5277797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766" w:type="dxa"/>
                  <w:vAlign w:val="center"/>
                </w:tcPr>
                <w:p w14:paraId="7968110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声功率级</w:t>
                  </w:r>
                </w:p>
                <w:p w14:paraId="7FCD170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/dB（A）</w:t>
                  </w:r>
                </w:p>
              </w:tc>
              <w:tc>
                <w:tcPr>
                  <w:tcW w:w="410" w:type="dxa"/>
                  <w:vMerge w:val="continue"/>
                  <w:vAlign w:val="center"/>
                </w:tcPr>
                <w:p w14:paraId="194BF6D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291" w:type="dxa"/>
                  <w:vAlign w:val="center"/>
                </w:tcPr>
                <w:p w14:paraId="2053DE9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X</w:t>
                  </w:r>
                </w:p>
              </w:tc>
              <w:tc>
                <w:tcPr>
                  <w:tcW w:w="285" w:type="dxa"/>
                  <w:vAlign w:val="center"/>
                </w:tcPr>
                <w:p w14:paraId="47EF033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Y</w:t>
                  </w:r>
                </w:p>
              </w:tc>
              <w:tc>
                <w:tcPr>
                  <w:tcW w:w="280" w:type="dxa"/>
                  <w:vAlign w:val="center"/>
                </w:tcPr>
                <w:p w14:paraId="2505F49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Z</w:t>
                  </w:r>
                </w:p>
              </w:tc>
              <w:tc>
                <w:tcPr>
                  <w:tcW w:w="392" w:type="dxa"/>
                  <w:vAlign w:val="center"/>
                </w:tcPr>
                <w:p w14:paraId="2FF8EB2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方向</w:t>
                  </w:r>
                </w:p>
              </w:tc>
              <w:tc>
                <w:tcPr>
                  <w:tcW w:w="393" w:type="dxa"/>
                  <w:vAlign w:val="center"/>
                </w:tcPr>
                <w:p w14:paraId="7345C2C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距离</w:t>
                  </w:r>
                </w:p>
              </w:tc>
              <w:tc>
                <w:tcPr>
                  <w:tcW w:w="632" w:type="dxa"/>
                  <w:vMerge w:val="continue"/>
                  <w:vAlign w:val="center"/>
                </w:tcPr>
                <w:p w14:paraId="275632D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372" w:type="dxa"/>
                  <w:vMerge w:val="continue"/>
                  <w:vAlign w:val="center"/>
                </w:tcPr>
                <w:p w14:paraId="1AE8815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507" w:type="dxa"/>
                  <w:vMerge w:val="continue"/>
                  <w:vAlign w:val="center"/>
                </w:tcPr>
                <w:p w14:paraId="1D56A4A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p>
              </w:tc>
              <w:tc>
                <w:tcPr>
                  <w:tcW w:w="666" w:type="dxa"/>
                  <w:vAlign w:val="center"/>
                </w:tcPr>
                <w:p w14:paraId="2CDC1B0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声压级</w:t>
                  </w:r>
                </w:p>
                <w:p w14:paraId="2506169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/dB（A）</w:t>
                  </w:r>
                </w:p>
              </w:tc>
              <w:tc>
                <w:tcPr>
                  <w:tcW w:w="423" w:type="dxa"/>
                  <w:vAlign w:val="center"/>
                </w:tcPr>
                <w:p w14:paraId="48154C4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ascii="Times New Roman" w:hAnsi="Times New Roman" w:eastAsia="宋体" w:cs="宋体"/>
                      <w:b/>
                      <w:bCs/>
                      <w:color w:val="000000" w:themeColor="text1"/>
                      <w:sz w:val="21"/>
                      <w:szCs w:val="21"/>
                      <w:highlight w:val="none"/>
                      <w14:textFill>
                        <w14:solidFill>
                          <w14:schemeClr w14:val="tx1"/>
                        </w14:solidFill>
                      </w14:textFill>
                    </w:rPr>
                    <w:t>建筑物外距离</w:t>
                  </w:r>
                </w:p>
              </w:tc>
            </w:tr>
            <w:tr w14:paraId="6D10E9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restart"/>
                  <w:vAlign w:val="center"/>
                </w:tcPr>
                <w:p w14:paraId="2435FAF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w:t>
                  </w:r>
                </w:p>
              </w:tc>
              <w:tc>
                <w:tcPr>
                  <w:tcW w:w="361" w:type="dxa"/>
                  <w:vMerge w:val="restart"/>
                  <w:vAlign w:val="center"/>
                </w:tcPr>
                <w:p w14:paraId="71ACC75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生产车间</w:t>
                  </w:r>
                </w:p>
              </w:tc>
              <w:tc>
                <w:tcPr>
                  <w:tcW w:w="842" w:type="dxa"/>
                  <w:vMerge w:val="restart"/>
                  <w:vAlign w:val="center"/>
                </w:tcPr>
                <w:p w14:paraId="59FE8CE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t>机械化屠宰线</w:t>
                  </w:r>
                </w:p>
              </w:tc>
              <w:tc>
                <w:tcPr>
                  <w:tcW w:w="1300" w:type="dxa"/>
                  <w:vMerge w:val="restart"/>
                  <w:vAlign w:val="center"/>
                </w:tcPr>
                <w:p w14:paraId="5FF2FBE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Times New Roman"/>
                      <w:smallCaps w:val="0"/>
                      <w:color w:val="000000" w:themeColor="text1"/>
                      <w:kern w:val="2"/>
                      <w:sz w:val="21"/>
                      <w:szCs w:val="21"/>
                      <w:highlight w:val="none"/>
                      <w:lang w:val="en-US" w:eastAsia="zh-CN" w:bidi="ar-SA"/>
                      <w14:textFill>
                        <w14:solidFill>
                          <w14:schemeClr w14:val="tx1"/>
                        </w14:solidFill>
                      </w14:textFill>
                    </w:rPr>
                    <w:t>/</w:t>
                  </w:r>
                </w:p>
              </w:tc>
              <w:tc>
                <w:tcPr>
                  <w:tcW w:w="766" w:type="dxa"/>
                  <w:vMerge w:val="restart"/>
                  <w:vAlign w:val="center"/>
                </w:tcPr>
                <w:p w14:paraId="4298329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85</w:t>
                  </w:r>
                </w:p>
              </w:tc>
              <w:tc>
                <w:tcPr>
                  <w:tcW w:w="410" w:type="dxa"/>
                  <w:vMerge w:val="restart"/>
                  <w:vAlign w:val="center"/>
                </w:tcPr>
                <w:p w14:paraId="72DFD21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设备基础减震、软连接、隔声罩</w:t>
                  </w:r>
                </w:p>
              </w:tc>
              <w:tc>
                <w:tcPr>
                  <w:tcW w:w="291" w:type="dxa"/>
                  <w:vMerge w:val="restart"/>
                  <w:vAlign w:val="center"/>
                </w:tcPr>
                <w:p w14:paraId="40395E5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285" w:type="dxa"/>
                  <w:vMerge w:val="restart"/>
                  <w:vAlign w:val="center"/>
                </w:tcPr>
                <w:p w14:paraId="64BA1B6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w:t>
                  </w:r>
                </w:p>
              </w:tc>
              <w:tc>
                <w:tcPr>
                  <w:tcW w:w="280" w:type="dxa"/>
                  <w:vMerge w:val="restart"/>
                  <w:vAlign w:val="center"/>
                </w:tcPr>
                <w:p w14:paraId="2FA3278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392" w:type="dxa"/>
                  <w:vAlign w:val="center"/>
                </w:tcPr>
                <w:p w14:paraId="44C3AC6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w:t>
                  </w:r>
                </w:p>
              </w:tc>
              <w:tc>
                <w:tcPr>
                  <w:tcW w:w="393" w:type="dxa"/>
                  <w:shd w:val="clear" w:color="auto" w:fill="auto"/>
                  <w:vAlign w:val="center"/>
                </w:tcPr>
                <w:p w14:paraId="21BCF65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10</w:t>
                  </w:r>
                </w:p>
              </w:tc>
              <w:tc>
                <w:tcPr>
                  <w:tcW w:w="632" w:type="dxa"/>
                  <w:vAlign w:val="center"/>
                </w:tcPr>
                <w:p w14:paraId="23377069">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60.6 </w:t>
                  </w:r>
                </w:p>
              </w:tc>
              <w:tc>
                <w:tcPr>
                  <w:tcW w:w="372" w:type="dxa"/>
                  <w:vMerge w:val="restart"/>
                  <w:vAlign w:val="center"/>
                </w:tcPr>
                <w:p w14:paraId="4771FEE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昼间</w:t>
                  </w:r>
                </w:p>
              </w:tc>
              <w:tc>
                <w:tcPr>
                  <w:tcW w:w="507" w:type="dxa"/>
                  <w:vMerge w:val="restart"/>
                  <w:vAlign w:val="center"/>
                </w:tcPr>
                <w:p w14:paraId="56564D7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20</w:t>
                  </w:r>
                </w:p>
              </w:tc>
              <w:tc>
                <w:tcPr>
                  <w:tcW w:w="666" w:type="dxa"/>
                  <w:vAlign w:val="center"/>
                </w:tcPr>
                <w:p w14:paraId="10CEAB1D">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34.6 </w:t>
                  </w:r>
                </w:p>
              </w:tc>
              <w:tc>
                <w:tcPr>
                  <w:tcW w:w="423" w:type="dxa"/>
                  <w:vMerge w:val="restart"/>
                  <w:vAlign w:val="center"/>
                </w:tcPr>
                <w:p w14:paraId="1CA3003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1</w:t>
                  </w:r>
                </w:p>
              </w:tc>
            </w:tr>
            <w:tr w14:paraId="0E4973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7A7B920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5BBA23F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5FA901D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7E9144F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005E4D3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69917FE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618CFA2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36B93F3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639BC3E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630159F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南</w:t>
                  </w:r>
                </w:p>
              </w:tc>
              <w:tc>
                <w:tcPr>
                  <w:tcW w:w="393" w:type="dxa"/>
                  <w:shd w:val="clear" w:color="auto" w:fill="auto"/>
                  <w:vAlign w:val="center"/>
                </w:tcPr>
                <w:p w14:paraId="669487E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33</w:t>
                  </w:r>
                </w:p>
              </w:tc>
              <w:tc>
                <w:tcPr>
                  <w:tcW w:w="632" w:type="dxa"/>
                  <w:vAlign w:val="center"/>
                </w:tcPr>
                <w:p w14:paraId="4F1A8F77">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58.3 </w:t>
                  </w:r>
                </w:p>
              </w:tc>
              <w:tc>
                <w:tcPr>
                  <w:tcW w:w="372" w:type="dxa"/>
                  <w:vMerge w:val="continue"/>
                  <w:vAlign w:val="center"/>
                </w:tcPr>
                <w:p w14:paraId="5B080DB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1D4224B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02DE0D27">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32.3 </w:t>
                  </w:r>
                </w:p>
              </w:tc>
              <w:tc>
                <w:tcPr>
                  <w:tcW w:w="423" w:type="dxa"/>
                  <w:vMerge w:val="continue"/>
                  <w:vAlign w:val="center"/>
                </w:tcPr>
                <w:p w14:paraId="6E04401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476264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6FC5451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30F6DA2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428A617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46D8B11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2890592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7FF5E87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718BA84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269CD77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08E4C0C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37771DC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西</w:t>
                  </w:r>
                </w:p>
              </w:tc>
              <w:tc>
                <w:tcPr>
                  <w:tcW w:w="393" w:type="dxa"/>
                  <w:shd w:val="clear" w:color="auto" w:fill="auto"/>
                  <w:vAlign w:val="center"/>
                </w:tcPr>
                <w:p w14:paraId="0560D8C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10</w:t>
                  </w:r>
                </w:p>
              </w:tc>
              <w:tc>
                <w:tcPr>
                  <w:tcW w:w="632" w:type="dxa"/>
                  <w:vAlign w:val="center"/>
                </w:tcPr>
                <w:p w14:paraId="1C4BC9E3">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60.6 </w:t>
                  </w:r>
                </w:p>
              </w:tc>
              <w:tc>
                <w:tcPr>
                  <w:tcW w:w="372" w:type="dxa"/>
                  <w:vMerge w:val="continue"/>
                  <w:vAlign w:val="center"/>
                </w:tcPr>
                <w:p w14:paraId="265BFE7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57C4D9E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9696D70">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34.6 </w:t>
                  </w:r>
                </w:p>
              </w:tc>
              <w:tc>
                <w:tcPr>
                  <w:tcW w:w="423" w:type="dxa"/>
                  <w:vMerge w:val="continue"/>
                  <w:vAlign w:val="center"/>
                </w:tcPr>
                <w:p w14:paraId="79DF59F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3EBCD1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727EEF9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59C4361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022A3AC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7EEE861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658BF3F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47E613D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37C4D85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79B856C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30AA695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3603CDF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北</w:t>
                  </w:r>
                </w:p>
              </w:tc>
              <w:tc>
                <w:tcPr>
                  <w:tcW w:w="393" w:type="dxa"/>
                  <w:vAlign w:val="center"/>
                </w:tcPr>
                <w:p w14:paraId="5186C87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11</w:t>
                  </w:r>
                </w:p>
              </w:tc>
              <w:tc>
                <w:tcPr>
                  <w:tcW w:w="632" w:type="dxa"/>
                  <w:vAlign w:val="center"/>
                </w:tcPr>
                <w:p w14:paraId="582E3C18">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60.2 </w:t>
                  </w:r>
                </w:p>
              </w:tc>
              <w:tc>
                <w:tcPr>
                  <w:tcW w:w="372" w:type="dxa"/>
                  <w:vMerge w:val="continue"/>
                  <w:vAlign w:val="center"/>
                </w:tcPr>
                <w:p w14:paraId="0EC38B8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75BFE48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110E22DF">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34.2 </w:t>
                  </w:r>
                </w:p>
              </w:tc>
              <w:tc>
                <w:tcPr>
                  <w:tcW w:w="423" w:type="dxa"/>
                  <w:vMerge w:val="continue"/>
                  <w:vAlign w:val="center"/>
                </w:tcPr>
                <w:p w14:paraId="144E199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492CEC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restart"/>
                  <w:vAlign w:val="center"/>
                </w:tcPr>
                <w:p w14:paraId="312E4C7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w:t>
                  </w:r>
                </w:p>
              </w:tc>
              <w:tc>
                <w:tcPr>
                  <w:tcW w:w="361" w:type="dxa"/>
                  <w:vMerge w:val="continue"/>
                  <w:vAlign w:val="center"/>
                </w:tcPr>
                <w:p w14:paraId="18FDF25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restart"/>
                  <w:vAlign w:val="center"/>
                </w:tcPr>
                <w:p w14:paraId="5F5364B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切条机</w:t>
                  </w:r>
                </w:p>
              </w:tc>
              <w:tc>
                <w:tcPr>
                  <w:tcW w:w="1300" w:type="dxa"/>
                  <w:vMerge w:val="restart"/>
                  <w:vAlign w:val="center"/>
                </w:tcPr>
                <w:p w14:paraId="2BBF2D4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400~600kg/h</w:t>
                  </w:r>
                </w:p>
              </w:tc>
              <w:tc>
                <w:tcPr>
                  <w:tcW w:w="766" w:type="dxa"/>
                  <w:vMerge w:val="restart"/>
                  <w:vAlign w:val="center"/>
                </w:tcPr>
                <w:p w14:paraId="241A59A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85</w:t>
                  </w:r>
                </w:p>
              </w:tc>
              <w:tc>
                <w:tcPr>
                  <w:tcW w:w="410" w:type="dxa"/>
                  <w:vMerge w:val="continue"/>
                  <w:vAlign w:val="center"/>
                </w:tcPr>
                <w:p w14:paraId="0E8CD5F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restart"/>
                  <w:vAlign w:val="center"/>
                </w:tcPr>
                <w:p w14:paraId="79AF242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w:t>
                  </w:r>
                </w:p>
              </w:tc>
              <w:tc>
                <w:tcPr>
                  <w:tcW w:w="285" w:type="dxa"/>
                  <w:vMerge w:val="restart"/>
                  <w:vAlign w:val="center"/>
                </w:tcPr>
                <w:p w14:paraId="7D32259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-8</w:t>
                  </w:r>
                </w:p>
              </w:tc>
              <w:tc>
                <w:tcPr>
                  <w:tcW w:w="280" w:type="dxa"/>
                  <w:vMerge w:val="restart"/>
                  <w:vAlign w:val="center"/>
                </w:tcPr>
                <w:p w14:paraId="197A88F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392" w:type="dxa"/>
                  <w:vAlign w:val="center"/>
                </w:tcPr>
                <w:p w14:paraId="5442E93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w:t>
                  </w:r>
                </w:p>
              </w:tc>
              <w:tc>
                <w:tcPr>
                  <w:tcW w:w="393" w:type="dxa"/>
                  <w:vAlign w:val="center"/>
                </w:tcPr>
                <w:p w14:paraId="02ACB8A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10</w:t>
                  </w:r>
                </w:p>
              </w:tc>
              <w:tc>
                <w:tcPr>
                  <w:tcW w:w="632" w:type="dxa"/>
                  <w:vAlign w:val="center"/>
                </w:tcPr>
                <w:p w14:paraId="4BABD4E5">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60.6 </w:t>
                  </w:r>
                </w:p>
              </w:tc>
              <w:tc>
                <w:tcPr>
                  <w:tcW w:w="372" w:type="dxa"/>
                  <w:vMerge w:val="continue"/>
                  <w:vAlign w:val="center"/>
                </w:tcPr>
                <w:p w14:paraId="724B64D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58246E9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592AEE51">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34.6 </w:t>
                  </w:r>
                </w:p>
              </w:tc>
              <w:tc>
                <w:tcPr>
                  <w:tcW w:w="423" w:type="dxa"/>
                  <w:vMerge w:val="restart"/>
                  <w:vAlign w:val="center"/>
                </w:tcPr>
                <w:p w14:paraId="759E215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1</w:t>
                  </w:r>
                </w:p>
              </w:tc>
            </w:tr>
            <w:tr w14:paraId="51AC18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582E0DF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16EF0B3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0CDD6A7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3704B77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3C10285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5B7B270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48BB953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7831090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103E57D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5CFE47E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南</w:t>
                  </w:r>
                </w:p>
              </w:tc>
              <w:tc>
                <w:tcPr>
                  <w:tcW w:w="393" w:type="dxa"/>
                  <w:shd w:val="clear" w:color="auto" w:fill="auto"/>
                  <w:vAlign w:val="center"/>
                </w:tcPr>
                <w:p w14:paraId="47A2E1D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18</w:t>
                  </w:r>
                </w:p>
              </w:tc>
              <w:tc>
                <w:tcPr>
                  <w:tcW w:w="632" w:type="dxa"/>
                  <w:vAlign w:val="center"/>
                </w:tcPr>
                <w:p w14:paraId="51ED42CA">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59.0 </w:t>
                  </w:r>
                </w:p>
              </w:tc>
              <w:tc>
                <w:tcPr>
                  <w:tcW w:w="372" w:type="dxa"/>
                  <w:vMerge w:val="continue"/>
                  <w:vAlign w:val="center"/>
                </w:tcPr>
                <w:p w14:paraId="6C8D875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A9BFCF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1BE2CD4F">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33.0 </w:t>
                  </w:r>
                </w:p>
              </w:tc>
              <w:tc>
                <w:tcPr>
                  <w:tcW w:w="423" w:type="dxa"/>
                  <w:vMerge w:val="continue"/>
                  <w:vAlign w:val="center"/>
                </w:tcPr>
                <w:p w14:paraId="6AFDC92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19F4FEC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04B1C64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2D1885B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2DAEA43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77D8767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610C25B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56F4C29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1B9665C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7EB4B03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46DD0D3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5099CC4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西</w:t>
                  </w:r>
                </w:p>
              </w:tc>
              <w:tc>
                <w:tcPr>
                  <w:tcW w:w="393" w:type="dxa"/>
                  <w:shd w:val="clear" w:color="auto" w:fill="auto"/>
                  <w:vAlign w:val="center"/>
                </w:tcPr>
                <w:p w14:paraId="5178D3A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10</w:t>
                  </w:r>
                </w:p>
              </w:tc>
              <w:tc>
                <w:tcPr>
                  <w:tcW w:w="632" w:type="dxa"/>
                  <w:vAlign w:val="center"/>
                </w:tcPr>
                <w:p w14:paraId="0512CBDE">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60.6 </w:t>
                  </w:r>
                </w:p>
              </w:tc>
              <w:tc>
                <w:tcPr>
                  <w:tcW w:w="372" w:type="dxa"/>
                  <w:vMerge w:val="continue"/>
                  <w:vAlign w:val="center"/>
                </w:tcPr>
                <w:p w14:paraId="78CC9BA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00D2E61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A1A2A3F">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34.6 </w:t>
                  </w:r>
                </w:p>
              </w:tc>
              <w:tc>
                <w:tcPr>
                  <w:tcW w:w="423" w:type="dxa"/>
                  <w:vMerge w:val="continue"/>
                  <w:vAlign w:val="center"/>
                </w:tcPr>
                <w:p w14:paraId="0B57C87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765192A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1D49935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401AB35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0FFBBCC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060579B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4B1D2EC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10465EC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2EA91B1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394D1C4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7CC2654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38D4690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北</w:t>
                  </w:r>
                </w:p>
              </w:tc>
              <w:tc>
                <w:tcPr>
                  <w:tcW w:w="393" w:type="dxa"/>
                  <w:shd w:val="clear" w:color="auto" w:fill="auto"/>
                  <w:vAlign w:val="center"/>
                </w:tcPr>
                <w:p w14:paraId="742E659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26</w:t>
                  </w:r>
                </w:p>
              </w:tc>
              <w:tc>
                <w:tcPr>
                  <w:tcW w:w="632" w:type="dxa"/>
                  <w:vAlign w:val="center"/>
                </w:tcPr>
                <w:p w14:paraId="428DA682">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58.5 </w:t>
                  </w:r>
                </w:p>
              </w:tc>
              <w:tc>
                <w:tcPr>
                  <w:tcW w:w="372" w:type="dxa"/>
                  <w:vMerge w:val="continue"/>
                  <w:vAlign w:val="center"/>
                </w:tcPr>
                <w:p w14:paraId="61CCFB6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6F6337C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624A6653">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32.5 </w:t>
                  </w:r>
                </w:p>
              </w:tc>
              <w:tc>
                <w:tcPr>
                  <w:tcW w:w="423" w:type="dxa"/>
                  <w:vMerge w:val="continue"/>
                  <w:vAlign w:val="center"/>
                </w:tcPr>
                <w:p w14:paraId="1469582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354C81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34" w:type="dxa"/>
                  <w:vMerge w:val="restart"/>
                  <w:vAlign w:val="center"/>
                </w:tcPr>
                <w:p w14:paraId="002650D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3</w:t>
                  </w:r>
                </w:p>
              </w:tc>
              <w:tc>
                <w:tcPr>
                  <w:tcW w:w="361" w:type="dxa"/>
                  <w:vMerge w:val="continue"/>
                  <w:vAlign w:val="center"/>
                </w:tcPr>
                <w:p w14:paraId="6A2DE41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restart"/>
                  <w:vAlign w:val="center"/>
                </w:tcPr>
                <w:p w14:paraId="451975E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提升机</w:t>
                  </w:r>
                </w:p>
              </w:tc>
              <w:tc>
                <w:tcPr>
                  <w:tcW w:w="1300" w:type="dxa"/>
                  <w:vMerge w:val="restart"/>
                  <w:vAlign w:val="center"/>
                </w:tcPr>
                <w:p w14:paraId="223E967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11kW</w:t>
                  </w:r>
                </w:p>
              </w:tc>
              <w:tc>
                <w:tcPr>
                  <w:tcW w:w="766" w:type="dxa"/>
                  <w:vMerge w:val="restart"/>
                  <w:vAlign w:val="center"/>
                </w:tcPr>
                <w:p w14:paraId="38F9840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88</w:t>
                  </w:r>
                </w:p>
              </w:tc>
              <w:tc>
                <w:tcPr>
                  <w:tcW w:w="410" w:type="dxa"/>
                  <w:vMerge w:val="continue"/>
                  <w:vAlign w:val="center"/>
                </w:tcPr>
                <w:p w14:paraId="4D4F3BB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restart"/>
                  <w:vAlign w:val="center"/>
                </w:tcPr>
                <w:p w14:paraId="47EFEE4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w:t>
                  </w:r>
                </w:p>
              </w:tc>
              <w:tc>
                <w:tcPr>
                  <w:tcW w:w="285" w:type="dxa"/>
                  <w:vMerge w:val="restart"/>
                  <w:vAlign w:val="center"/>
                </w:tcPr>
                <w:p w14:paraId="1F5BC94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-9</w:t>
                  </w:r>
                </w:p>
              </w:tc>
              <w:tc>
                <w:tcPr>
                  <w:tcW w:w="280" w:type="dxa"/>
                  <w:vMerge w:val="restart"/>
                  <w:vAlign w:val="center"/>
                </w:tcPr>
                <w:p w14:paraId="7F2CDEC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392" w:type="dxa"/>
                  <w:vAlign w:val="center"/>
                </w:tcPr>
                <w:p w14:paraId="04FE02F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w:t>
                  </w:r>
                </w:p>
              </w:tc>
              <w:tc>
                <w:tcPr>
                  <w:tcW w:w="393" w:type="dxa"/>
                  <w:vAlign w:val="center"/>
                </w:tcPr>
                <w:p w14:paraId="11DE8B4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10</w:t>
                  </w:r>
                </w:p>
              </w:tc>
              <w:tc>
                <w:tcPr>
                  <w:tcW w:w="632" w:type="dxa"/>
                  <w:vAlign w:val="center"/>
                </w:tcPr>
                <w:p w14:paraId="4C6F79E5">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63.6 </w:t>
                  </w:r>
                </w:p>
              </w:tc>
              <w:tc>
                <w:tcPr>
                  <w:tcW w:w="372" w:type="dxa"/>
                  <w:vMerge w:val="continue"/>
                  <w:vAlign w:val="center"/>
                </w:tcPr>
                <w:p w14:paraId="5224560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CDFB5E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4B9D0B5E">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37.6 </w:t>
                  </w:r>
                </w:p>
              </w:tc>
              <w:tc>
                <w:tcPr>
                  <w:tcW w:w="423" w:type="dxa"/>
                  <w:vMerge w:val="restart"/>
                  <w:vAlign w:val="center"/>
                </w:tcPr>
                <w:p w14:paraId="6AEE7A5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1</w:t>
                  </w:r>
                </w:p>
                <w:p w14:paraId="356D921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2E75CC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759C9BE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7A76556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48FEF96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5F6469F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36D75A0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48E2C51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37D085E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5A6E51C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5D0E3EC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508BB02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南</w:t>
                  </w:r>
                </w:p>
              </w:tc>
              <w:tc>
                <w:tcPr>
                  <w:tcW w:w="393" w:type="dxa"/>
                  <w:vAlign w:val="center"/>
                </w:tcPr>
                <w:p w14:paraId="6EAA315F">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30</w:t>
                  </w:r>
                </w:p>
              </w:tc>
              <w:tc>
                <w:tcPr>
                  <w:tcW w:w="632" w:type="dxa"/>
                  <w:vAlign w:val="center"/>
                </w:tcPr>
                <w:p w14:paraId="263433E4">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61.4 </w:t>
                  </w:r>
                </w:p>
              </w:tc>
              <w:tc>
                <w:tcPr>
                  <w:tcW w:w="372" w:type="dxa"/>
                  <w:vMerge w:val="continue"/>
                  <w:vAlign w:val="center"/>
                </w:tcPr>
                <w:p w14:paraId="29728E4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D38D82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CBC9D18">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35.4 </w:t>
                  </w:r>
                </w:p>
              </w:tc>
              <w:tc>
                <w:tcPr>
                  <w:tcW w:w="423" w:type="dxa"/>
                  <w:vMerge w:val="continue"/>
                  <w:vAlign w:val="center"/>
                </w:tcPr>
                <w:p w14:paraId="5C9D97E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01450C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34" w:type="dxa"/>
                  <w:vMerge w:val="continue"/>
                  <w:vAlign w:val="center"/>
                </w:tcPr>
                <w:p w14:paraId="0A232E1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03C77A1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68CDD47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0786C61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75A22C9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6F70A33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144F1E9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542907D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24A3CA1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2935CE3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西</w:t>
                  </w:r>
                </w:p>
              </w:tc>
              <w:tc>
                <w:tcPr>
                  <w:tcW w:w="393" w:type="dxa"/>
                  <w:vAlign w:val="center"/>
                </w:tcPr>
                <w:p w14:paraId="6025F72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11</w:t>
                  </w:r>
                </w:p>
              </w:tc>
              <w:tc>
                <w:tcPr>
                  <w:tcW w:w="632" w:type="dxa"/>
                  <w:vAlign w:val="center"/>
                </w:tcPr>
                <w:p w14:paraId="7108AD12">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63.2 </w:t>
                  </w:r>
                </w:p>
              </w:tc>
              <w:tc>
                <w:tcPr>
                  <w:tcW w:w="372" w:type="dxa"/>
                  <w:vMerge w:val="continue"/>
                  <w:vAlign w:val="center"/>
                </w:tcPr>
                <w:p w14:paraId="6F3229D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409BBD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D91E232">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37.2 </w:t>
                  </w:r>
                </w:p>
              </w:tc>
              <w:tc>
                <w:tcPr>
                  <w:tcW w:w="423" w:type="dxa"/>
                  <w:vMerge w:val="continue"/>
                  <w:vAlign w:val="center"/>
                </w:tcPr>
                <w:p w14:paraId="6D3512E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25999D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7025686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3B35343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33960C8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727D4AA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21A1325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4B4D59F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005E8A2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08A119C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2120A5D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vAlign w:val="center"/>
                </w:tcPr>
                <w:p w14:paraId="72DA136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北</w:t>
                  </w:r>
                </w:p>
              </w:tc>
              <w:tc>
                <w:tcPr>
                  <w:tcW w:w="393" w:type="dxa"/>
                  <w:vAlign w:val="center"/>
                </w:tcPr>
                <w:p w14:paraId="7EF671F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14</w:t>
                  </w:r>
                </w:p>
              </w:tc>
              <w:tc>
                <w:tcPr>
                  <w:tcW w:w="632" w:type="dxa"/>
                  <w:vAlign w:val="center"/>
                </w:tcPr>
                <w:p w14:paraId="293794ED">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62.5 </w:t>
                  </w:r>
                </w:p>
              </w:tc>
              <w:tc>
                <w:tcPr>
                  <w:tcW w:w="372" w:type="dxa"/>
                  <w:vMerge w:val="continue"/>
                  <w:vAlign w:val="center"/>
                </w:tcPr>
                <w:p w14:paraId="0BB13F1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2459239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A2E263F">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36.5 </w:t>
                  </w:r>
                </w:p>
              </w:tc>
              <w:tc>
                <w:tcPr>
                  <w:tcW w:w="423" w:type="dxa"/>
                  <w:vMerge w:val="continue"/>
                  <w:vAlign w:val="center"/>
                </w:tcPr>
                <w:p w14:paraId="3244F0D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7EE360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restart"/>
                  <w:vAlign w:val="center"/>
                </w:tcPr>
                <w:p w14:paraId="2B150CF6">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w:t>
                  </w:r>
                </w:p>
              </w:tc>
              <w:tc>
                <w:tcPr>
                  <w:tcW w:w="361" w:type="dxa"/>
                  <w:vMerge w:val="continue"/>
                  <w:vAlign w:val="center"/>
                </w:tcPr>
                <w:p w14:paraId="4733C91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restart"/>
                  <w:vAlign w:val="center"/>
                </w:tcPr>
                <w:p w14:paraId="340E1FF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水冷线</w:t>
                  </w:r>
                </w:p>
              </w:tc>
              <w:tc>
                <w:tcPr>
                  <w:tcW w:w="1300" w:type="dxa"/>
                  <w:vMerge w:val="restart"/>
                  <w:vAlign w:val="center"/>
                </w:tcPr>
                <w:p w14:paraId="22D8E7D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1~1.5t/h</w:t>
                  </w:r>
                </w:p>
              </w:tc>
              <w:tc>
                <w:tcPr>
                  <w:tcW w:w="766" w:type="dxa"/>
                  <w:vMerge w:val="restart"/>
                  <w:vAlign w:val="center"/>
                </w:tcPr>
                <w:p w14:paraId="5E772A8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82</w:t>
                  </w:r>
                </w:p>
              </w:tc>
              <w:tc>
                <w:tcPr>
                  <w:tcW w:w="410" w:type="dxa"/>
                  <w:vMerge w:val="continue"/>
                  <w:vAlign w:val="center"/>
                </w:tcPr>
                <w:p w14:paraId="24E6DA6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restart"/>
                  <w:vAlign w:val="center"/>
                </w:tcPr>
                <w:p w14:paraId="0857FE0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285" w:type="dxa"/>
                  <w:vMerge w:val="restart"/>
                  <w:vAlign w:val="center"/>
                </w:tcPr>
                <w:p w14:paraId="437CD60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-8</w:t>
                  </w:r>
                </w:p>
              </w:tc>
              <w:tc>
                <w:tcPr>
                  <w:tcW w:w="280" w:type="dxa"/>
                  <w:vMerge w:val="restart"/>
                  <w:vAlign w:val="center"/>
                </w:tcPr>
                <w:p w14:paraId="35566828">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392" w:type="dxa"/>
                  <w:shd w:val="clear" w:color="auto" w:fill="auto"/>
                  <w:vAlign w:val="center"/>
                </w:tcPr>
                <w:p w14:paraId="0444BE4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w:t>
                  </w:r>
                </w:p>
              </w:tc>
              <w:tc>
                <w:tcPr>
                  <w:tcW w:w="393" w:type="dxa"/>
                  <w:shd w:val="clear" w:color="auto" w:fill="auto"/>
                  <w:vAlign w:val="center"/>
                </w:tcPr>
                <w:p w14:paraId="48EEC1C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12</w:t>
                  </w:r>
                </w:p>
              </w:tc>
              <w:tc>
                <w:tcPr>
                  <w:tcW w:w="632" w:type="dxa"/>
                  <w:vAlign w:val="center"/>
                </w:tcPr>
                <w:p w14:paraId="6E3FE24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56.9 </w:t>
                  </w:r>
                </w:p>
              </w:tc>
              <w:tc>
                <w:tcPr>
                  <w:tcW w:w="372" w:type="dxa"/>
                  <w:vMerge w:val="continue"/>
                  <w:vAlign w:val="center"/>
                </w:tcPr>
                <w:p w14:paraId="3BEBF81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28C0299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4B0847ED">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30.9 </w:t>
                  </w:r>
                </w:p>
              </w:tc>
              <w:tc>
                <w:tcPr>
                  <w:tcW w:w="423" w:type="dxa"/>
                  <w:vMerge w:val="restart"/>
                  <w:vAlign w:val="center"/>
                </w:tcPr>
                <w:p w14:paraId="5DD047CD">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w:t>
                  </w:r>
                </w:p>
              </w:tc>
            </w:tr>
            <w:tr w14:paraId="2BBEDAA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603F727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013199F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0071E54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4394F3F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502B67EC">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6340A1C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5F3179E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7E1015D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0FA0645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3D59FFC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南</w:t>
                  </w:r>
                </w:p>
              </w:tc>
              <w:tc>
                <w:tcPr>
                  <w:tcW w:w="393" w:type="dxa"/>
                  <w:shd w:val="clear" w:color="auto" w:fill="auto"/>
                  <w:vAlign w:val="center"/>
                </w:tcPr>
                <w:p w14:paraId="787EBC4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17</w:t>
                  </w:r>
                </w:p>
              </w:tc>
              <w:tc>
                <w:tcPr>
                  <w:tcW w:w="632" w:type="dxa"/>
                  <w:vAlign w:val="center"/>
                </w:tcPr>
                <w:p w14:paraId="2CB2424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56.1 </w:t>
                  </w:r>
                </w:p>
              </w:tc>
              <w:tc>
                <w:tcPr>
                  <w:tcW w:w="372" w:type="dxa"/>
                  <w:vMerge w:val="continue"/>
                  <w:vAlign w:val="center"/>
                </w:tcPr>
                <w:p w14:paraId="35A6244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2568D21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33C712B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30.1 </w:t>
                  </w:r>
                </w:p>
              </w:tc>
              <w:tc>
                <w:tcPr>
                  <w:tcW w:w="423" w:type="dxa"/>
                  <w:vMerge w:val="continue"/>
                  <w:vAlign w:val="center"/>
                </w:tcPr>
                <w:p w14:paraId="24BDFED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7C4857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0CA0C6A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3425FCD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68038A6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1FC9816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182C4FA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66F395A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2628382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591FCC4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79A4D070">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75923D1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西</w:t>
                  </w:r>
                </w:p>
              </w:tc>
              <w:tc>
                <w:tcPr>
                  <w:tcW w:w="393" w:type="dxa"/>
                  <w:shd w:val="clear" w:color="auto" w:fill="auto"/>
                  <w:vAlign w:val="center"/>
                </w:tcPr>
                <w:p w14:paraId="54898974">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8</w:t>
                  </w:r>
                </w:p>
              </w:tc>
              <w:tc>
                <w:tcPr>
                  <w:tcW w:w="632" w:type="dxa"/>
                  <w:vAlign w:val="center"/>
                </w:tcPr>
                <w:p w14:paraId="38BF67E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58.5 </w:t>
                  </w:r>
                </w:p>
              </w:tc>
              <w:tc>
                <w:tcPr>
                  <w:tcW w:w="372" w:type="dxa"/>
                  <w:vMerge w:val="continue"/>
                  <w:vAlign w:val="center"/>
                </w:tcPr>
                <w:p w14:paraId="5E23EAB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389CEB9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0674B44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32.5 </w:t>
                  </w:r>
                </w:p>
              </w:tc>
              <w:tc>
                <w:tcPr>
                  <w:tcW w:w="423" w:type="dxa"/>
                  <w:vMerge w:val="continue"/>
                  <w:vAlign w:val="center"/>
                </w:tcPr>
                <w:p w14:paraId="289288F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57A8D1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2F7C4FD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407E6CB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1D82FFE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1300" w:type="dxa"/>
                  <w:vMerge w:val="continue"/>
                  <w:vAlign w:val="center"/>
                </w:tcPr>
                <w:p w14:paraId="1C0E893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766" w:type="dxa"/>
                  <w:vMerge w:val="continue"/>
                  <w:vAlign w:val="center"/>
                </w:tcPr>
                <w:p w14:paraId="7D32E15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p>
              </w:tc>
              <w:tc>
                <w:tcPr>
                  <w:tcW w:w="410" w:type="dxa"/>
                  <w:vMerge w:val="continue"/>
                  <w:vAlign w:val="center"/>
                </w:tcPr>
                <w:p w14:paraId="04DBFFD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177DA56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023F179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26E2D2B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0CAACE4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北</w:t>
                  </w:r>
                </w:p>
              </w:tc>
              <w:tc>
                <w:tcPr>
                  <w:tcW w:w="393" w:type="dxa"/>
                  <w:shd w:val="clear" w:color="auto" w:fill="auto"/>
                  <w:vAlign w:val="center"/>
                </w:tcPr>
                <w:p w14:paraId="0143831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27</w:t>
                  </w:r>
                </w:p>
              </w:tc>
              <w:tc>
                <w:tcPr>
                  <w:tcW w:w="632" w:type="dxa"/>
                  <w:vAlign w:val="center"/>
                </w:tcPr>
                <w:p w14:paraId="661AF386">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55.5 </w:t>
                  </w:r>
                </w:p>
              </w:tc>
              <w:tc>
                <w:tcPr>
                  <w:tcW w:w="372" w:type="dxa"/>
                  <w:vMerge w:val="continue"/>
                  <w:vAlign w:val="center"/>
                </w:tcPr>
                <w:p w14:paraId="53A73F7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B6A364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2585AAD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29.5 </w:t>
                  </w:r>
                </w:p>
              </w:tc>
              <w:tc>
                <w:tcPr>
                  <w:tcW w:w="423" w:type="dxa"/>
                  <w:vMerge w:val="continue"/>
                  <w:vAlign w:val="center"/>
                </w:tcPr>
                <w:p w14:paraId="5D055FF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15FC2D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restart"/>
                  <w:vAlign w:val="center"/>
                </w:tcPr>
                <w:p w14:paraId="06AE502B">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w:t>
                  </w:r>
                </w:p>
              </w:tc>
              <w:tc>
                <w:tcPr>
                  <w:tcW w:w="361" w:type="dxa"/>
                  <w:vMerge w:val="continue"/>
                  <w:vAlign w:val="center"/>
                </w:tcPr>
                <w:p w14:paraId="392FBF6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restart"/>
                  <w:vAlign w:val="center"/>
                </w:tcPr>
                <w:p w14:paraId="7D3BBD2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风冷线</w:t>
                  </w:r>
                </w:p>
              </w:tc>
              <w:tc>
                <w:tcPr>
                  <w:tcW w:w="1300" w:type="dxa"/>
                  <w:vMerge w:val="restart"/>
                  <w:vAlign w:val="center"/>
                </w:tcPr>
                <w:p w14:paraId="3114C5C7">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1.5kW</w:t>
                  </w:r>
                </w:p>
              </w:tc>
              <w:tc>
                <w:tcPr>
                  <w:tcW w:w="766" w:type="dxa"/>
                  <w:vMerge w:val="restart"/>
                  <w:vAlign w:val="center"/>
                </w:tcPr>
                <w:p w14:paraId="0771B7D2">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82</w:t>
                  </w:r>
                </w:p>
              </w:tc>
              <w:tc>
                <w:tcPr>
                  <w:tcW w:w="410" w:type="dxa"/>
                  <w:vMerge w:val="continue"/>
                  <w:vAlign w:val="center"/>
                </w:tcPr>
                <w:p w14:paraId="30730AE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restart"/>
                  <w:vAlign w:val="center"/>
                </w:tcPr>
                <w:p w14:paraId="3C2AA781">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w:t>
                  </w:r>
                </w:p>
              </w:tc>
              <w:tc>
                <w:tcPr>
                  <w:tcW w:w="285" w:type="dxa"/>
                  <w:vMerge w:val="restart"/>
                  <w:vAlign w:val="center"/>
                </w:tcPr>
                <w:p w14:paraId="30EB93B5">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-10</w:t>
                  </w:r>
                </w:p>
              </w:tc>
              <w:tc>
                <w:tcPr>
                  <w:tcW w:w="280" w:type="dxa"/>
                  <w:vMerge w:val="restart"/>
                  <w:vAlign w:val="center"/>
                </w:tcPr>
                <w:p w14:paraId="503AB0FE">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1</w:t>
                  </w:r>
                </w:p>
              </w:tc>
              <w:tc>
                <w:tcPr>
                  <w:tcW w:w="392" w:type="dxa"/>
                  <w:shd w:val="clear" w:color="auto" w:fill="auto"/>
                  <w:vAlign w:val="center"/>
                </w:tcPr>
                <w:p w14:paraId="15B21D2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w:t>
                  </w:r>
                </w:p>
              </w:tc>
              <w:tc>
                <w:tcPr>
                  <w:tcW w:w="393" w:type="dxa"/>
                  <w:shd w:val="clear" w:color="auto" w:fill="auto"/>
                  <w:vAlign w:val="center"/>
                </w:tcPr>
                <w:p w14:paraId="4F9F695E">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14</w:t>
                  </w:r>
                </w:p>
              </w:tc>
              <w:tc>
                <w:tcPr>
                  <w:tcW w:w="632" w:type="dxa"/>
                  <w:vAlign w:val="center"/>
                </w:tcPr>
                <w:p w14:paraId="5D5A8253">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56.5 </w:t>
                  </w:r>
                </w:p>
              </w:tc>
              <w:tc>
                <w:tcPr>
                  <w:tcW w:w="372" w:type="dxa"/>
                  <w:vMerge w:val="continue"/>
                  <w:vAlign w:val="center"/>
                </w:tcPr>
                <w:p w14:paraId="6327B90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274FC26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07E9F4E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30.5 </w:t>
                  </w:r>
                </w:p>
              </w:tc>
              <w:tc>
                <w:tcPr>
                  <w:tcW w:w="423" w:type="dxa"/>
                  <w:vMerge w:val="restart"/>
                  <w:vAlign w:val="center"/>
                </w:tcPr>
                <w:p w14:paraId="5D26C37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55EE50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5D69E3D9">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7373E09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17F0113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109333E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459FE09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4C2205D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2372C88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01CCA84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70416BB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1F80D9AC">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南</w:t>
                  </w:r>
                </w:p>
              </w:tc>
              <w:tc>
                <w:tcPr>
                  <w:tcW w:w="393" w:type="dxa"/>
                  <w:shd w:val="clear" w:color="auto" w:fill="auto"/>
                  <w:vAlign w:val="center"/>
                </w:tcPr>
                <w:p w14:paraId="1C60DD3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19</w:t>
                  </w:r>
                </w:p>
              </w:tc>
              <w:tc>
                <w:tcPr>
                  <w:tcW w:w="632" w:type="dxa"/>
                  <w:vAlign w:val="center"/>
                </w:tcPr>
                <w:p w14:paraId="42EAB398">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55.9 </w:t>
                  </w:r>
                </w:p>
              </w:tc>
              <w:tc>
                <w:tcPr>
                  <w:tcW w:w="372" w:type="dxa"/>
                  <w:vMerge w:val="continue"/>
                  <w:vAlign w:val="center"/>
                </w:tcPr>
                <w:p w14:paraId="7179589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21856BAA">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3017CE2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29.9 </w:t>
                  </w:r>
                </w:p>
              </w:tc>
              <w:tc>
                <w:tcPr>
                  <w:tcW w:w="423" w:type="dxa"/>
                  <w:vMerge w:val="continue"/>
                  <w:vAlign w:val="center"/>
                </w:tcPr>
                <w:p w14:paraId="1E410DC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2C41C9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387B078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504588E8">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1168039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461739A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2F60C33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58AE935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2DF01AD4">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35D53C76">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4A1023E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0FBD5E9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西</w:t>
                  </w:r>
                </w:p>
              </w:tc>
              <w:tc>
                <w:tcPr>
                  <w:tcW w:w="393" w:type="dxa"/>
                  <w:shd w:val="clear" w:color="auto" w:fill="auto"/>
                  <w:vAlign w:val="center"/>
                </w:tcPr>
                <w:p w14:paraId="0EFE5E9A">
                  <w:pPr>
                    <w:keepNext w:val="0"/>
                    <w:keepLines w:val="0"/>
                    <w:pageBreakBefore w:val="0"/>
                    <w:kinsoku/>
                    <w:wordWrap/>
                    <w:overflowPunct/>
                    <w:topLinePunct w:val="0"/>
                    <w:autoSpaceDE/>
                    <w:autoSpaceDN/>
                    <w:bidi w:val="0"/>
                    <w:adjustRightInd/>
                    <w:snapToGrid w:val="0"/>
                    <w:jc w:val="center"/>
                    <w:rPr>
                      <w:rFonts w:hint="eastAsia"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6</w:t>
                  </w:r>
                </w:p>
              </w:tc>
              <w:tc>
                <w:tcPr>
                  <w:tcW w:w="632" w:type="dxa"/>
                  <w:vAlign w:val="center"/>
                </w:tcPr>
                <w:p w14:paraId="651F073A">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60.1 </w:t>
                  </w:r>
                </w:p>
              </w:tc>
              <w:tc>
                <w:tcPr>
                  <w:tcW w:w="372" w:type="dxa"/>
                  <w:vMerge w:val="continue"/>
                  <w:vAlign w:val="center"/>
                </w:tcPr>
                <w:p w14:paraId="2EF02C1D">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4E9426E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35367950">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34.1 </w:t>
                  </w:r>
                </w:p>
              </w:tc>
              <w:tc>
                <w:tcPr>
                  <w:tcW w:w="423" w:type="dxa"/>
                  <w:vMerge w:val="continue"/>
                  <w:vAlign w:val="center"/>
                </w:tcPr>
                <w:p w14:paraId="716D7F9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r w14:paraId="67B241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34" w:type="dxa"/>
                  <w:vMerge w:val="continue"/>
                  <w:vAlign w:val="center"/>
                </w:tcPr>
                <w:p w14:paraId="472FF13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61" w:type="dxa"/>
                  <w:vMerge w:val="continue"/>
                  <w:vAlign w:val="center"/>
                </w:tcPr>
                <w:p w14:paraId="1C34C11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842" w:type="dxa"/>
                  <w:vMerge w:val="continue"/>
                  <w:vAlign w:val="center"/>
                </w:tcPr>
                <w:p w14:paraId="4579B922">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p>
              </w:tc>
              <w:tc>
                <w:tcPr>
                  <w:tcW w:w="1300" w:type="dxa"/>
                  <w:vMerge w:val="continue"/>
                  <w:vAlign w:val="center"/>
                </w:tcPr>
                <w:p w14:paraId="4DAED625">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766" w:type="dxa"/>
                  <w:vMerge w:val="continue"/>
                  <w:vAlign w:val="center"/>
                </w:tcPr>
                <w:p w14:paraId="687D0F1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410" w:type="dxa"/>
                  <w:vMerge w:val="continue"/>
                  <w:vAlign w:val="center"/>
                </w:tcPr>
                <w:p w14:paraId="3721C6BF">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91" w:type="dxa"/>
                  <w:vMerge w:val="continue"/>
                  <w:vAlign w:val="center"/>
                </w:tcPr>
                <w:p w14:paraId="55AA7EA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5" w:type="dxa"/>
                  <w:vMerge w:val="continue"/>
                  <w:vAlign w:val="center"/>
                </w:tcPr>
                <w:p w14:paraId="51E2684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280" w:type="dxa"/>
                  <w:vMerge w:val="continue"/>
                  <w:vAlign w:val="center"/>
                </w:tcPr>
                <w:p w14:paraId="085F7A8E">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392" w:type="dxa"/>
                  <w:shd w:val="clear" w:color="auto" w:fill="auto"/>
                  <w:vAlign w:val="center"/>
                </w:tcPr>
                <w:p w14:paraId="3B19B161">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北</w:t>
                  </w:r>
                </w:p>
              </w:tc>
              <w:tc>
                <w:tcPr>
                  <w:tcW w:w="393" w:type="dxa"/>
                  <w:shd w:val="clear" w:color="auto" w:fill="auto"/>
                  <w:vAlign w:val="center"/>
                </w:tcPr>
                <w:p w14:paraId="4B19DABB">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kern w:val="2"/>
                      <w:sz w:val="21"/>
                      <w:szCs w:val="21"/>
                      <w:highlight w:val="none"/>
                      <w:lang w:val="en-US" w:eastAsia="zh-CN" w:bidi="ar-SA"/>
                      <w14:textFill>
                        <w14:solidFill>
                          <w14:schemeClr w14:val="tx1"/>
                        </w14:solidFill>
                      </w14:textFill>
                    </w:rPr>
                  </w:pPr>
                  <w:r>
                    <w:rPr>
                      <w:rFonts w:hint="eastAsia" w:cs="宋体"/>
                      <w:bCs/>
                      <w:color w:val="000000" w:themeColor="text1"/>
                      <w:kern w:val="2"/>
                      <w:sz w:val="21"/>
                      <w:szCs w:val="21"/>
                      <w:highlight w:val="none"/>
                      <w:lang w:val="en-US" w:eastAsia="zh-CN" w:bidi="ar-SA"/>
                      <w14:textFill>
                        <w14:solidFill>
                          <w14:schemeClr w14:val="tx1"/>
                        </w14:solidFill>
                      </w14:textFill>
                    </w:rPr>
                    <w:t>25</w:t>
                  </w:r>
                </w:p>
              </w:tc>
              <w:tc>
                <w:tcPr>
                  <w:tcW w:w="632" w:type="dxa"/>
                  <w:vAlign w:val="center"/>
                </w:tcPr>
                <w:p w14:paraId="0C41DC14">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55.5 </w:t>
                  </w:r>
                </w:p>
              </w:tc>
              <w:tc>
                <w:tcPr>
                  <w:tcW w:w="372" w:type="dxa"/>
                  <w:vMerge w:val="continue"/>
                  <w:vAlign w:val="center"/>
                </w:tcPr>
                <w:p w14:paraId="3BBF8FAB">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p>
              </w:tc>
              <w:tc>
                <w:tcPr>
                  <w:tcW w:w="507" w:type="dxa"/>
                  <w:vMerge w:val="continue"/>
                  <w:vAlign w:val="center"/>
                </w:tcPr>
                <w:p w14:paraId="6783A1E3">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c>
                <w:tcPr>
                  <w:tcW w:w="666" w:type="dxa"/>
                  <w:vAlign w:val="center"/>
                </w:tcPr>
                <w:p w14:paraId="7026D0E9">
                  <w:pPr>
                    <w:keepNext w:val="0"/>
                    <w:keepLines w:val="0"/>
                    <w:pageBreakBefore w:val="0"/>
                    <w:kinsoku/>
                    <w:wordWrap/>
                    <w:overflowPunct/>
                    <w:topLinePunct w:val="0"/>
                    <w:autoSpaceDE/>
                    <w:autoSpaceDN/>
                    <w:bidi w:val="0"/>
                    <w:adjustRightInd/>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t xml:space="preserve">29.5 </w:t>
                  </w:r>
                </w:p>
              </w:tc>
              <w:tc>
                <w:tcPr>
                  <w:tcW w:w="423" w:type="dxa"/>
                  <w:vMerge w:val="continue"/>
                  <w:vAlign w:val="center"/>
                </w:tcPr>
                <w:p w14:paraId="6A8F7E37">
                  <w:pPr>
                    <w:keepNext w:val="0"/>
                    <w:keepLines w:val="0"/>
                    <w:pageBreakBefore w:val="0"/>
                    <w:kinsoku/>
                    <w:wordWrap/>
                    <w:overflowPunct/>
                    <w:topLinePunct w:val="0"/>
                    <w:autoSpaceDE/>
                    <w:autoSpaceDN/>
                    <w:bidi w:val="0"/>
                    <w:adjustRightInd/>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p>
              </w:tc>
            </w:tr>
          </w:tbl>
          <w:p w14:paraId="5241814D">
            <w:pPr>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注：表中坐标以厂界中心为坐标原点，正东向为X轴正方向，正北向为Y轴正方向</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门窗吸声系数数据来源于《环境工程手册环境噪声控制卷》（郑长聚主编，高等教育出版社，2000年）。</w:t>
            </w:r>
          </w:p>
          <w:p w14:paraId="43761029">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（2）污染防治措施</w:t>
            </w:r>
          </w:p>
          <w:p w14:paraId="2B8D6060">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①选用低噪声设备、低噪声工艺。</w:t>
            </w:r>
          </w:p>
          <w:p w14:paraId="75BAA685">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②采取声学控制措施，如对声源采用吸声、消声、隔声、减振等措施</w:t>
            </w:r>
            <w:r>
              <w:rPr>
                <w:rFonts w:ascii="Times New Roman" w:hAnsi="Times New Roman" w:eastAsia="宋体" w:cs="宋体"/>
                <w:color w:val="000000" w:themeColor="text1"/>
                <w:kern w:val="0"/>
                <w:sz w:val="21"/>
                <w:szCs w:val="21"/>
                <w:highlight w:val="none"/>
                <w14:textFill>
                  <w14:solidFill>
                    <w14:schemeClr w14:val="tx1"/>
                  </w14:solidFill>
                </w14:textFill>
              </w:rPr>
              <w:t>。</w:t>
            </w:r>
          </w:p>
          <w:p w14:paraId="133ADFA1">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③改进工艺、设施结构和操作方法等</w:t>
            </w:r>
            <w:r>
              <w:rPr>
                <w:rFonts w:ascii="Times New Roman" w:hAnsi="Times New Roman" w:eastAsia="宋体" w:cs="宋体"/>
                <w:color w:val="000000" w:themeColor="text1"/>
                <w:kern w:val="0"/>
                <w:sz w:val="21"/>
                <w:szCs w:val="21"/>
                <w:highlight w:val="none"/>
                <w14:textFill>
                  <w14:solidFill>
                    <w14:schemeClr w14:val="tx1"/>
                  </w14:solidFill>
                </w14:textFill>
              </w:rPr>
              <w:t>。</w:t>
            </w:r>
          </w:p>
          <w:p w14:paraId="6E6516EF">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④设置声屏障等措施，包括直立式、折板式、半封闭、全封闭等类型声屏障。声屏障的具体型式根据声环境保护目标处超标程度、噪声源与声环境保护目标的距离、敏感建筑物高度等因素综合考虑来确定。</w:t>
            </w:r>
          </w:p>
          <w:p w14:paraId="3E1B3780">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⑤利用自然地形物（如利用位于声源和声环境保护目标之间的山丘、土坡、地堑、围墙等）降低噪声。</w:t>
            </w:r>
          </w:p>
          <w:p w14:paraId="651933C9">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（3）排放情况</w:t>
            </w:r>
          </w:p>
          <w:p w14:paraId="7C8386A6">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①单个室外点声源在预测点产生的声级计算公式</w:t>
            </w:r>
          </w:p>
          <w:p w14:paraId="0FC2D1C7">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已知声源的倍频带声功率级，预测点位置的倍频带声压级</w:t>
            </w: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382270" cy="245745"/>
                  <wp:effectExtent l="0" t="0" r="17780" b="1905"/>
                  <wp:docPr id="57" name="图片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511"/>
                          <pic:cNvPicPr>
                            <a:picLocks noChangeAspect="1"/>
                          </pic:cNvPicPr>
                        </pic:nvPicPr>
                        <pic:blipFill>
                          <a:blip r:embed="rId20" cstate="print"/>
                          <a:stretch>
                            <a:fillRect/>
                          </a:stretch>
                        </pic:blipFill>
                        <pic:spPr>
                          <a:xfrm>
                            <a:off x="0" y="0"/>
                            <a:ext cx="382270"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可按下式计算：</w:t>
            </w:r>
          </w:p>
          <w:p w14:paraId="7E7BFD7B">
            <w:pPr>
              <w:pStyle w:val="10"/>
              <w:spacing w:line="360" w:lineRule="auto"/>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242060" cy="231775"/>
                  <wp:effectExtent l="0" t="0" r="15240" b="16510"/>
                  <wp:docPr id="58" name="图片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512"/>
                          <pic:cNvPicPr>
                            <a:picLocks noChangeAspect="1"/>
                          </pic:cNvPicPr>
                        </pic:nvPicPr>
                        <pic:blipFill>
                          <a:blip r:embed="rId21" cstate="print"/>
                          <a:stretch>
                            <a:fillRect/>
                          </a:stretch>
                        </pic:blipFill>
                        <pic:spPr>
                          <a:xfrm>
                            <a:off x="0" y="0"/>
                            <a:ext cx="1242060" cy="231775"/>
                          </a:xfrm>
                          <a:prstGeom prst="rect">
                            <a:avLst/>
                          </a:prstGeom>
                          <a:noFill/>
                          <a:ln>
                            <a:noFill/>
                          </a:ln>
                        </pic:spPr>
                      </pic:pic>
                    </a:graphicData>
                  </a:graphic>
                </wp:inline>
              </w:drawing>
            </w:r>
          </w:p>
          <w:p w14:paraId="03760935">
            <w:pPr>
              <w:pStyle w:val="10"/>
              <w:spacing w:line="360" w:lineRule="auto"/>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999615" cy="245745"/>
                  <wp:effectExtent l="0" t="0" r="635" b="1270"/>
                  <wp:docPr id="59" name="图片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513"/>
                          <pic:cNvPicPr>
                            <a:picLocks noChangeAspect="1"/>
                          </pic:cNvPicPr>
                        </pic:nvPicPr>
                        <pic:blipFill>
                          <a:blip r:embed="rId22" cstate="print"/>
                          <a:stretch>
                            <a:fillRect/>
                          </a:stretch>
                        </pic:blipFill>
                        <pic:spPr>
                          <a:xfrm>
                            <a:off x="0" y="0"/>
                            <a:ext cx="1999615" cy="245745"/>
                          </a:xfrm>
                          <a:prstGeom prst="rect">
                            <a:avLst/>
                          </a:prstGeom>
                          <a:noFill/>
                          <a:ln>
                            <a:noFill/>
                          </a:ln>
                        </pic:spPr>
                      </pic:pic>
                    </a:graphicData>
                  </a:graphic>
                </wp:inline>
              </w:drawing>
            </w:r>
          </w:p>
          <w:p w14:paraId="1984C09C">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式中：</w:t>
            </w:r>
          </w:p>
          <w:p w14:paraId="3EAE7F00">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29" o:spt="75" type="#_x0000_t75" style="height:14.3pt;width:18.8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——倍频带声功率级，dB；</w:t>
            </w:r>
          </w:p>
          <w:p w14:paraId="3C8D941B">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0" o:spt="75" type="#_x0000_t75" style="height:14.3pt;width:18.85pt;" o:ole="t" filled="f" o:preferrelative="t" stroked="f" coordsize="21600,21600">
                  <v:path/>
                  <v:fill on="f" focussize="0,0"/>
                  <v:stroke on="f" joinstyle="miter"/>
                  <v:imagedata r:id="rId26" o:title=""/>
                  <o:lock v:ext="edit" aspectratio="t"/>
                  <w10:wrap type="none"/>
                  <w10:anchorlock/>
                </v:shape>
                <o:OLEObject Type="Embed" ProgID="Equation.DSMT4" ShapeID="_x0000_i1030" DrawAspect="Content" ObjectID="_1468075730" r:id="rId25">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——指向性校正，dB，对辐射到自由空间的全向点声源，</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1" o:spt="75" type="#_x0000_t75" style="height:14.3pt;width:18.85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27">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=0dB；</w:t>
            </w:r>
          </w:p>
          <w:p w14:paraId="427DBE79">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2" o:spt="75" type="#_x0000_t75" style="height:11.45pt;width:11.45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——倍频带衰减，dB；</w:t>
            </w:r>
          </w:p>
          <w:p w14:paraId="708BD6C0">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3" o:spt="75" type="#_x0000_t75" style="height:18.3pt;width:20.5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4" o:spt="75" type="#_x0000_t75" style="height:18.3pt;width:22.3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5" o:spt="75" type="#_x0000_t75" style="height:18.85pt;width:18.3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6" o:spt="75" type="#_x0000_t75" style="height:18.3pt;width:20.55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7" o:spt="75" type="#_x0000_t75" style="height:18.85pt;width:22.8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——分别指几何发散、大气吸收、地面效应、声屏障、其他多方面引起的倍频带衰减量，dB，衰减项计算按《环境影响评价技术导则 声环境》（HJ2.4-2021）中相关模式计算。</w:t>
            </w:r>
          </w:p>
          <w:p w14:paraId="1AC67C1C">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在不能取得声源倍频带声功率级或倍频带声压级，只能获得A声功率级或某点的A声级时，可按下式做近似计算：</w:t>
            </w:r>
          </w:p>
          <w:p w14:paraId="3EE1C929">
            <w:pPr>
              <w:pStyle w:val="10"/>
              <w:spacing w:line="360" w:lineRule="auto"/>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296670" cy="231775"/>
                  <wp:effectExtent l="0" t="0" r="17780" b="16510"/>
                  <wp:docPr id="60" name="图片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523"/>
                          <pic:cNvPicPr>
                            <a:picLocks noChangeAspect="1"/>
                          </pic:cNvPicPr>
                        </pic:nvPicPr>
                        <pic:blipFill>
                          <a:blip r:embed="rId40" cstate="print"/>
                          <a:stretch>
                            <a:fillRect/>
                          </a:stretch>
                        </pic:blipFill>
                        <pic:spPr>
                          <a:xfrm>
                            <a:off x="0" y="0"/>
                            <a:ext cx="1296670" cy="231775"/>
                          </a:xfrm>
                          <a:prstGeom prst="rect">
                            <a:avLst/>
                          </a:prstGeom>
                          <a:noFill/>
                          <a:ln>
                            <a:noFill/>
                          </a:ln>
                        </pic:spPr>
                      </pic:pic>
                    </a:graphicData>
                  </a:graphic>
                </wp:inline>
              </w:drawing>
            </w:r>
            <w:r>
              <w:rPr>
                <w:rFonts w:hint="eastAsia" w:ascii="Times New Roman" w:hAnsi="Times New Roman" w:eastAsia="宋体" w:cs="宋体"/>
                <w:color w:val="000000" w:themeColor="text1"/>
                <w:sz w:val="21"/>
                <w:szCs w:val="21"/>
                <w:highlight w:val="none"/>
                <w14:textFill>
                  <w14:solidFill>
                    <w14:schemeClr w14:val="tx1"/>
                  </w14:solidFill>
                </w14:textFill>
              </w:rPr>
              <w:t>或</w:t>
            </w: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146175" cy="231775"/>
                  <wp:effectExtent l="0" t="0" r="0" b="16510"/>
                  <wp:docPr id="61" name="图片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524"/>
                          <pic:cNvPicPr>
                            <a:picLocks noChangeAspect="1"/>
                          </pic:cNvPicPr>
                        </pic:nvPicPr>
                        <pic:blipFill>
                          <a:blip r:embed="rId41" cstate="print"/>
                          <a:stretch>
                            <a:fillRect/>
                          </a:stretch>
                        </pic:blipFill>
                        <pic:spPr>
                          <a:xfrm>
                            <a:off x="0" y="0"/>
                            <a:ext cx="1146175" cy="231775"/>
                          </a:xfrm>
                          <a:prstGeom prst="rect">
                            <a:avLst/>
                          </a:prstGeom>
                          <a:noFill/>
                          <a:ln>
                            <a:noFill/>
                          </a:ln>
                        </pic:spPr>
                      </pic:pic>
                    </a:graphicData>
                  </a:graphic>
                </wp:inline>
              </w:drawing>
            </w:r>
          </w:p>
          <w:p w14:paraId="5675E40D">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149860" cy="170815"/>
                  <wp:effectExtent l="0" t="0" r="2540" b="635"/>
                  <wp:docPr id="62" name="图片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525"/>
                          <pic:cNvPicPr>
                            <a:picLocks noChangeAspect="1"/>
                          </pic:cNvPicPr>
                        </pic:nvPicPr>
                        <pic:blipFill>
                          <a:blip r:embed="rId42" cstate="print"/>
                          <a:stretch>
                            <a:fillRect/>
                          </a:stretch>
                        </pic:blipFill>
                        <pic:spPr>
                          <a:xfrm>
                            <a:off x="0" y="0"/>
                            <a:ext cx="149860" cy="17081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可选择对</w:t>
            </w: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149860" cy="170815"/>
                  <wp:effectExtent l="0" t="0" r="2540" b="635"/>
                  <wp:docPr id="63" name="图片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526"/>
                          <pic:cNvPicPr>
                            <a:picLocks noChangeAspect="1"/>
                          </pic:cNvPicPr>
                        </pic:nvPicPr>
                        <pic:blipFill>
                          <a:blip r:embed="rId42" cstate="print"/>
                          <a:stretch>
                            <a:fillRect/>
                          </a:stretch>
                        </pic:blipFill>
                        <pic:spPr>
                          <a:xfrm>
                            <a:off x="0" y="0"/>
                            <a:ext cx="149860" cy="17081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声级影响最大的倍频带计算，一般可选中心频率为500Hz的倍频带</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做</w:t>
            </w:r>
            <w:r>
              <w:rPr>
                <w:rFonts w:hint="eastAsia" w:ascii="Times New Roman" w:hAnsi="Times New Roman" w:eastAsia="宋体" w:cs="宋体"/>
                <w:color w:val="000000" w:themeColor="text1"/>
                <w:kern w:val="0"/>
                <w:sz w:val="21"/>
                <w:szCs w:val="21"/>
                <w:highlight w:val="none"/>
                <w14:textFill>
                  <w14:solidFill>
                    <w14:schemeClr w14:val="tx1"/>
                  </w14:solidFill>
                </w14:textFill>
              </w:rPr>
              <w:t>估算。</w:t>
            </w:r>
          </w:p>
          <w:p w14:paraId="645F223B">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②室内声源等效室外声源声功率级计算方法</w:t>
            </w:r>
          </w:p>
          <w:p w14:paraId="45CE2C6E">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如图所示，声源位于室内，室内声源可采用等效室外声源声功率级法进行计算。设靠近开口处（或窗户）室内、室外某倍频带的声压级分别为</w:t>
            </w: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231775" cy="245745"/>
                  <wp:effectExtent l="0" t="0" r="0" b="1270"/>
                  <wp:docPr id="64" name="图片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527"/>
                          <pic:cNvPicPr>
                            <a:picLocks noChangeAspect="1"/>
                          </pic:cNvPicPr>
                        </pic:nvPicPr>
                        <pic:blipFill>
                          <a:blip r:embed="rId43" cstate="print"/>
                          <a:stretch>
                            <a:fillRect/>
                          </a:stretch>
                        </pic:blipFill>
                        <pic:spPr>
                          <a:xfrm>
                            <a:off x="0" y="0"/>
                            <a:ext cx="231775"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245745" cy="245745"/>
                  <wp:effectExtent l="0" t="0" r="0" b="1270"/>
                  <wp:docPr id="65" name="图片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528"/>
                          <pic:cNvPicPr>
                            <a:picLocks noChangeAspect="1"/>
                          </pic:cNvPicPr>
                        </pic:nvPicPr>
                        <pic:blipFill>
                          <a:blip r:embed="rId44" cstate="print"/>
                          <a:stretch>
                            <a:fillRect/>
                          </a:stretch>
                        </pic:blipFill>
                        <pic:spPr>
                          <a:xfrm>
                            <a:off x="0" y="0"/>
                            <a:ext cx="245745"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。若声源所在室内声场为近似扩散声场，则室外的倍频带声压级可按下式近似求出：</w:t>
            </w:r>
          </w:p>
          <w:p w14:paraId="300D52BA">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160145" cy="252730"/>
                  <wp:effectExtent l="0" t="0" r="1905" b="14605"/>
                  <wp:docPr id="66" name="图片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529"/>
                          <pic:cNvPicPr>
                            <a:picLocks noChangeAspect="1"/>
                          </pic:cNvPicPr>
                        </pic:nvPicPr>
                        <pic:blipFill>
                          <a:blip r:embed="rId45" cstate="print"/>
                          <a:stretch>
                            <a:fillRect/>
                          </a:stretch>
                        </pic:blipFill>
                        <pic:spPr>
                          <a:xfrm>
                            <a:off x="0" y="0"/>
                            <a:ext cx="1160145" cy="252730"/>
                          </a:xfrm>
                          <a:prstGeom prst="rect">
                            <a:avLst/>
                          </a:prstGeom>
                          <a:noFill/>
                          <a:ln>
                            <a:noFill/>
                          </a:ln>
                        </pic:spPr>
                      </pic:pic>
                    </a:graphicData>
                  </a:graphic>
                </wp:inline>
              </w:drawing>
            </w:r>
          </w:p>
          <w:p w14:paraId="719433E4">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式中：</w:t>
            </w:r>
          </w:p>
          <w:p w14:paraId="482419A5">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211455" cy="170815"/>
                  <wp:effectExtent l="0" t="0" r="17145" b="635"/>
                  <wp:docPr id="67" name="图片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530"/>
                          <pic:cNvPicPr>
                            <a:picLocks noChangeAspect="1"/>
                          </pic:cNvPicPr>
                        </pic:nvPicPr>
                        <pic:blipFill>
                          <a:blip r:embed="rId46" cstate="print"/>
                          <a:stretch>
                            <a:fillRect/>
                          </a:stretch>
                        </pic:blipFill>
                        <pic:spPr>
                          <a:xfrm>
                            <a:off x="0" y="0"/>
                            <a:ext cx="211455" cy="17081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——隔墙（或窗户）倍频带的隔声量，dB。</w:t>
            </w:r>
          </w:p>
          <w:p w14:paraId="1B9FEF9E">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3310255" cy="1711325"/>
                  <wp:effectExtent l="0" t="0" r="4445" b="3175"/>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47" cstate="print"/>
                          <a:stretch>
                            <a:fillRect/>
                          </a:stretch>
                        </pic:blipFill>
                        <pic:spPr>
                          <a:xfrm>
                            <a:off x="0" y="0"/>
                            <a:ext cx="3310255" cy="1711325"/>
                          </a:xfrm>
                          <a:prstGeom prst="rect">
                            <a:avLst/>
                          </a:prstGeom>
                          <a:noFill/>
                          <a:ln>
                            <a:noFill/>
                          </a:ln>
                        </pic:spPr>
                      </pic:pic>
                    </a:graphicData>
                  </a:graphic>
                </wp:inline>
              </w:drawing>
            </w:r>
          </w:p>
          <w:p w14:paraId="600B0E04">
            <w:pPr>
              <w:tabs>
                <w:tab w:val="left" w:pos="960"/>
              </w:tabs>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图4.3-1  室内声源等效为室外声源图例</w:t>
            </w:r>
          </w:p>
          <w:p w14:paraId="4FD6B73D">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也可按下式计算某一室内声源靠近围护结构处产生的倍频带声压级：</w:t>
            </w:r>
          </w:p>
          <w:p w14:paraId="0B37C372">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924050" cy="477520"/>
                  <wp:effectExtent l="0" t="0" r="0" b="17780"/>
                  <wp:docPr id="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
                          <pic:cNvPicPr>
                            <a:picLocks noChangeAspect="1"/>
                          </pic:cNvPicPr>
                        </pic:nvPicPr>
                        <pic:blipFill>
                          <a:blip r:embed="rId48" cstate="print"/>
                          <a:stretch>
                            <a:fillRect/>
                          </a:stretch>
                        </pic:blipFill>
                        <pic:spPr>
                          <a:xfrm>
                            <a:off x="0" y="0"/>
                            <a:ext cx="1924050" cy="477520"/>
                          </a:xfrm>
                          <a:prstGeom prst="rect">
                            <a:avLst/>
                          </a:prstGeom>
                          <a:noFill/>
                          <a:ln>
                            <a:noFill/>
                          </a:ln>
                        </pic:spPr>
                      </pic:pic>
                    </a:graphicData>
                  </a:graphic>
                </wp:inline>
              </w:drawing>
            </w:r>
          </w:p>
          <w:p w14:paraId="057830F2">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式中：</w:t>
            </w:r>
          </w:p>
          <w:p w14:paraId="0834FC0D">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149860" cy="204470"/>
                  <wp:effectExtent l="0" t="0" r="2540" b="3810"/>
                  <wp:docPr id="69" name="图片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532"/>
                          <pic:cNvPicPr>
                            <a:picLocks noChangeAspect="1"/>
                          </pic:cNvPicPr>
                        </pic:nvPicPr>
                        <pic:blipFill>
                          <a:blip r:embed="rId49" cstate="print"/>
                          <a:stretch>
                            <a:fillRect/>
                          </a:stretch>
                        </pic:blipFill>
                        <pic:spPr>
                          <a:xfrm>
                            <a:off x="0" y="0"/>
                            <a:ext cx="149860" cy="204470"/>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——指向性因素；通常对无指向性声源，当声源放在房间中心时，Q=1；当放在一面墙的中心时，Q=2；当放在两面墙夹角处时，Q=4；当放在三面墙夹角处时，Q=8。</w:t>
            </w:r>
          </w:p>
          <w:p w14:paraId="4B166C9A">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8" o:spt="75" type="#_x0000_t75" style="height:13.15pt;width:12pt;" o:ole="t" filled="f" o:preferrelative="t" stroked="f" coordsize="21600,21600">
                  <v:path/>
                  <v:fill on="f" focussize="0,0"/>
                  <v:stroke on="f" joinstyle="miter"/>
                  <v:imagedata r:id="rId51" o:title=""/>
                  <o:lock v:ext="edit" aspectratio="t"/>
                  <w10:wrap type="none"/>
                  <w10:anchorlock/>
                </v:shape>
                <o:OLEObject Type="Embed" ProgID="Equation.DSMT4" ShapeID="_x0000_i1038" DrawAspect="Content" ObjectID="_1468075738" r:id="rId50">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——房间常数；</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39" o:spt="75" type="#_x0000_t75" style="height:16.55pt;width:76.55pt;" o:ole="t" filled="f" o:preferrelative="t" stroked="f" coordsize="21600,21600">
                  <v:path/>
                  <v:fill on="f" focussize="0,0"/>
                  <v:stroke on="f" joinstyle="miter"/>
                  <v:imagedata r:id="rId53" o:title=""/>
                  <o:lock v:ext="edit" aspectratio="t"/>
                  <w10:wrap type="none"/>
                  <w10:anchorlock/>
                </v:shape>
                <o:OLEObject Type="Embed" ProgID="Equation.DSMT4" ShapeID="_x0000_i1039" DrawAspect="Content" ObjectID="_1468075739" r:id="rId52">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40" o:spt="75" type="#_x0000_t75" style="height:13.15pt;width:10.3pt;" o:ole="t" filled="f" o:preferrelative="t" stroked="f" coordsize="21600,21600">
                  <v:path/>
                  <v:fill on="f" focussize="0,0"/>
                  <v:stroke on="f" joinstyle="miter"/>
                  <v:imagedata r:id="rId55" o:title=""/>
                  <o:lock v:ext="edit" aspectratio="t"/>
                  <w10:wrap type="none"/>
                  <w10:anchorlock/>
                </v:shape>
                <o:OLEObject Type="Embed" ProgID="Equation.DSMT4" ShapeID="_x0000_i1040" DrawAspect="Content" ObjectID="_1468075740" r:id="rId54">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为房间内表面面积，m</w:t>
            </w:r>
            <w:r>
              <w:rPr>
                <w:rFonts w:hint="eastAsia" w:ascii="Times New Roman" w:hAnsi="Times New Roman" w:eastAsia="宋体" w:cs="宋体"/>
                <w:color w:val="000000" w:themeColor="text1"/>
                <w:kern w:val="0"/>
                <w:sz w:val="21"/>
                <w:szCs w:val="21"/>
                <w:highlight w:val="none"/>
                <w:vertAlign w:val="superscript"/>
                <w14:textFill>
                  <w14:solidFill>
                    <w14:schemeClr w14:val="tx1"/>
                  </w14:solidFill>
                </w14:textFill>
              </w:rPr>
              <w:t>2</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object>
                <v:shape id="_x0000_i1041" o:spt="75" type="#_x0000_t75" style="height:10.3pt;width:10.85pt;" o:ole="t" filled="f" o:preferrelative="t" stroked="f" coordsize="21600,21600">
                  <v:path/>
                  <v:fill on="f" focussize="0,0"/>
                  <v:stroke on="f" joinstyle="miter"/>
                  <v:imagedata r:id="rId57" o:title=""/>
                  <o:lock v:ext="edit" aspectratio="t"/>
                  <w10:wrap type="none"/>
                  <w10:anchorlock/>
                </v:shape>
                <o:OLEObject Type="Embed" ProgID="Equation.DSMT4" ShapeID="_x0000_i1041" DrawAspect="Content" ObjectID="_1468075741" r:id="rId56">
                  <o:LockedField>false</o:LockedField>
                </o:OLEObject>
              </w:object>
            </w:r>
            <w:r>
              <w:rPr>
                <w:rFonts w:hint="eastAsia" w:ascii="Times New Roman" w:hAnsi="Times New Roman" w:eastAsia="宋体" w:cs="宋体"/>
                <w:color w:val="000000" w:themeColor="text1"/>
                <w:kern w:val="0"/>
                <w:sz w:val="21"/>
                <w:szCs w:val="21"/>
                <w:highlight w:val="none"/>
                <w14:textFill>
                  <w14:solidFill>
                    <w14:schemeClr w14:val="tx1"/>
                  </w14:solidFill>
                </w14:textFill>
              </w:rPr>
              <w:t>为平均吸声系数。</w:t>
            </w:r>
          </w:p>
          <w:p w14:paraId="563207C7">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r——声源到靠近</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围</w:t>
            </w:r>
            <w:r>
              <w:rPr>
                <w:rFonts w:hint="eastAsia" w:ascii="Times New Roman" w:hAnsi="Times New Roman" w:eastAsia="宋体" w:cs="宋体"/>
                <w:color w:val="000000" w:themeColor="text1"/>
                <w:kern w:val="0"/>
                <w:sz w:val="21"/>
                <w:szCs w:val="21"/>
                <w:highlight w:val="none"/>
                <w14:textFill>
                  <w14:solidFill>
                    <w14:schemeClr w14:val="tx1"/>
                  </w14:solidFill>
                </w14:textFill>
              </w:rPr>
              <w:t>护结构某点处距离，m。</w:t>
            </w:r>
          </w:p>
          <w:p w14:paraId="151AE9E8">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然后按下式计算出所有室内声源在围护结构处产生的i倍频带叠加声压级：</w:t>
            </w:r>
          </w:p>
          <w:p w14:paraId="5176E14F">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998980" cy="566420"/>
                  <wp:effectExtent l="0" t="0" r="1270" b="4445"/>
                  <wp:docPr id="70" name="图片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538"/>
                          <pic:cNvPicPr>
                            <a:picLocks noChangeAspect="1"/>
                          </pic:cNvPicPr>
                        </pic:nvPicPr>
                        <pic:blipFill>
                          <a:blip r:embed="rId58" cstate="print"/>
                          <a:stretch>
                            <a:fillRect/>
                          </a:stretch>
                        </pic:blipFill>
                        <pic:spPr>
                          <a:xfrm>
                            <a:off x="0" y="0"/>
                            <a:ext cx="1998980" cy="566420"/>
                          </a:xfrm>
                          <a:prstGeom prst="rect">
                            <a:avLst/>
                          </a:prstGeom>
                          <a:noFill/>
                          <a:ln>
                            <a:noFill/>
                          </a:ln>
                        </pic:spPr>
                      </pic:pic>
                    </a:graphicData>
                  </a:graphic>
                </wp:inline>
              </w:drawing>
            </w:r>
          </w:p>
          <w:p w14:paraId="70DB4795">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式中：</w:t>
            </w:r>
          </w:p>
          <w:p w14:paraId="23BEDA7B">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470535" cy="245745"/>
                  <wp:effectExtent l="0" t="0" r="5715" b="1905"/>
                  <wp:docPr id="71" name="图片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539"/>
                          <pic:cNvPicPr>
                            <a:picLocks noChangeAspect="1"/>
                          </pic:cNvPicPr>
                        </pic:nvPicPr>
                        <pic:blipFill>
                          <a:blip r:embed="rId59" cstate="print"/>
                          <a:stretch>
                            <a:fillRect/>
                          </a:stretch>
                        </pic:blipFill>
                        <pic:spPr>
                          <a:xfrm>
                            <a:off x="0" y="0"/>
                            <a:ext cx="470535"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——靠近围护结构处室内N个声源i倍频带的叠加声压级，dB；</w:t>
            </w:r>
          </w:p>
          <w:p w14:paraId="35F374B5">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307340" cy="245745"/>
                  <wp:effectExtent l="0" t="0" r="16510" b="1270"/>
                  <wp:docPr id="72" name="图片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540"/>
                          <pic:cNvPicPr>
                            <a:picLocks noChangeAspect="1"/>
                          </pic:cNvPicPr>
                        </pic:nvPicPr>
                        <pic:blipFill>
                          <a:blip r:embed="rId60" cstate="print"/>
                          <a:stretch>
                            <a:fillRect/>
                          </a:stretch>
                        </pic:blipFill>
                        <pic:spPr>
                          <a:xfrm>
                            <a:off x="0" y="0"/>
                            <a:ext cx="307340"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——室内j声源i倍频带的声压级，dB；</w:t>
            </w:r>
          </w:p>
          <w:p w14:paraId="71A62EB9">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184150" cy="184150"/>
                  <wp:effectExtent l="0" t="0" r="6350" b="5715"/>
                  <wp:docPr id="73" name="图片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541"/>
                          <pic:cNvPicPr>
                            <a:picLocks noChangeAspect="1"/>
                          </pic:cNvPicPr>
                        </pic:nvPicPr>
                        <pic:blipFill>
                          <a:blip r:embed="rId61" cstate="print"/>
                          <a:stretch>
                            <a:fillRect/>
                          </a:stretch>
                        </pic:blipFill>
                        <pic:spPr>
                          <a:xfrm>
                            <a:off x="0" y="0"/>
                            <a:ext cx="184150" cy="184150"/>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——室内声源总数。</w:t>
            </w:r>
          </w:p>
          <w:p w14:paraId="7B32A255">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在室内近似为扩散声场时，按下式计算出靠近室外围护结构处的声压级：</w:t>
            </w:r>
          </w:p>
          <w:p w14:paraId="1A256411">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773555" cy="252730"/>
                  <wp:effectExtent l="0" t="0" r="17145" b="14605"/>
                  <wp:docPr id="74" name="图片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542"/>
                          <pic:cNvPicPr>
                            <a:picLocks noChangeAspect="1"/>
                          </pic:cNvPicPr>
                        </pic:nvPicPr>
                        <pic:blipFill>
                          <a:blip r:embed="rId62" cstate="print"/>
                          <a:stretch>
                            <a:fillRect/>
                          </a:stretch>
                        </pic:blipFill>
                        <pic:spPr>
                          <a:xfrm>
                            <a:off x="0" y="0"/>
                            <a:ext cx="1773555" cy="252730"/>
                          </a:xfrm>
                          <a:prstGeom prst="rect">
                            <a:avLst/>
                          </a:prstGeom>
                          <a:noFill/>
                          <a:ln>
                            <a:noFill/>
                          </a:ln>
                        </pic:spPr>
                      </pic:pic>
                    </a:graphicData>
                  </a:graphic>
                </wp:inline>
              </w:drawing>
            </w:r>
          </w:p>
          <w:p w14:paraId="449F384B">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式中：</w:t>
            </w:r>
          </w:p>
          <w:p w14:paraId="389AEDF6">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497840" cy="245745"/>
                  <wp:effectExtent l="0" t="0" r="16510" b="1905"/>
                  <wp:docPr id="75" name="图片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543"/>
                          <pic:cNvPicPr>
                            <a:picLocks noChangeAspect="1"/>
                          </pic:cNvPicPr>
                        </pic:nvPicPr>
                        <pic:blipFill>
                          <a:blip r:embed="rId63" cstate="print"/>
                          <a:stretch>
                            <a:fillRect/>
                          </a:stretch>
                        </pic:blipFill>
                        <pic:spPr>
                          <a:xfrm>
                            <a:off x="0" y="0"/>
                            <a:ext cx="497840" cy="24574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——靠近围护结构处室外N个声源i倍频带的叠加声压级，dB；</w:t>
            </w:r>
          </w:p>
          <w:p w14:paraId="0FEC814D">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drawing>
                <wp:inline distT="0" distB="0" distL="114300" distR="114300">
                  <wp:extent cx="231775" cy="231775"/>
                  <wp:effectExtent l="0" t="0" r="15875" b="16510"/>
                  <wp:docPr id="76" name="图片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544"/>
                          <pic:cNvPicPr>
                            <a:picLocks noChangeAspect="1"/>
                          </pic:cNvPicPr>
                        </pic:nvPicPr>
                        <pic:blipFill>
                          <a:blip r:embed="rId64" cstate="print"/>
                          <a:stretch>
                            <a:fillRect/>
                          </a:stretch>
                        </pic:blipFill>
                        <pic:spPr>
                          <a:xfrm>
                            <a:off x="0" y="0"/>
                            <a:ext cx="231775" cy="231775"/>
                          </a:xfrm>
                          <a:prstGeom prst="rect">
                            <a:avLst/>
                          </a:prstGeom>
                          <a:noFill/>
                          <a:ln>
                            <a:noFill/>
                          </a:ln>
                        </pic:spPr>
                      </pic:pic>
                    </a:graphicData>
                  </a:graphic>
                </wp:inline>
              </w:drawing>
            </w:r>
            <w:r>
              <w:rPr>
                <w:rFonts w:hint="eastAsia" w:ascii="Times New Roman" w:hAnsi="Times New Roman" w:eastAsia="宋体" w:cs="宋体"/>
                <w:color w:val="000000" w:themeColor="text1"/>
                <w:kern w:val="0"/>
                <w:sz w:val="21"/>
                <w:szCs w:val="21"/>
                <w:highlight w:val="none"/>
                <w14:textFill>
                  <w14:solidFill>
                    <w14:schemeClr w14:val="tx1"/>
                  </w14:solidFill>
                </w14:textFill>
              </w:rPr>
              <w:t>——围护结构i倍频带的隔声量，dB。</w:t>
            </w:r>
          </w:p>
          <w:p w14:paraId="1D372806">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然后按下式将室外声源的声压级和透过面积换算成等效的室外声源，计算出中心位置位于透声面积（S）处的等效声源的倍频带声功率级：</w:t>
            </w:r>
          </w:p>
          <w:p w14:paraId="3F7202A9">
            <w:pPr>
              <w:pStyle w:val="10"/>
              <w:spacing w:after="0" w:line="360" w:lineRule="auto"/>
              <w:ind w:left="0" w:leftChars="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114300" distR="114300">
                  <wp:extent cx="1317625" cy="252730"/>
                  <wp:effectExtent l="0" t="0" r="0" b="14605"/>
                  <wp:docPr id="77" name="图片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545"/>
                          <pic:cNvPicPr>
                            <a:picLocks noChangeAspect="1"/>
                          </pic:cNvPicPr>
                        </pic:nvPicPr>
                        <pic:blipFill>
                          <a:blip r:embed="rId65" cstate="print"/>
                          <a:stretch>
                            <a:fillRect/>
                          </a:stretch>
                        </pic:blipFill>
                        <pic:spPr>
                          <a:xfrm>
                            <a:off x="0" y="0"/>
                            <a:ext cx="1317625" cy="252730"/>
                          </a:xfrm>
                          <a:prstGeom prst="rect">
                            <a:avLst/>
                          </a:prstGeom>
                          <a:noFill/>
                          <a:ln>
                            <a:noFill/>
                          </a:ln>
                        </pic:spPr>
                      </pic:pic>
                    </a:graphicData>
                  </a:graphic>
                </wp:inline>
              </w:drawing>
            </w:r>
          </w:p>
          <w:p w14:paraId="4D7AD197">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然后按室外声源预测方法计算预测点处的A声级。</w:t>
            </w:r>
          </w:p>
          <w:p w14:paraId="3030630A">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19</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厂界贡献值计算</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038"/>
              <w:gridCol w:w="1062"/>
              <w:gridCol w:w="1062"/>
              <w:gridCol w:w="1062"/>
              <w:gridCol w:w="1035"/>
            </w:tblGrid>
            <w:tr w14:paraId="66FD0B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44" w:type="pct"/>
                  <w:vAlign w:val="center"/>
                </w:tcPr>
                <w:p w14:paraId="7D543E87">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生产车间厂界</w:t>
                  </w:r>
                </w:p>
              </w:tc>
              <w:tc>
                <w:tcPr>
                  <w:tcW w:w="643" w:type="pct"/>
                  <w:vAlign w:val="center"/>
                </w:tcPr>
                <w:p w14:paraId="36C9D435">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东</w:t>
                  </w:r>
                </w:p>
              </w:tc>
              <w:tc>
                <w:tcPr>
                  <w:tcW w:w="643" w:type="pct"/>
                  <w:vAlign w:val="center"/>
                </w:tcPr>
                <w:p w14:paraId="43B39D41">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南</w:t>
                  </w:r>
                </w:p>
              </w:tc>
              <w:tc>
                <w:tcPr>
                  <w:tcW w:w="643" w:type="pct"/>
                  <w:vAlign w:val="center"/>
                </w:tcPr>
                <w:p w14:paraId="2A7D40DA">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西</w:t>
                  </w:r>
                </w:p>
              </w:tc>
              <w:tc>
                <w:tcPr>
                  <w:tcW w:w="626" w:type="pct"/>
                  <w:vAlign w:val="center"/>
                </w:tcPr>
                <w:p w14:paraId="76752B50">
                  <w:pPr>
                    <w:snapToGrid w:val="0"/>
                    <w:jc w:val="center"/>
                    <w:rPr>
                      <w:rFonts w:ascii="Times New Roman" w:hAnsi="Times New Roman" w:eastAsia="宋体" w:cs="宋体"/>
                      <w:b/>
                      <w:bCs/>
                      <w:color w:val="000000" w:themeColor="text1"/>
                      <w:sz w:val="21"/>
                      <w:szCs w:val="21"/>
                      <w:highlight w:val="none"/>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北</w:t>
                  </w:r>
                </w:p>
              </w:tc>
            </w:tr>
            <w:tr w14:paraId="377ED2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44" w:type="pct"/>
                  <w:vAlign w:val="center"/>
                </w:tcPr>
                <w:p w14:paraId="096A5D0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总贡献值，dB（A）</w:t>
                  </w:r>
                </w:p>
              </w:tc>
              <w:tc>
                <w:tcPr>
                  <w:tcW w:w="643" w:type="pct"/>
                  <w:vAlign w:val="center"/>
                </w:tcPr>
                <w:p w14:paraId="64145B91">
                  <w:pPr>
                    <w:snapToGrid w:val="0"/>
                    <w:jc w:val="center"/>
                    <w:rPr>
                      <w:rFonts w:hint="default" w:ascii="Times New Roman" w:hAnsi="Times New Roman" w:eastAsia="宋体" w:cs="宋体"/>
                      <w:bCs/>
                      <w:color w:val="000000" w:themeColor="text1"/>
                      <w:sz w:val="21"/>
                      <w:szCs w:val="21"/>
                      <w:highlight w:val="none"/>
                      <w:lang w:val="en-US" w:eastAsia="zh-CN"/>
                      <w14:textFill>
                        <w14:solidFill>
                          <w14:schemeClr w14:val="tx1"/>
                        </w14:solidFill>
                      </w14:textFill>
                    </w:rPr>
                  </w:pPr>
                  <w:r>
                    <w:rPr>
                      <w:rFonts w:hint="eastAsia" w:cs="宋体"/>
                      <w:bCs/>
                      <w:color w:val="000000" w:themeColor="text1"/>
                      <w:sz w:val="21"/>
                      <w:szCs w:val="21"/>
                      <w:highlight w:val="none"/>
                      <w:lang w:val="en-US" w:eastAsia="zh-CN"/>
                      <w14:textFill>
                        <w14:solidFill>
                          <w14:schemeClr w14:val="tx1"/>
                        </w14:solidFill>
                      </w14:textFill>
                    </w:rPr>
                    <w:t>40.4</w:t>
                  </w:r>
                </w:p>
              </w:tc>
              <w:tc>
                <w:tcPr>
                  <w:tcW w:w="643" w:type="pct"/>
                  <w:vAlign w:val="center"/>
                </w:tcPr>
                <w:p w14:paraId="73981F97">
                  <w:pPr>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38.6</w:t>
                  </w:r>
                </w:p>
              </w:tc>
              <w:tc>
                <w:tcPr>
                  <w:tcW w:w="643" w:type="pct"/>
                  <w:vAlign w:val="center"/>
                </w:tcPr>
                <w:p w14:paraId="2A3E8CC9">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40.8</w:t>
                  </w:r>
                </w:p>
              </w:tc>
              <w:tc>
                <w:tcPr>
                  <w:tcW w:w="626" w:type="pct"/>
                  <w:vAlign w:val="center"/>
                </w:tcPr>
                <w:p w14:paraId="48F64294">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39.3</w:t>
                  </w:r>
                </w:p>
              </w:tc>
            </w:tr>
            <w:tr w14:paraId="7A0261D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44" w:type="pct"/>
                  <w:vAlign w:val="center"/>
                </w:tcPr>
                <w:p w14:paraId="368E4CE0">
                  <w:pPr>
                    <w:snapToGrid w:val="0"/>
                    <w:jc w:val="center"/>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标准限值，dB（A）</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昼间</w:t>
                  </w:r>
                  <w:r>
                    <w:rPr>
                      <w:rFonts w:hint="eastAsia" w:cs="宋体"/>
                      <w:color w:val="000000" w:themeColor="text1"/>
                      <w:sz w:val="21"/>
                      <w:szCs w:val="21"/>
                      <w:highlight w:val="none"/>
                      <w:lang w:eastAsia="zh-CN"/>
                      <w14:textFill>
                        <w14:solidFill>
                          <w14:schemeClr w14:val="tx1"/>
                        </w14:solidFill>
                      </w14:textFill>
                    </w:rPr>
                    <w:t>）</w:t>
                  </w:r>
                </w:p>
              </w:tc>
              <w:tc>
                <w:tcPr>
                  <w:tcW w:w="643" w:type="pct"/>
                  <w:vAlign w:val="center"/>
                </w:tcPr>
                <w:p w14:paraId="59E2A64A">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60</w:t>
                  </w:r>
                </w:p>
              </w:tc>
              <w:tc>
                <w:tcPr>
                  <w:tcW w:w="643" w:type="pct"/>
                  <w:vAlign w:val="center"/>
                </w:tcPr>
                <w:p w14:paraId="05A8A607">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60</w:t>
                  </w:r>
                </w:p>
              </w:tc>
              <w:tc>
                <w:tcPr>
                  <w:tcW w:w="643" w:type="pct"/>
                  <w:vAlign w:val="center"/>
                </w:tcPr>
                <w:p w14:paraId="03CCEA0E">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60</w:t>
                  </w:r>
                </w:p>
              </w:tc>
              <w:tc>
                <w:tcPr>
                  <w:tcW w:w="626" w:type="pct"/>
                  <w:vAlign w:val="center"/>
                </w:tcPr>
                <w:p w14:paraId="63CB5A10">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60</w:t>
                  </w:r>
                </w:p>
              </w:tc>
            </w:tr>
            <w:tr w14:paraId="56A1F0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44" w:type="pct"/>
                  <w:vAlign w:val="center"/>
                </w:tcPr>
                <w:p w14:paraId="46B9449D">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标准限值，dB（A）</w:t>
                  </w:r>
                  <w:r>
                    <w:rPr>
                      <w:rFonts w:hint="eastAsia" w:cs="宋体"/>
                      <w:color w:val="000000" w:themeColor="text1"/>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夜间</w:t>
                  </w:r>
                  <w:r>
                    <w:rPr>
                      <w:rFonts w:hint="eastAsia" w:cs="宋体"/>
                      <w:color w:val="000000" w:themeColor="text1"/>
                      <w:sz w:val="21"/>
                      <w:szCs w:val="21"/>
                      <w:highlight w:val="none"/>
                      <w:lang w:eastAsia="zh-CN"/>
                      <w14:textFill>
                        <w14:solidFill>
                          <w14:schemeClr w14:val="tx1"/>
                        </w14:solidFill>
                      </w14:textFill>
                    </w:rPr>
                    <w:t>）</w:t>
                  </w:r>
                </w:p>
              </w:tc>
              <w:tc>
                <w:tcPr>
                  <w:tcW w:w="643" w:type="pct"/>
                  <w:vAlign w:val="center"/>
                </w:tcPr>
                <w:p w14:paraId="28EED353">
                  <w:pPr>
                    <w:snapToGrid w:val="0"/>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50</w:t>
                  </w:r>
                </w:p>
              </w:tc>
              <w:tc>
                <w:tcPr>
                  <w:tcW w:w="643" w:type="pct"/>
                  <w:vAlign w:val="center"/>
                </w:tcPr>
                <w:p w14:paraId="58442E7C">
                  <w:pPr>
                    <w:snapToGrid w:val="0"/>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50</w:t>
                  </w:r>
                </w:p>
              </w:tc>
              <w:tc>
                <w:tcPr>
                  <w:tcW w:w="643" w:type="pct"/>
                  <w:vAlign w:val="center"/>
                </w:tcPr>
                <w:p w14:paraId="0922C872">
                  <w:pPr>
                    <w:snapToGrid w:val="0"/>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50</w:t>
                  </w:r>
                </w:p>
              </w:tc>
              <w:tc>
                <w:tcPr>
                  <w:tcW w:w="626" w:type="pct"/>
                  <w:vAlign w:val="center"/>
                </w:tcPr>
                <w:p w14:paraId="7D2FECCF">
                  <w:pPr>
                    <w:snapToGrid w:val="0"/>
                    <w:jc w:val="center"/>
                    <w:rPr>
                      <w:rFonts w:hint="default"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50</w:t>
                  </w:r>
                </w:p>
              </w:tc>
            </w:tr>
            <w:tr w14:paraId="395143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44" w:type="pct"/>
                  <w:vAlign w:val="center"/>
                </w:tcPr>
                <w:p w14:paraId="45E802B9">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达标情况</w:t>
                  </w:r>
                </w:p>
              </w:tc>
              <w:tc>
                <w:tcPr>
                  <w:tcW w:w="643" w:type="pct"/>
                  <w:vAlign w:val="center"/>
                </w:tcPr>
                <w:p w14:paraId="2A425758">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达标</w:t>
                  </w:r>
                </w:p>
              </w:tc>
              <w:tc>
                <w:tcPr>
                  <w:tcW w:w="643" w:type="pct"/>
                  <w:vAlign w:val="center"/>
                </w:tcPr>
                <w:p w14:paraId="21808D6A">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达标</w:t>
                  </w:r>
                </w:p>
              </w:tc>
              <w:tc>
                <w:tcPr>
                  <w:tcW w:w="643" w:type="pct"/>
                  <w:vAlign w:val="center"/>
                </w:tcPr>
                <w:p w14:paraId="2DF121DE">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达标</w:t>
                  </w:r>
                </w:p>
              </w:tc>
              <w:tc>
                <w:tcPr>
                  <w:tcW w:w="626" w:type="pct"/>
                  <w:vAlign w:val="center"/>
                </w:tcPr>
                <w:p w14:paraId="778135A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达标</w:t>
                  </w:r>
                </w:p>
              </w:tc>
            </w:tr>
          </w:tbl>
          <w:p w14:paraId="78858CD0">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经预测</w:t>
            </w:r>
            <w:r>
              <w:rPr>
                <w:rFonts w:hint="eastAsia"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本项目建成后，</w:t>
            </w:r>
            <w:r>
              <w:rPr>
                <w:rFonts w:hint="eastAsia" w:ascii="Times New Roman" w:hAnsi="Times New Roman" w:eastAsia="宋体" w:cs="宋体"/>
                <w:color w:val="000000" w:themeColor="text1"/>
                <w:sz w:val="21"/>
                <w:szCs w:val="21"/>
                <w:highlight w:val="none"/>
                <w14:textFill>
                  <w14:solidFill>
                    <w14:schemeClr w14:val="tx1"/>
                  </w14:solidFill>
                </w14:textFill>
              </w:rPr>
              <w:t>东、南、西、北</w:t>
            </w:r>
            <w:r>
              <w:rPr>
                <w:rFonts w:ascii="Times New Roman" w:hAnsi="Times New Roman" w:eastAsia="宋体" w:cs="宋体"/>
                <w:color w:val="000000" w:themeColor="text1"/>
                <w:sz w:val="21"/>
                <w:szCs w:val="21"/>
                <w:highlight w:val="none"/>
                <w14:textFill>
                  <w14:solidFill>
                    <w14:schemeClr w14:val="tx1"/>
                  </w14:solidFill>
                </w14:textFill>
              </w:rPr>
              <w:t>厂界</w:t>
            </w:r>
            <w:r>
              <w:rPr>
                <w:rFonts w:hint="eastAsia" w:ascii="Times New Roman" w:hAnsi="Times New Roman" w:eastAsia="宋体" w:cs="宋体"/>
                <w:color w:val="000000" w:themeColor="text1"/>
                <w:sz w:val="21"/>
                <w:szCs w:val="21"/>
                <w:highlight w:val="none"/>
                <w14:textFill>
                  <w14:solidFill>
                    <w14:schemeClr w14:val="tx1"/>
                  </w14:solidFill>
                </w14:textFill>
              </w:rPr>
              <w:t>贡献值</w:t>
            </w:r>
            <w:r>
              <w:rPr>
                <w:rFonts w:ascii="Times New Roman" w:hAnsi="Times New Roman" w:eastAsia="宋体" w:cs="宋体"/>
                <w:color w:val="000000" w:themeColor="text1"/>
                <w:sz w:val="21"/>
                <w:szCs w:val="21"/>
                <w:highlight w:val="none"/>
                <w14:textFill>
                  <w14:solidFill>
                    <w14:schemeClr w14:val="tx1"/>
                  </w14:solidFill>
                </w14:textFill>
              </w:rPr>
              <w:t>均能达到《工业企业厂界环境噪声排放标准》（GB12348-2008）中的</w:t>
            </w:r>
            <w:r>
              <w:rPr>
                <w:rFonts w:hint="eastAsia" w:cs="宋体"/>
                <w:color w:val="000000" w:themeColor="text1"/>
                <w:sz w:val="21"/>
                <w:szCs w:val="21"/>
                <w:highlight w:val="none"/>
                <w:lang w:val="en-US" w:eastAsia="zh-CN"/>
                <w14:textFill>
                  <w14:solidFill>
                    <w14:schemeClr w14:val="tx1"/>
                  </w14:solidFill>
                </w14:textFill>
              </w:rPr>
              <w:t>2类</w:t>
            </w:r>
            <w:r>
              <w:rPr>
                <w:rFonts w:ascii="Times New Roman" w:hAnsi="Times New Roman" w:eastAsia="宋体" w:cs="宋体"/>
                <w:color w:val="000000" w:themeColor="text1"/>
                <w:sz w:val="21"/>
                <w:szCs w:val="21"/>
                <w:highlight w:val="none"/>
                <w14:textFill>
                  <w14:solidFill>
                    <w14:schemeClr w14:val="tx1"/>
                  </w14:solidFill>
                </w14:textFill>
              </w:rPr>
              <w:t>标准，即昼间≤</w:t>
            </w:r>
            <w:r>
              <w:rPr>
                <w:rFonts w:hint="eastAsia" w:ascii="Times New Roman" w:hAnsi="Times New Roman" w:eastAsia="宋体" w:cs="宋体"/>
                <w:color w:val="000000" w:themeColor="text1"/>
                <w:sz w:val="21"/>
                <w:szCs w:val="21"/>
                <w:highlight w:val="none"/>
                <w14:textFill>
                  <w14:solidFill>
                    <w14:schemeClr w14:val="tx1"/>
                  </w14:solidFill>
                </w14:textFill>
              </w:rPr>
              <w:t>6</w:t>
            </w:r>
            <w:r>
              <w:rPr>
                <w:rFonts w:hint="eastAsia" w:cs="宋体"/>
                <w:color w:val="000000" w:themeColor="text1"/>
                <w:sz w:val="21"/>
                <w:szCs w:val="21"/>
                <w:highlight w:val="none"/>
                <w:lang w:val="en-US" w:eastAsia="zh-CN"/>
                <w14:textFill>
                  <w14:solidFill>
                    <w14:schemeClr w14:val="tx1"/>
                  </w14:solidFill>
                </w14:textFill>
              </w:rPr>
              <w:t>0</w:t>
            </w:r>
            <w:r>
              <w:rPr>
                <w:rFonts w:ascii="Times New Roman" w:hAnsi="Times New Roman" w:eastAsia="宋体" w:cs="宋体"/>
                <w:color w:val="000000" w:themeColor="text1"/>
                <w:sz w:val="21"/>
                <w:szCs w:val="21"/>
                <w:highlight w:val="none"/>
                <w14:textFill>
                  <w14:solidFill>
                    <w14:schemeClr w14:val="tx1"/>
                  </w14:solidFill>
                </w14:textFill>
              </w:rPr>
              <w:t>dB（A）。</w:t>
            </w:r>
          </w:p>
          <w:p w14:paraId="01D3CA35">
            <w:pPr>
              <w:autoSpaceDE w:val="0"/>
              <w:autoSpaceDN w:val="0"/>
              <w:spacing w:line="360" w:lineRule="auto"/>
              <w:ind w:firstLine="420" w:firstLineChars="200"/>
              <w:jc w:val="left"/>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（4）监测计划</w:t>
            </w:r>
          </w:p>
          <w:p w14:paraId="25C521BA">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20</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噪声监测计划</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622"/>
              <w:gridCol w:w="1627"/>
              <w:gridCol w:w="2010"/>
            </w:tblGrid>
            <w:tr w14:paraId="547824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98" w:type="pct"/>
                  <w:vAlign w:val="center"/>
                </w:tcPr>
                <w:p w14:paraId="6915DDF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w:t>
                  </w:r>
                  <w:r>
                    <w:rPr>
                      <w:rFonts w:hint="eastAsia" w:ascii="Times New Roman" w:hAnsi="Times New Roman" w:eastAsia="宋体" w:cs="宋体"/>
                      <w:b/>
                      <w:color w:val="000000" w:themeColor="text1"/>
                      <w:sz w:val="21"/>
                      <w:szCs w:val="21"/>
                      <w:highlight w:val="none"/>
                      <w14:textFill>
                        <w14:solidFill>
                          <w14:schemeClr w14:val="tx1"/>
                        </w14:solidFill>
                      </w14:textFill>
                    </w:rPr>
                    <w:t>点位</w:t>
                  </w:r>
                </w:p>
              </w:tc>
              <w:tc>
                <w:tcPr>
                  <w:tcW w:w="985" w:type="pct"/>
                  <w:vAlign w:val="center"/>
                </w:tcPr>
                <w:p w14:paraId="10C96E1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监测因子</w:t>
                  </w:r>
                </w:p>
              </w:tc>
              <w:tc>
                <w:tcPr>
                  <w:tcW w:w="1217" w:type="pct"/>
                  <w:vAlign w:val="center"/>
                </w:tcPr>
                <w:p w14:paraId="7B76207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监测频次</w:t>
                  </w:r>
                </w:p>
              </w:tc>
            </w:tr>
            <w:tr w14:paraId="275EB5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798" w:type="pct"/>
                  <w:vAlign w:val="center"/>
                </w:tcPr>
                <w:p w14:paraId="1E3BEB11">
                  <w:pPr>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ascii="Times New Roman" w:hAnsi="Times New Roman" w:eastAsia="宋体" w:cs="宋体"/>
                      <w:bCs/>
                      <w:color w:val="000000" w:themeColor="text1"/>
                      <w:sz w:val="21"/>
                      <w:szCs w:val="21"/>
                      <w:highlight w:val="none"/>
                      <w14:textFill>
                        <w14:solidFill>
                          <w14:schemeClr w14:val="tx1"/>
                        </w14:solidFill>
                      </w14:textFill>
                    </w:rPr>
                    <w:t>东、南、西、北厂界外1m</w:t>
                  </w:r>
                </w:p>
              </w:tc>
              <w:tc>
                <w:tcPr>
                  <w:tcW w:w="985" w:type="pct"/>
                  <w:vAlign w:val="center"/>
                </w:tcPr>
                <w:p w14:paraId="3064612E">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Leq(A)</w:t>
                  </w:r>
                </w:p>
              </w:tc>
              <w:tc>
                <w:tcPr>
                  <w:tcW w:w="1217" w:type="pct"/>
                  <w:vAlign w:val="center"/>
                </w:tcPr>
                <w:p w14:paraId="43A1736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1次/季度</w:t>
                  </w:r>
                </w:p>
              </w:tc>
            </w:tr>
          </w:tbl>
          <w:p w14:paraId="4BDD2C78">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4</w:t>
            </w:r>
            <w:r>
              <w:rPr>
                <w:rFonts w:hint="eastAsia" w:ascii="Times New Roman" w:hAnsi="Times New Roman" w:eastAsia="宋体" w:cs="宋体"/>
                <w:b/>
                <w:color w:val="000000" w:themeColor="text1"/>
                <w:sz w:val="21"/>
                <w:szCs w:val="21"/>
                <w:highlight w:val="none"/>
                <w14:textFill>
                  <w14:solidFill>
                    <w14:schemeClr w14:val="tx1"/>
                  </w14:solidFill>
                </w14:textFill>
              </w:rPr>
              <w:t>、</w:t>
            </w:r>
            <w:r>
              <w:rPr>
                <w:rFonts w:ascii="Times New Roman" w:hAnsi="Times New Roman" w:eastAsia="宋体" w:cs="宋体"/>
                <w:b/>
                <w:color w:val="000000" w:themeColor="text1"/>
                <w:sz w:val="21"/>
                <w:szCs w:val="21"/>
                <w:highlight w:val="none"/>
                <w14:textFill>
                  <w14:solidFill>
                    <w14:schemeClr w14:val="tx1"/>
                  </w14:solidFill>
                </w14:textFill>
              </w:rPr>
              <w:t>固体废物</w:t>
            </w:r>
          </w:p>
          <w:p w14:paraId="1853D773">
            <w:pPr>
              <w:autoSpaceDE w:val="0"/>
              <w:autoSpaceDN w:val="0"/>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（1）</w:t>
            </w:r>
            <w:r>
              <w:rPr>
                <w:rFonts w:ascii="Times New Roman" w:hAnsi="Times New Roman" w:eastAsia="宋体" w:cs="宋体"/>
                <w:color w:val="000000" w:themeColor="text1"/>
                <w:kern w:val="0"/>
                <w:sz w:val="21"/>
                <w:szCs w:val="21"/>
                <w:highlight w:val="none"/>
                <w14:textFill>
                  <w14:solidFill>
                    <w14:schemeClr w14:val="tx1"/>
                  </w14:solidFill>
                </w14:textFill>
              </w:rPr>
              <w:t>产生情况</w:t>
            </w:r>
          </w:p>
          <w:p w14:paraId="27D073E3">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本项目固废主要</w:t>
            </w:r>
            <w:r>
              <w:rPr>
                <w:rFonts w:hint="eastAsia" w:ascii="Times New Roman" w:hAnsi="Times New Roman" w:eastAsia="宋体" w:cs="宋体"/>
                <w:color w:val="000000" w:themeColor="text1"/>
                <w:kern w:val="0"/>
                <w:sz w:val="21"/>
                <w:szCs w:val="21"/>
                <w:highlight w:val="none"/>
                <w14:textFill>
                  <w14:solidFill>
                    <w14:schemeClr w14:val="tx1"/>
                  </w14:solidFill>
                </w14:textFill>
              </w:rPr>
              <w:t>为病死牛、待宰圈牛粪便S1-1</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胃容物、三腺、废弃内脏</w:t>
            </w:r>
            <w:r>
              <w:rPr>
                <w:rFonts w:hint="eastAsia" w:cs="宋体"/>
                <w:color w:val="000000" w:themeColor="text1"/>
                <w:kern w:val="0"/>
                <w:sz w:val="21"/>
                <w:szCs w:val="21"/>
                <w:highlight w:val="none"/>
                <w:lang w:val="en-US" w:eastAsia="zh-CN"/>
                <w14:textFill>
                  <w14:solidFill>
                    <w14:schemeClr w14:val="tx1"/>
                  </w14:solidFill>
                </w14:textFill>
              </w:rPr>
              <w:t>S1-2</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废碎肉骨S1-3/S1-5，</w:t>
            </w:r>
            <w:r>
              <w:rPr>
                <w:rFonts w:hint="eastAsia" w:ascii="Times New Roman" w:hAnsi="Times New Roman" w:eastAsia="宋体" w:cs="宋体"/>
                <w:color w:val="000000" w:themeColor="text1"/>
                <w:kern w:val="0"/>
                <w:sz w:val="21"/>
                <w:szCs w:val="21"/>
                <w:highlight w:val="none"/>
                <w14:textFill>
                  <w14:solidFill>
                    <w14:schemeClr w14:val="tx1"/>
                  </w14:solidFill>
                </w14:textFill>
              </w:rPr>
              <w:t>不合格胴体S1-</w:t>
            </w:r>
            <w:r>
              <w:rPr>
                <w:rFonts w:hint="eastAsia" w:cs="宋体"/>
                <w:color w:val="000000" w:themeColor="text1"/>
                <w:kern w:val="0"/>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kern w:val="0"/>
                <w:sz w:val="21"/>
                <w:szCs w:val="21"/>
                <w:highlight w:val="none"/>
                <w14:textFill>
                  <w14:solidFill>
                    <w14:schemeClr w14:val="tx1"/>
                  </w14:solidFill>
                </w14:textFill>
              </w:rPr>
              <w:t>，废肉渣S</w:t>
            </w:r>
            <w:r>
              <w:rPr>
                <w:rFonts w:hint="eastAsia" w:cs="宋体"/>
                <w:color w:val="000000" w:themeColor="text1"/>
                <w:kern w:val="0"/>
                <w:sz w:val="21"/>
                <w:szCs w:val="21"/>
                <w:highlight w:val="none"/>
                <w:lang w:val="en-US" w:eastAsia="zh-CN"/>
                <w14:textFill>
                  <w14:solidFill>
                    <w14:schemeClr w14:val="tx1"/>
                  </w14:solidFill>
                </w14:textFill>
              </w:rPr>
              <w:t>2-1</w:t>
            </w:r>
            <w:r>
              <w:rPr>
                <w:rFonts w:hint="eastAsia" w:ascii="Times New Roman" w:hAnsi="Times New Roman" w:eastAsia="宋体" w:cs="宋体"/>
                <w:color w:val="000000" w:themeColor="text1"/>
                <w:kern w:val="0"/>
                <w:sz w:val="21"/>
                <w:szCs w:val="21"/>
                <w:highlight w:val="none"/>
                <w14:textFill>
                  <w14:solidFill>
                    <w14:schemeClr w14:val="tx1"/>
                  </w14:solidFill>
                </w14:textFill>
              </w:rPr>
              <w:t>，废卤料S</w:t>
            </w:r>
            <w:r>
              <w:rPr>
                <w:rFonts w:hint="eastAsia" w:cs="宋体"/>
                <w:color w:val="000000" w:themeColor="text1"/>
                <w:kern w:val="0"/>
                <w:sz w:val="21"/>
                <w:szCs w:val="21"/>
                <w:highlight w:val="none"/>
                <w:lang w:val="en-US" w:eastAsia="zh-CN"/>
                <w14:textFill>
                  <w14:solidFill>
                    <w14:schemeClr w14:val="tx1"/>
                  </w14:solidFill>
                </w14:textFill>
              </w:rPr>
              <w:t>2-2</w:t>
            </w:r>
            <w:r>
              <w:rPr>
                <w:rFonts w:hint="eastAsia" w:ascii="Times New Roman" w:hAnsi="Times New Roman" w:eastAsia="宋体" w:cs="宋体"/>
                <w:color w:val="000000" w:themeColor="text1"/>
                <w:kern w:val="0"/>
                <w:sz w:val="21"/>
                <w:szCs w:val="21"/>
                <w:highlight w:val="none"/>
                <w14:textFill>
                  <w14:solidFill>
                    <w14:schemeClr w14:val="tx1"/>
                  </w14:solidFill>
                </w14:textFill>
              </w:rPr>
              <w:t>，污水处理污泥</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生活垃圾等</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2F8B9228">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病死牛、不合格胴体</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本项目严格按照</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牛羊屠宰产品品质检验规</w:t>
            </w:r>
            <w:r>
              <w:rPr>
                <w:rFonts w:hint="eastAsia" w:cs="宋体"/>
                <w:color w:val="000000" w:themeColor="text1"/>
                <w:kern w:val="0"/>
                <w:sz w:val="21"/>
                <w:szCs w:val="21"/>
                <w:highlight w:val="none"/>
                <w:lang w:val="en-US" w:eastAsia="zh-CN"/>
                <w14:textFill>
                  <w14:solidFill>
                    <w14:schemeClr w14:val="tx1"/>
                  </w14:solidFill>
                </w14:textFill>
              </w:rPr>
              <w:t>程</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GB18393-2001</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进行生产及产品检验，不可避免的会产生少量不合格产品</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包括病死牛、不合格胴体。由于本项目在进场前已采取严格检验检疫流程，因此病死牛、不合格胴体产生量极少，本次评价按合格产品的0.01%计，则本项目病死牛、不合格胴体产生量为0.</w:t>
            </w:r>
            <w:r>
              <w:rPr>
                <w:rFonts w:hint="eastAsia" w:cs="宋体"/>
                <w:color w:val="000000" w:themeColor="text1"/>
                <w:kern w:val="0"/>
                <w:sz w:val="21"/>
                <w:szCs w:val="21"/>
                <w:highlight w:val="none"/>
                <w:lang w:val="en-US" w:eastAsia="zh-CN"/>
                <w14:textFill>
                  <w14:solidFill>
                    <w14:schemeClr w14:val="tx1"/>
                  </w14:solidFill>
                </w14:textFill>
              </w:rPr>
              <w:t>23</w:t>
            </w:r>
            <w:r>
              <w:rPr>
                <w:rFonts w:hint="eastAsia" w:ascii="Times New Roman" w:hAnsi="Times New Roman" w:eastAsia="宋体" w:cs="宋体"/>
                <w:color w:val="000000" w:themeColor="text1"/>
                <w:kern w:val="0"/>
                <w:sz w:val="21"/>
                <w:szCs w:val="21"/>
                <w:highlight w:val="none"/>
                <w14:textFill>
                  <w14:solidFill>
                    <w14:schemeClr w14:val="tx1"/>
                  </w14:solidFill>
                </w14:textFill>
              </w:rPr>
              <w:t>t</w:t>
            </w:r>
            <w:r>
              <w:rPr>
                <w:rFonts w:hint="eastAsia"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a。</w:t>
            </w:r>
          </w:p>
          <w:p w14:paraId="3F631792">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根据环保部办公厅《关于病害动物无害化处理有关意见的复函》</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环办函〔20</w:t>
            </w:r>
            <w:r>
              <w:rPr>
                <w:rFonts w:hint="eastAsia" w:cs="宋体"/>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4</w:t>
            </w:r>
            <w:r>
              <w:rPr>
                <w:rFonts w:hint="eastAsia" w:ascii="Times New Roman" w:hAnsi="Times New Roman" w:eastAsia="宋体" w:cs="宋体"/>
                <w:color w:val="000000" w:themeColor="text1"/>
                <w:kern w:val="0"/>
                <w:sz w:val="21"/>
                <w:szCs w:val="21"/>
                <w:highlight w:val="none"/>
                <w14:textFill>
                  <w14:solidFill>
                    <w14:schemeClr w14:val="tx1"/>
                  </w14:solidFill>
                </w14:textFill>
              </w:rPr>
              <w:t>〕789号</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病害动物无害化处理项目由农业部门按照有关法律法规和技术规范进行监管，可以实现病害动物无害化处理和环境污染防控的目的，不宜再认定为危险废物集中处置项目</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。由于本项目病死牛、不合格胴体多发生于检验环节，具有偶发性。因此如出现病死牛、不合格胴体，应立即按照《病死及病害动物无害化处理技术规范》</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农医发〔20</w:t>
            </w:r>
            <w:r>
              <w:rPr>
                <w:rFonts w:hint="eastAsia" w:cs="宋体"/>
                <w:color w:val="000000" w:themeColor="text1"/>
                <w:kern w:val="0"/>
                <w:sz w:val="21"/>
                <w:szCs w:val="21"/>
                <w:highlight w:val="none"/>
                <w:lang w:val="en-US" w:eastAsia="zh-CN"/>
                <w14:textFill>
                  <w14:solidFill>
                    <w14:schemeClr w14:val="tx1"/>
                  </w14:solidFill>
                </w14:textFill>
              </w:rPr>
              <w:t>17</w:t>
            </w:r>
            <w:r>
              <w:rPr>
                <w:rFonts w:hint="eastAsia" w:ascii="Times New Roman" w:hAnsi="Times New Roman" w:eastAsia="宋体" w:cs="宋体"/>
                <w:color w:val="000000" w:themeColor="text1"/>
                <w:kern w:val="0"/>
                <w:sz w:val="21"/>
                <w:szCs w:val="21"/>
                <w:highlight w:val="none"/>
                <w14:textFill>
                  <w14:solidFill>
                    <w14:schemeClr w14:val="tx1"/>
                  </w14:solidFill>
                </w14:textFill>
              </w:rPr>
              <w:t>〕25号</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要求，在检疫部门监督下委托</w:t>
            </w:r>
            <w:r>
              <w:rPr>
                <w:rFonts w:hint="eastAsia" w:cs="宋体"/>
                <w:color w:val="000000" w:themeColor="text1"/>
                <w:kern w:val="0"/>
                <w:sz w:val="21"/>
                <w:szCs w:val="21"/>
                <w:highlight w:val="none"/>
                <w:lang w:val="en-US" w:eastAsia="zh-CN"/>
                <w14:textFill>
                  <w14:solidFill>
                    <w14:schemeClr w14:val="tx1"/>
                  </w14:solidFill>
                </w14:textFill>
              </w:rPr>
              <w:t>专业机构</w:t>
            </w:r>
            <w:r>
              <w:rPr>
                <w:rFonts w:hint="eastAsia" w:ascii="Times New Roman" w:hAnsi="Times New Roman" w:eastAsia="宋体" w:cs="宋体"/>
                <w:color w:val="000000" w:themeColor="text1"/>
                <w:kern w:val="0"/>
                <w:sz w:val="21"/>
                <w:szCs w:val="21"/>
                <w:highlight w:val="none"/>
                <w14:textFill>
                  <w14:solidFill>
                    <w14:schemeClr w14:val="tx1"/>
                  </w14:solidFill>
                </w14:textFill>
              </w:rPr>
              <w:t>无害化处置。</w:t>
            </w:r>
          </w:p>
          <w:p w14:paraId="1FE2E955">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如发生大规模瘟疫，应立即采取隔离封锁，并及时与当地畜禽卫生防疫部门联系交由防疫部门处理。根据《中华人民共和国动物检疫法》，项目若有检出患有规定的一类、二类、三类疫情的畜禽后，应由动物防疫监督机构统一处理。考虑到一旦发生大规模瘟疫，厂区检出染疫牛，不宜出厂处置，故建设方在厂区</w:t>
            </w:r>
            <w:r>
              <w:rPr>
                <w:rFonts w:hint="eastAsia" w:cs="宋体"/>
                <w:color w:val="000000" w:themeColor="text1"/>
                <w:kern w:val="0"/>
                <w:sz w:val="21"/>
                <w:szCs w:val="21"/>
                <w:highlight w:val="none"/>
                <w:lang w:val="en-US" w:eastAsia="zh-CN"/>
                <w14:textFill>
                  <w14:solidFill>
                    <w14:schemeClr w14:val="tx1"/>
                  </w14:solidFill>
                </w14:textFill>
              </w:rPr>
              <w:t>东</w:t>
            </w:r>
            <w:r>
              <w:rPr>
                <w:rFonts w:hint="eastAsia" w:ascii="Times New Roman" w:hAnsi="Times New Roman" w:eastAsia="宋体" w:cs="宋体"/>
                <w:color w:val="000000" w:themeColor="text1"/>
                <w:kern w:val="0"/>
                <w:sz w:val="21"/>
                <w:szCs w:val="21"/>
                <w:highlight w:val="none"/>
                <w14:textFill>
                  <w14:solidFill>
                    <w14:schemeClr w14:val="tx1"/>
                  </w14:solidFill>
                </w14:textFill>
              </w:rPr>
              <w:t>南侧拟建安全填埋井用于处置疫情期间染疫牛。</w:t>
            </w:r>
          </w:p>
          <w:p w14:paraId="282DC2B7">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待宰圈牛粪便、胃容物</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根据《排污许可证申请与核发技术规范 畜禽养殖行业》（HJ1029-2019）表9各类畜禽污染物产生量-肉牛粪便产生量为10.88kg/d·头/只，一期项目存栏量为7000头/a，则一期项目粪便产生量为76.16t/a</w:t>
            </w: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。本项目采用干法清粪，每天及时对存栏内的干粪便进行收集，肉牛待宰圈内各设有密闭收集桶，粪便日产日清，</w:t>
            </w:r>
            <w:r>
              <w:rPr>
                <w:rFonts w:hint="eastAsia" w:cs="宋体"/>
                <w:color w:val="000000" w:themeColor="text1"/>
                <w:kern w:val="0"/>
                <w:sz w:val="21"/>
                <w:szCs w:val="21"/>
                <w:highlight w:val="none"/>
                <w:lang w:val="en-US" w:eastAsia="zh-CN"/>
                <w14:textFill>
                  <w14:solidFill>
                    <w14:schemeClr w14:val="tx1"/>
                  </w14:solidFill>
                </w14:textFill>
              </w:rPr>
              <w:t>委托</w:t>
            </w:r>
            <w:r>
              <w:rPr>
                <w:rFonts w:hint="eastAsia" w:ascii="Times New Roman" w:hAnsi="Times New Roman" w:eastAsia="宋体" w:cs="宋体"/>
                <w:color w:val="000000" w:themeColor="text1"/>
                <w:kern w:val="0"/>
                <w:sz w:val="21"/>
                <w:szCs w:val="21"/>
                <w:highlight w:val="none"/>
                <w14:textFill>
                  <w14:solidFill>
                    <w14:schemeClr w14:val="tx1"/>
                  </w14:solidFill>
                </w14:textFill>
              </w:rPr>
              <w:t>常州市宏宝生物科技有限公司</w:t>
            </w:r>
            <w:r>
              <w:rPr>
                <w:rFonts w:hint="eastAsia" w:cs="宋体"/>
                <w:color w:val="000000" w:themeColor="text1"/>
                <w:kern w:val="0"/>
                <w:sz w:val="21"/>
                <w:szCs w:val="21"/>
                <w:highlight w:val="none"/>
                <w:lang w:val="en-US" w:eastAsia="zh-CN"/>
                <w14:textFill>
                  <w14:solidFill>
                    <w14:schemeClr w14:val="tx1"/>
                  </w14:solidFill>
                </w14:textFill>
              </w:rPr>
              <w:t>资源化处置</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4078FF7B">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畜禽屠宰内脏摘除过程中，其中肠胃内含有未消化的食物残留应将其进行去除并清洗干净。牲畜屠宰前需静养，不进行投食，则肠胃内容物按粪便产生量的</w:t>
            </w:r>
            <w:r>
              <w:rPr>
                <w:rFonts w:hint="eastAsia" w:cs="宋体"/>
                <w:color w:val="000000" w:themeColor="text1"/>
                <w:kern w:val="0"/>
                <w:sz w:val="21"/>
                <w:szCs w:val="21"/>
                <w:highlight w:val="none"/>
                <w:lang w:val="en-US" w:eastAsia="zh-CN"/>
                <w14:textFill>
                  <w14:solidFill>
                    <w14:schemeClr w14:val="tx1"/>
                  </w14:solidFill>
                </w14:textFill>
              </w:rPr>
              <w:t>一半</w:t>
            </w:r>
            <w:r>
              <w:rPr>
                <w:rFonts w:hint="eastAsia" w:ascii="Times New Roman" w:hAnsi="Times New Roman" w:eastAsia="宋体" w:cs="宋体"/>
                <w:color w:val="000000" w:themeColor="text1"/>
                <w:kern w:val="0"/>
                <w:sz w:val="21"/>
                <w:szCs w:val="21"/>
                <w:highlight w:val="none"/>
                <w14:textFill>
                  <w14:solidFill>
                    <w14:schemeClr w14:val="tx1"/>
                  </w14:solidFill>
                </w14:textFill>
              </w:rPr>
              <w:t>计</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则一期项目胃容物产生量为38.08t/a</w:t>
            </w:r>
            <w:r>
              <w:rPr>
                <w:rFonts w:hint="eastAsia" w:ascii="Times New Roman" w:hAnsi="Times New Roman" w:eastAsia="宋体" w:cs="宋体"/>
                <w:color w:val="000000" w:themeColor="text1"/>
                <w:kern w:val="0"/>
                <w:sz w:val="21"/>
                <w:szCs w:val="21"/>
                <w:highlight w:val="none"/>
                <w14:textFill>
                  <w14:solidFill>
                    <w14:schemeClr w14:val="tx1"/>
                  </w14:solidFill>
                </w14:textFill>
              </w:rPr>
              <w:t>。肠胃内容物全部在屠宰间内通过胃容物风送系统送入密闭容器内暂存。均日产日清，由专人负责将其与粪便一并通过封闭输送车送常州市宏宝生物科技有限公司</w:t>
            </w:r>
            <w:r>
              <w:rPr>
                <w:rFonts w:hint="eastAsia" w:cs="宋体"/>
                <w:color w:val="000000" w:themeColor="text1"/>
                <w:kern w:val="0"/>
                <w:sz w:val="21"/>
                <w:szCs w:val="21"/>
                <w:highlight w:val="none"/>
                <w:lang w:val="en-US" w:eastAsia="zh-CN"/>
                <w14:textFill>
                  <w14:solidFill>
                    <w14:schemeClr w14:val="tx1"/>
                  </w14:solidFill>
                </w14:textFill>
              </w:rPr>
              <w:t>无害化</w:t>
            </w:r>
            <w:r>
              <w:rPr>
                <w:rFonts w:hint="eastAsia" w:ascii="Times New Roman" w:hAnsi="Times New Roman" w:eastAsia="宋体" w:cs="宋体"/>
                <w:color w:val="000000" w:themeColor="text1"/>
                <w:kern w:val="0"/>
                <w:sz w:val="21"/>
                <w:szCs w:val="21"/>
                <w:highlight w:val="none"/>
                <w14:textFill>
                  <w14:solidFill>
                    <w14:schemeClr w14:val="tx1"/>
                  </w14:solidFill>
                </w14:textFill>
              </w:rPr>
              <w:t>处置。</w:t>
            </w:r>
          </w:p>
          <w:p w14:paraId="39B68C26">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三腺</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根据行业经验牛三腺占比为15kg/头牛，则</w:t>
            </w:r>
            <w:r>
              <w:rPr>
                <w:rFonts w:hint="eastAsia" w:cs="宋体"/>
                <w:color w:val="000000" w:themeColor="text1"/>
                <w:sz w:val="21"/>
                <w:szCs w:val="21"/>
                <w:highlight w:val="none"/>
                <w:lang w:val="en-US" w:eastAsia="zh-CN"/>
                <w14:textFill>
                  <w14:solidFill>
                    <w14:schemeClr w14:val="tx1"/>
                  </w14:solidFill>
                </w14:textFill>
              </w:rPr>
              <w:t>一期项目三腺产生量为105t/a，</w:t>
            </w:r>
            <w:r>
              <w:rPr>
                <w:rFonts w:hint="eastAsia" w:ascii="Times New Roman" w:hAnsi="Times New Roman" w:eastAsia="宋体" w:cs="宋体"/>
                <w:color w:val="000000" w:themeColor="text1"/>
                <w:kern w:val="0"/>
                <w:sz w:val="21"/>
                <w:szCs w:val="21"/>
                <w:highlight w:val="none"/>
                <w14:textFill>
                  <w14:solidFill>
                    <w14:schemeClr w14:val="tx1"/>
                  </w14:solidFill>
                </w14:textFill>
              </w:rPr>
              <w:t>在检疫部门监督下委托常州市宏宝生物科技有限公司无害化处置</w:t>
            </w:r>
            <w:r>
              <w:rPr>
                <w:rFonts w:hint="eastAsia" w:cs="宋体"/>
                <w:color w:val="000000" w:themeColor="text1"/>
                <w:kern w:val="0"/>
                <w:sz w:val="21"/>
                <w:szCs w:val="21"/>
                <w:highlight w:val="none"/>
                <w:lang w:eastAsia="zh-CN"/>
                <w14:textFill>
                  <w14:solidFill>
                    <w14:schemeClr w14:val="tx1"/>
                  </w14:solidFill>
                </w14:textFill>
              </w:rPr>
              <w:t>。</w:t>
            </w:r>
          </w:p>
          <w:p w14:paraId="49A85E44">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废弃内脏</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类比《新源县绿色牛羊定点屠宰有限公司新源县绿色牛羊定点屠宰有限公司屠宰场建设项目》，产生量约</w:t>
            </w:r>
            <w:r>
              <w:rPr>
                <w:rFonts w:hint="eastAsia" w:cs="宋体"/>
                <w:color w:val="000000" w:themeColor="text1"/>
                <w:kern w:val="0"/>
                <w:sz w:val="21"/>
                <w:szCs w:val="21"/>
                <w:highlight w:val="none"/>
                <w:lang w:val="en-US" w:eastAsia="zh-CN"/>
                <w14:textFill>
                  <w14:solidFill>
                    <w14:schemeClr w14:val="tx1"/>
                  </w14:solidFill>
                </w14:textFill>
              </w:rPr>
              <w:t>40t/a，其中一期项目28t/a，</w:t>
            </w:r>
            <w:r>
              <w:rPr>
                <w:rFonts w:hint="eastAsia" w:ascii="Times New Roman" w:hAnsi="Times New Roman" w:eastAsia="宋体" w:cs="宋体"/>
                <w:color w:val="000000" w:themeColor="text1"/>
                <w:kern w:val="0"/>
                <w:sz w:val="21"/>
                <w:szCs w:val="21"/>
                <w:highlight w:val="none"/>
                <w14:textFill>
                  <w14:solidFill>
                    <w14:schemeClr w14:val="tx1"/>
                  </w14:solidFill>
                </w14:textFill>
              </w:rPr>
              <w:t>通过封闭输送车送常州市宏宝生物科技有限公司</w:t>
            </w:r>
            <w:r>
              <w:rPr>
                <w:rFonts w:hint="eastAsia" w:cs="宋体"/>
                <w:color w:val="000000" w:themeColor="text1"/>
                <w:kern w:val="0"/>
                <w:sz w:val="21"/>
                <w:szCs w:val="21"/>
                <w:highlight w:val="none"/>
                <w:lang w:val="en-US" w:eastAsia="zh-CN"/>
                <w14:textFill>
                  <w14:solidFill>
                    <w14:schemeClr w14:val="tx1"/>
                  </w14:solidFill>
                </w14:textFill>
              </w:rPr>
              <w:t>无害化</w:t>
            </w:r>
            <w:r>
              <w:rPr>
                <w:rFonts w:hint="eastAsia" w:ascii="Times New Roman" w:hAnsi="Times New Roman" w:eastAsia="宋体" w:cs="宋体"/>
                <w:color w:val="000000" w:themeColor="text1"/>
                <w:kern w:val="0"/>
                <w:sz w:val="21"/>
                <w:szCs w:val="21"/>
                <w:highlight w:val="none"/>
                <w14:textFill>
                  <w14:solidFill>
                    <w14:schemeClr w14:val="tx1"/>
                  </w14:solidFill>
                </w14:textFill>
              </w:rPr>
              <w:t>化处置。</w:t>
            </w:r>
          </w:p>
          <w:p w14:paraId="5F868F4D">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废肉渣</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碎肉骨</w:t>
            </w:r>
            <w:r>
              <w:rPr>
                <w:rFonts w:hint="eastAsia"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本项目酱卤肉生产过程中会有废肉渣产生，类比《苏州东悦食品有限公司新建食品加工项目》，产生量约</w:t>
            </w:r>
            <w:r>
              <w:rPr>
                <w:rFonts w:hint="eastAsia" w:cs="宋体"/>
                <w:color w:val="000000" w:themeColor="text1"/>
                <w:kern w:val="0"/>
                <w:sz w:val="21"/>
                <w:szCs w:val="21"/>
                <w:highlight w:val="none"/>
                <w:lang w:val="en-US" w:eastAsia="zh-CN"/>
                <w14:textFill>
                  <w14:solidFill>
                    <w14:schemeClr w14:val="tx1"/>
                  </w14:solidFill>
                </w14:textFill>
              </w:rPr>
              <w:t>5t/a</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委托</w:t>
            </w:r>
            <w:r>
              <w:rPr>
                <w:rFonts w:hint="eastAsia" w:ascii="Times New Roman" w:hAnsi="Times New Roman" w:eastAsia="宋体" w:cs="宋体"/>
                <w:color w:val="000000" w:themeColor="text1"/>
                <w:kern w:val="0"/>
                <w:sz w:val="21"/>
                <w:szCs w:val="21"/>
                <w:highlight w:val="none"/>
                <w14:textFill>
                  <w14:solidFill>
                    <w14:schemeClr w14:val="tx1"/>
                  </w14:solidFill>
                </w14:textFill>
              </w:rPr>
              <w:t>常州市宏宝生物科技有限公司</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无害化处置</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7AFFC29A">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废卤料</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本项目酱卤肉生产过程中会有废卤料产生，类比《苏州东悦食品有限公司新建食品加工项目》，产生量约5.7ta，</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委托</w:t>
            </w:r>
            <w:r>
              <w:rPr>
                <w:rFonts w:hint="eastAsia" w:cs="宋体"/>
                <w:color w:val="000000" w:themeColor="text1"/>
                <w:kern w:val="0"/>
                <w:sz w:val="21"/>
                <w:szCs w:val="21"/>
                <w:highlight w:val="none"/>
                <w:lang w:val="en-US" w:eastAsia="zh-CN"/>
                <w14:textFill>
                  <w14:solidFill>
                    <w14:schemeClr w14:val="tx1"/>
                  </w14:solidFill>
                </w14:textFill>
              </w:rPr>
              <w:t>环卫部门</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处置</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53C33BD2">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污水处理污泥</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根据《屠宰与肉类加工废水治理工程技术规范》“</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6.6</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污泥处理单元”中，不同处理工艺产生的剩余污泥量</w:t>
            </w:r>
            <w:r>
              <w:rPr>
                <w:rFonts w:hint="eastAsia" w:cs="宋体"/>
                <w:color w:val="000000" w:themeColor="text1"/>
                <w:kern w:val="0"/>
                <w:sz w:val="21"/>
                <w:szCs w:val="21"/>
                <w:highlight w:val="none"/>
                <w:lang w:val="en-US" w:eastAsia="zh-CN"/>
                <w14:textFill>
                  <w14:solidFill>
                    <w14:schemeClr w14:val="tx1"/>
                  </w14:solidFill>
                </w14:textFill>
              </w:rPr>
              <w:t>（</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DS/BOD</w:t>
            </w:r>
            <w:r>
              <w:rPr>
                <w:rFonts w:hint="default" w:ascii="Times New Roman" w:hAnsi="Times New Roman" w:eastAsia="宋体" w:cs="宋体"/>
                <w:color w:val="000000" w:themeColor="text1"/>
                <w:kern w:val="0"/>
                <w:sz w:val="21"/>
                <w:szCs w:val="21"/>
                <w:highlight w:val="none"/>
                <w:vertAlign w:val="subscript"/>
                <w:lang w:val="en-US" w:eastAsia="zh-CN"/>
                <w14:textFill>
                  <w14:solidFill>
                    <w14:schemeClr w14:val="tx1"/>
                  </w14:solidFill>
                </w14:textFill>
              </w:rPr>
              <w:t>5</w:t>
            </w:r>
            <w:r>
              <w:rPr>
                <w:rFonts w:hint="eastAsia"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不同，一般可按</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0.3~0.5kgDS/kgBOD</w:t>
            </w:r>
            <w:r>
              <w:rPr>
                <w:rFonts w:hint="default" w:ascii="Times New Roman" w:hAnsi="Times New Roman" w:eastAsia="宋体" w:cs="宋体"/>
                <w:color w:val="000000" w:themeColor="text1"/>
                <w:kern w:val="0"/>
                <w:sz w:val="21"/>
                <w:szCs w:val="21"/>
                <w:highlight w:val="none"/>
                <w:vertAlign w:val="subscript"/>
                <w:lang w:val="en-US" w:eastAsia="zh-CN"/>
                <w14:textFill>
                  <w14:solidFill>
                    <w14:schemeClr w14:val="tx1"/>
                  </w14:solidFill>
                </w14:textFill>
              </w:rPr>
              <w:t>5</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设计，本环评污泥产泥系数取</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0.4kgDS/kgBOD</w:t>
            </w:r>
            <w:r>
              <w:rPr>
                <w:rFonts w:hint="default" w:ascii="Times New Roman" w:hAnsi="Times New Roman" w:eastAsia="宋体" w:cs="宋体"/>
                <w:color w:val="000000" w:themeColor="text1"/>
                <w:kern w:val="0"/>
                <w:sz w:val="21"/>
                <w:szCs w:val="21"/>
                <w:highlight w:val="none"/>
                <w:vertAlign w:val="subscript"/>
                <w:lang w:val="en-US" w:eastAsia="zh-CN"/>
                <w14:textFill>
                  <w14:solidFill>
                    <w14:schemeClr w14:val="tx1"/>
                  </w14:solidFill>
                </w14:textFill>
              </w:rPr>
              <w:t>5</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本</w:t>
            </w:r>
            <w:r>
              <w:rPr>
                <w:rFonts w:hint="eastAsia" w:ascii="Times New Roman" w:hAnsi="Times New Roman" w:eastAsia="宋体" w:cs="宋体"/>
                <w:color w:val="000000" w:themeColor="text1"/>
                <w:kern w:val="0"/>
                <w:sz w:val="21"/>
                <w:szCs w:val="21"/>
                <w:highlight w:val="none"/>
                <w14:textFill>
                  <w14:solidFill>
                    <w14:schemeClr w14:val="tx1"/>
                  </w14:solidFill>
                </w14:textFill>
              </w:rPr>
              <w:t>项目</w:t>
            </w:r>
            <w:r>
              <w:rPr>
                <w:rFonts w:hint="eastAsia" w:cs="宋体"/>
                <w:color w:val="000000" w:themeColor="text1"/>
                <w:kern w:val="0"/>
                <w:sz w:val="21"/>
                <w:szCs w:val="21"/>
                <w:highlight w:val="none"/>
                <w:lang w:val="en-US" w:eastAsia="zh-CN"/>
                <w14:textFill>
                  <w14:solidFill>
                    <w14:schemeClr w14:val="tx1"/>
                  </w14:solidFill>
                </w14:textFill>
              </w:rPr>
              <w:t>BOD</w:t>
            </w:r>
            <w:r>
              <w:rPr>
                <w:rFonts w:hint="eastAsia" w:cs="宋体"/>
                <w:color w:val="000000" w:themeColor="text1"/>
                <w:kern w:val="0"/>
                <w:sz w:val="21"/>
                <w:szCs w:val="21"/>
                <w:highlight w:val="none"/>
                <w:vertAlign w:val="subscript"/>
                <w:lang w:val="en-US" w:eastAsia="zh-CN"/>
                <w14:textFill>
                  <w14:solidFill>
                    <w14:schemeClr w14:val="tx1"/>
                  </w14:solidFill>
                </w14:textFill>
              </w:rPr>
              <w:t>5</w:t>
            </w:r>
            <w:r>
              <w:rPr>
                <w:rFonts w:hint="eastAsia" w:cs="宋体"/>
                <w:color w:val="000000" w:themeColor="text1"/>
                <w:kern w:val="0"/>
                <w:sz w:val="21"/>
                <w:szCs w:val="21"/>
                <w:highlight w:val="none"/>
                <w:vertAlign w:val="baseline"/>
                <w:lang w:val="en-US" w:eastAsia="zh-CN"/>
                <w14:textFill>
                  <w14:solidFill>
                    <w14:schemeClr w14:val="tx1"/>
                  </w14:solidFill>
                </w14:textFill>
              </w:rPr>
              <w:t>处理</w:t>
            </w:r>
            <w:r>
              <w:rPr>
                <w:rFonts w:hint="eastAsia" w:ascii="Times New Roman" w:hAnsi="Times New Roman" w:eastAsia="宋体" w:cs="宋体"/>
                <w:color w:val="000000" w:themeColor="text1"/>
                <w:kern w:val="0"/>
                <w:sz w:val="21"/>
                <w:szCs w:val="21"/>
                <w:highlight w:val="none"/>
                <w14:textFill>
                  <w14:solidFill>
                    <w14:schemeClr w14:val="tx1"/>
                  </w14:solidFill>
                </w14:textFill>
              </w:rPr>
              <w:t>量为</w:t>
            </w:r>
            <w:r>
              <w:rPr>
                <w:rFonts w:hint="eastAsia" w:cs="宋体"/>
                <w:color w:val="000000" w:themeColor="text1"/>
                <w:kern w:val="0"/>
                <w:sz w:val="21"/>
                <w:szCs w:val="21"/>
                <w:highlight w:val="none"/>
                <w:lang w:val="en-US" w:eastAsia="zh-CN"/>
                <w14:textFill>
                  <w14:solidFill>
                    <w14:schemeClr w14:val="tx1"/>
                  </w14:solidFill>
                </w14:textFill>
              </w:rPr>
              <w:t>6.4718t/a</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则干污泥产生量为2.589t/a</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。根据设计资料，废水处理系统年加药剂（絮凝剂、混凝剂）共</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2t/a</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，参考同类项目，药剂产生污泥量为药剂用量的</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30%</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即0.6t/a，</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则</w:t>
            </w:r>
            <w:r>
              <w:rPr>
                <w:rFonts w:hint="eastAsia" w:cs="宋体"/>
                <w:color w:val="000000" w:themeColor="text1"/>
                <w:kern w:val="0"/>
                <w:sz w:val="21"/>
                <w:szCs w:val="21"/>
                <w:highlight w:val="none"/>
                <w:lang w:val="en-US" w:eastAsia="zh-CN"/>
                <w14:textFill>
                  <w14:solidFill>
                    <w14:schemeClr w14:val="tx1"/>
                  </w14:solidFill>
                </w14:textFill>
              </w:rPr>
              <w:t>一期项目</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废水处理过程中因为药剂投加产生的干泥重</w:t>
            </w:r>
            <w:r>
              <w:rPr>
                <w:rFonts w:hint="eastAsia" w:cs="宋体"/>
                <w:color w:val="000000" w:themeColor="text1"/>
                <w:kern w:val="0"/>
                <w:sz w:val="21"/>
                <w:szCs w:val="21"/>
                <w:highlight w:val="none"/>
                <w:lang w:val="en-US" w:eastAsia="zh-CN"/>
                <w14:textFill>
                  <w14:solidFill>
                    <w14:schemeClr w14:val="tx1"/>
                  </w14:solidFill>
                </w14:textFill>
              </w:rPr>
              <w:t>为3.818</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t/a</w:t>
            </w:r>
            <w:r>
              <w:rPr>
                <w:rFonts w:hint="eastAsia" w:cs="宋体"/>
                <w:color w:val="000000" w:themeColor="text1"/>
                <w:kern w:val="0"/>
                <w:sz w:val="21"/>
                <w:szCs w:val="21"/>
                <w:highlight w:val="none"/>
                <w:lang w:val="en-US"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采用</w:t>
            </w:r>
            <w:r>
              <w:rPr>
                <w:rFonts w:hint="eastAsia" w:cs="宋体"/>
                <w:color w:val="000000" w:themeColor="text1"/>
                <w:kern w:val="0"/>
                <w:sz w:val="21"/>
                <w:szCs w:val="21"/>
                <w:highlight w:val="none"/>
                <w:lang w:val="en-US" w:eastAsia="zh-CN"/>
                <w14:textFill>
                  <w14:solidFill>
                    <w14:schemeClr w14:val="tx1"/>
                  </w14:solidFill>
                </w14:textFill>
              </w:rPr>
              <w:t>板框压滤机</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脱水后其含水率为</w:t>
            </w:r>
            <w:r>
              <w:rPr>
                <w:rFonts w:hint="eastAsia" w:cs="宋体"/>
                <w:color w:val="000000" w:themeColor="text1"/>
                <w:kern w:val="0"/>
                <w:sz w:val="21"/>
                <w:szCs w:val="21"/>
                <w:highlight w:val="none"/>
                <w:lang w:val="en-US" w:eastAsia="zh-CN"/>
                <w14:textFill>
                  <w14:solidFill>
                    <w14:schemeClr w14:val="tx1"/>
                  </w14:solidFill>
                </w14:textFill>
              </w:rPr>
              <w:t>7</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0%</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，则</w:t>
            </w:r>
            <w:r>
              <w:rPr>
                <w:rFonts w:hint="eastAsia" w:cs="宋体"/>
                <w:color w:val="000000" w:themeColor="text1"/>
                <w:kern w:val="0"/>
                <w:sz w:val="21"/>
                <w:szCs w:val="21"/>
                <w:highlight w:val="none"/>
                <w:lang w:val="en-US" w:eastAsia="zh-CN"/>
                <w14:textFill>
                  <w14:solidFill>
                    <w14:schemeClr w14:val="tx1"/>
                  </w14:solidFill>
                </w14:textFill>
              </w:rPr>
              <w:t>一期</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污泥产生量为</w:t>
            </w:r>
            <w:r>
              <w:rPr>
                <w:rFonts w:hint="eastAsia" w:cs="宋体"/>
                <w:color w:val="000000" w:themeColor="text1"/>
                <w:kern w:val="0"/>
                <w:sz w:val="21"/>
                <w:szCs w:val="21"/>
                <w:highlight w:val="none"/>
                <w:lang w:val="en-US" w:eastAsia="zh-CN"/>
                <w14:textFill>
                  <w14:solidFill>
                    <w14:schemeClr w14:val="tx1"/>
                  </w14:solidFill>
                </w14:textFill>
              </w:rPr>
              <w:t>9.545</w:t>
            </w:r>
            <w: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t>t/a</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。污泥经消毒脱水后暂存于厂区一般固废暂存间，定期运往水泥厂协同处置或垃圾焚烧厂焚烧处理。</w:t>
            </w:r>
          </w:p>
          <w:p w14:paraId="661D2760">
            <w:pPr>
              <w:autoSpaceDE w:val="0"/>
              <w:autoSpaceDN w:val="0"/>
              <w:spacing w:line="360" w:lineRule="auto"/>
              <w:ind w:firstLine="420" w:firstLineChars="200"/>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废过滤材料：污水处理站会产生废弃的过滤膜以及废活性炭，产生量约为2t/a，外售处置</w:t>
            </w:r>
          </w:p>
          <w:p w14:paraId="248B5DF6">
            <w:pPr>
              <w:autoSpaceDE w:val="0"/>
              <w:autoSpaceDN w:val="0"/>
              <w:spacing w:line="360" w:lineRule="auto"/>
              <w:ind w:firstLine="420" w:firstLineChars="200"/>
              <w:rPr>
                <w:rFonts w:hint="eastAsia"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检疫废物</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检疫过程中产生的检测卡、采血管等，产生量约0.05t/a</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7A7EA2B4">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21</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固体废物分析结果汇总表</w:t>
            </w:r>
          </w:p>
          <w:tbl>
            <w:tblPr>
              <w:tblStyle w:val="24"/>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327"/>
              <w:gridCol w:w="451"/>
              <w:gridCol w:w="895"/>
              <w:gridCol w:w="451"/>
              <w:gridCol w:w="1556"/>
              <w:gridCol w:w="598"/>
              <w:gridCol w:w="1163"/>
              <w:gridCol w:w="697"/>
              <w:gridCol w:w="1113"/>
            </w:tblGrid>
            <w:tr w14:paraId="2B062B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vAlign w:val="center"/>
                </w:tcPr>
                <w:p w14:paraId="669E3A0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固废名称</w:t>
                  </w:r>
                </w:p>
              </w:tc>
              <w:tc>
                <w:tcPr>
                  <w:tcW w:w="273" w:type="pct"/>
                  <w:vAlign w:val="center"/>
                </w:tcPr>
                <w:p w14:paraId="29342A53">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属性</w:t>
                  </w:r>
                </w:p>
              </w:tc>
              <w:tc>
                <w:tcPr>
                  <w:tcW w:w="542" w:type="pct"/>
                  <w:vAlign w:val="center"/>
                </w:tcPr>
                <w:p w14:paraId="3C576F53">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产生工序</w:t>
                  </w:r>
                </w:p>
              </w:tc>
              <w:tc>
                <w:tcPr>
                  <w:tcW w:w="273" w:type="pct"/>
                  <w:vAlign w:val="center"/>
                </w:tcPr>
                <w:p w14:paraId="32CFA3E6">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形态</w:t>
                  </w:r>
                </w:p>
              </w:tc>
              <w:tc>
                <w:tcPr>
                  <w:tcW w:w="942" w:type="pct"/>
                  <w:vAlign w:val="center"/>
                </w:tcPr>
                <w:p w14:paraId="398B295F">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主要成分</w:t>
                  </w:r>
                </w:p>
              </w:tc>
              <w:tc>
                <w:tcPr>
                  <w:tcW w:w="362" w:type="pct"/>
                  <w:vAlign w:val="center"/>
                </w:tcPr>
                <w:p w14:paraId="7E9339C8">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废物类别</w:t>
                  </w:r>
                </w:p>
              </w:tc>
              <w:tc>
                <w:tcPr>
                  <w:tcW w:w="704" w:type="pct"/>
                  <w:vAlign w:val="center"/>
                </w:tcPr>
                <w:p w14:paraId="23F66AC4">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废物代码</w:t>
                  </w:r>
                </w:p>
              </w:tc>
              <w:tc>
                <w:tcPr>
                  <w:tcW w:w="422" w:type="pct"/>
                  <w:vAlign w:val="center"/>
                </w:tcPr>
                <w:p w14:paraId="6AA528FB">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预测产生量（t/a）</w:t>
                  </w:r>
                </w:p>
              </w:tc>
              <w:tc>
                <w:tcPr>
                  <w:tcW w:w="674" w:type="pct"/>
                  <w:vAlign w:val="center"/>
                </w:tcPr>
                <w:p w14:paraId="0FFD1019">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处置方式及去向</w:t>
                  </w:r>
                </w:p>
              </w:tc>
            </w:tr>
            <w:tr w14:paraId="581821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7534E26C">
                  <w:pPr>
                    <w:snapToGrid w:val="0"/>
                    <w:jc w:val="center"/>
                    <w:rPr>
                      <w:rFonts w:hint="eastAsia"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t>病死牛、不合格胴体</w:t>
                  </w:r>
                </w:p>
              </w:tc>
              <w:tc>
                <w:tcPr>
                  <w:tcW w:w="273" w:type="pct"/>
                  <w:vMerge w:val="restart"/>
                  <w:vAlign w:val="center"/>
                </w:tcPr>
                <w:p w14:paraId="4EB057A9">
                  <w:pPr>
                    <w:snapToGrid w:val="0"/>
                    <w:jc w:val="center"/>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一般固废</w:t>
                  </w:r>
                </w:p>
              </w:tc>
              <w:tc>
                <w:tcPr>
                  <w:tcW w:w="542" w:type="pct"/>
                  <w:shd w:val="clear" w:color="auto" w:fill="auto"/>
                  <w:vAlign w:val="center"/>
                </w:tcPr>
                <w:p w14:paraId="24368BBC">
                  <w:pPr>
                    <w:snapToGrid w:val="0"/>
                    <w:jc w:val="center"/>
                    <w:rPr>
                      <w:rFonts w:hint="default" w:ascii="Times New Roman" w:hAnsi="Times New Roman" w:eastAsia="宋体" w:cs="Times New Roman"/>
                      <w:b w:val="0"/>
                      <w:bCs w:val="0"/>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宰前检验、处理、宰后检验</w:t>
                  </w:r>
                </w:p>
              </w:tc>
              <w:tc>
                <w:tcPr>
                  <w:tcW w:w="273" w:type="pct"/>
                  <w:shd w:val="clear" w:color="auto" w:fill="auto"/>
                  <w:vAlign w:val="center"/>
                </w:tcPr>
                <w:p w14:paraId="5C13895F">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41BA990E">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病害肉、组织</w:t>
                  </w:r>
                </w:p>
              </w:tc>
              <w:tc>
                <w:tcPr>
                  <w:tcW w:w="362" w:type="pct"/>
                  <w:vAlign w:val="center"/>
                </w:tcPr>
                <w:p w14:paraId="69488DE1">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SW82</w:t>
                  </w:r>
                </w:p>
              </w:tc>
              <w:tc>
                <w:tcPr>
                  <w:tcW w:w="704" w:type="pct"/>
                  <w:vAlign w:val="center"/>
                </w:tcPr>
                <w:p w14:paraId="7E988422">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030-002-S82</w:t>
                  </w:r>
                </w:p>
              </w:tc>
              <w:tc>
                <w:tcPr>
                  <w:tcW w:w="422" w:type="pct"/>
                  <w:vAlign w:val="center"/>
                </w:tcPr>
                <w:p w14:paraId="5AF82E18">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0.23</w:t>
                  </w:r>
                </w:p>
              </w:tc>
              <w:tc>
                <w:tcPr>
                  <w:tcW w:w="674" w:type="pct"/>
                  <w:vAlign w:val="center"/>
                </w:tcPr>
                <w:p w14:paraId="13CF7927">
                  <w:pPr>
                    <w:snapToGrid w:val="0"/>
                    <w:jc w:val="center"/>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t>委托专业机构无害化处置</w:t>
                  </w:r>
                </w:p>
              </w:tc>
            </w:tr>
            <w:tr w14:paraId="64156A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vAlign w:val="center"/>
                </w:tcPr>
                <w:p w14:paraId="104A86CF">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待宰圈牛粪便</w:t>
                  </w:r>
                </w:p>
              </w:tc>
              <w:tc>
                <w:tcPr>
                  <w:tcW w:w="273" w:type="pct"/>
                  <w:vMerge w:val="continue"/>
                  <w:vAlign w:val="center"/>
                </w:tcPr>
                <w:p w14:paraId="762AA7C2">
                  <w:pPr>
                    <w:snapToGrid w:val="0"/>
                    <w:jc w:val="center"/>
                    <w:rPr>
                      <w:rFonts w:ascii="Times New Roman" w:hAnsi="Times New Roman" w:eastAsia="宋体" w:cs="宋体"/>
                      <w:b w:val="0"/>
                      <w:bCs w:val="0"/>
                      <w:color w:val="000000" w:themeColor="text1"/>
                      <w:sz w:val="21"/>
                      <w:szCs w:val="21"/>
                      <w:highlight w:val="none"/>
                      <w14:textFill>
                        <w14:solidFill>
                          <w14:schemeClr w14:val="tx1"/>
                        </w14:solidFill>
                      </w14:textFill>
                    </w:rPr>
                  </w:pPr>
                </w:p>
              </w:tc>
              <w:tc>
                <w:tcPr>
                  <w:tcW w:w="542" w:type="pct"/>
                  <w:shd w:val="clear" w:color="auto" w:fill="auto"/>
                  <w:vAlign w:val="center"/>
                </w:tcPr>
                <w:p w14:paraId="391ACD3C">
                  <w:pPr>
                    <w:snapToGrid w:val="0"/>
                    <w:jc w:val="center"/>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宰前检验、处理</w:t>
                  </w:r>
                </w:p>
              </w:tc>
              <w:tc>
                <w:tcPr>
                  <w:tcW w:w="273" w:type="pct"/>
                  <w:vAlign w:val="center"/>
                </w:tcPr>
                <w:p w14:paraId="41959395">
                  <w:pPr>
                    <w:snapToGrid w:val="0"/>
                    <w:jc w:val="center"/>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vAlign w:val="center"/>
                </w:tcPr>
                <w:p w14:paraId="27A61686">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粪便</w:t>
                  </w:r>
                </w:p>
              </w:tc>
              <w:tc>
                <w:tcPr>
                  <w:tcW w:w="362" w:type="pct"/>
                  <w:shd w:val="clear" w:color="auto" w:fill="auto"/>
                  <w:vAlign w:val="center"/>
                </w:tcPr>
                <w:p w14:paraId="26E6CEDD">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SW82</w:t>
                  </w:r>
                </w:p>
              </w:tc>
              <w:tc>
                <w:tcPr>
                  <w:tcW w:w="704" w:type="pct"/>
                  <w:shd w:val="clear" w:color="auto" w:fill="auto"/>
                  <w:vAlign w:val="center"/>
                </w:tcPr>
                <w:p w14:paraId="5C218C7A">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030-001-S82</w:t>
                  </w:r>
                </w:p>
              </w:tc>
              <w:tc>
                <w:tcPr>
                  <w:tcW w:w="422" w:type="pct"/>
                  <w:vAlign w:val="center"/>
                </w:tcPr>
                <w:p w14:paraId="36AEB638">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76.16</w:t>
                  </w:r>
                </w:p>
              </w:tc>
              <w:tc>
                <w:tcPr>
                  <w:tcW w:w="674" w:type="pct"/>
                  <w:vAlign w:val="center"/>
                </w:tcPr>
                <w:p w14:paraId="43229F99">
                  <w:pPr>
                    <w:autoSpaceDE w:val="0"/>
                    <w:autoSpaceDN w:val="0"/>
                    <w:snapToGrid w:val="0"/>
                    <w:jc w:val="center"/>
                    <w:rPr>
                      <w:rFonts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有机肥加工厂综合利用</w:t>
                  </w:r>
                </w:p>
              </w:tc>
            </w:tr>
            <w:tr w14:paraId="00F948D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563D9E1B">
                  <w:pPr>
                    <w:snapToGrid w:val="0"/>
                    <w:jc w:val="center"/>
                    <w:rPr>
                      <w:rFonts w:hint="default" w:ascii="Times New Roman" w:hAnsi="Times New Roman"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胃容物</w:t>
                  </w:r>
                </w:p>
              </w:tc>
              <w:tc>
                <w:tcPr>
                  <w:tcW w:w="273" w:type="pct"/>
                  <w:vMerge w:val="continue"/>
                  <w:shd w:val="clear" w:color="auto" w:fill="auto"/>
                  <w:vAlign w:val="center"/>
                </w:tcPr>
                <w:p w14:paraId="0C888B13">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p>
              </w:tc>
              <w:tc>
                <w:tcPr>
                  <w:tcW w:w="542" w:type="pct"/>
                  <w:shd w:val="clear" w:color="auto" w:fill="auto"/>
                  <w:vAlign w:val="center"/>
                </w:tcPr>
                <w:p w14:paraId="25122180">
                  <w:pPr>
                    <w:snapToGrid w:val="0"/>
                    <w:jc w:val="center"/>
                    <w:rPr>
                      <w:rFonts w:hint="default" w:ascii="Times New Roman" w:hAnsi="Times New Roman" w:eastAsia="宋体" w:cs="宋体"/>
                      <w:b w:val="0"/>
                      <w:bCs w:val="0"/>
                      <w:color w:val="000000" w:themeColor="text1"/>
                      <w:kern w:val="0"/>
                      <w:sz w:val="21"/>
                      <w:szCs w:val="21"/>
                      <w:highlight w:val="none"/>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锯胸骨、剖腹</w:t>
                  </w:r>
                </w:p>
              </w:tc>
              <w:tc>
                <w:tcPr>
                  <w:tcW w:w="273" w:type="pct"/>
                  <w:shd w:val="clear" w:color="auto" w:fill="auto"/>
                  <w:vAlign w:val="center"/>
                </w:tcPr>
                <w:p w14:paraId="56019748">
                  <w:pPr>
                    <w:snapToGrid w:val="0"/>
                    <w:jc w:val="center"/>
                    <w:rPr>
                      <w:rFonts w:hint="eastAsia" w:ascii="Times New Roman" w:hAnsi="Times New Roman" w:cs="宋体"/>
                      <w:b w:val="0"/>
                      <w:bCs w:val="0"/>
                      <w:color w:val="000000" w:themeColor="text1"/>
                      <w:sz w:val="21"/>
                      <w:szCs w:val="21"/>
                      <w:highlight w:val="none"/>
                      <w:lang w:val="en-US" w:eastAsia="zh-CN"/>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0B341857">
                  <w:pPr>
                    <w:snapToGrid w:val="0"/>
                    <w:jc w:val="center"/>
                    <w:rPr>
                      <w:rFonts w:hint="default" w:ascii="Times New Roman" w:hAnsi="Times New Roman"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粪便</w:t>
                  </w:r>
                </w:p>
              </w:tc>
              <w:tc>
                <w:tcPr>
                  <w:tcW w:w="362" w:type="pct"/>
                  <w:shd w:val="clear" w:color="auto" w:fill="auto"/>
                  <w:vAlign w:val="center"/>
                </w:tcPr>
                <w:p w14:paraId="684A8CE0">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SW82</w:t>
                  </w:r>
                </w:p>
              </w:tc>
              <w:tc>
                <w:tcPr>
                  <w:tcW w:w="704" w:type="pct"/>
                  <w:shd w:val="clear" w:color="auto" w:fill="auto"/>
                  <w:vAlign w:val="center"/>
                </w:tcPr>
                <w:p w14:paraId="044C10E5">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030-001-S82</w:t>
                  </w:r>
                </w:p>
              </w:tc>
              <w:tc>
                <w:tcPr>
                  <w:tcW w:w="422" w:type="pct"/>
                  <w:shd w:val="clear" w:color="auto" w:fill="auto"/>
                  <w:vAlign w:val="center"/>
                </w:tcPr>
                <w:p w14:paraId="2FDF9D40">
                  <w:pPr>
                    <w:snapToGrid w:val="0"/>
                    <w:jc w:val="center"/>
                    <w:rPr>
                      <w:rFonts w:hint="default" w:ascii="Times New Roman" w:hAnsi="Times New Roman"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kern w:val="2"/>
                      <w:sz w:val="21"/>
                      <w:szCs w:val="21"/>
                      <w:highlight w:val="none"/>
                      <w:lang w:val="en-US" w:eastAsia="zh-CN" w:bidi="ar-SA"/>
                      <w14:textFill>
                        <w14:solidFill>
                          <w14:schemeClr w14:val="tx1"/>
                        </w14:solidFill>
                      </w14:textFill>
                    </w:rPr>
                    <w:t>38.08</w:t>
                  </w:r>
                </w:p>
              </w:tc>
              <w:tc>
                <w:tcPr>
                  <w:tcW w:w="674" w:type="pct"/>
                  <w:vAlign w:val="center"/>
                </w:tcPr>
                <w:p w14:paraId="2463B669">
                  <w:pPr>
                    <w:autoSpaceDE w:val="0"/>
                    <w:autoSpaceDN w:val="0"/>
                    <w:snapToGrid w:val="0"/>
                    <w:jc w:val="center"/>
                    <w:rPr>
                      <w:rFonts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有机肥加工厂综合利用</w:t>
                  </w:r>
                </w:p>
              </w:tc>
            </w:tr>
            <w:tr w14:paraId="24E900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57EF48F9">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三腺</w:t>
                  </w:r>
                </w:p>
              </w:tc>
              <w:tc>
                <w:tcPr>
                  <w:tcW w:w="273" w:type="pct"/>
                  <w:vMerge w:val="continue"/>
                  <w:shd w:val="clear" w:color="auto" w:fill="auto"/>
                  <w:vAlign w:val="center"/>
                </w:tcPr>
                <w:p w14:paraId="06272455">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p>
              </w:tc>
              <w:tc>
                <w:tcPr>
                  <w:tcW w:w="542" w:type="pct"/>
                  <w:shd w:val="clear" w:color="auto" w:fill="auto"/>
                  <w:vAlign w:val="center"/>
                </w:tcPr>
                <w:p w14:paraId="17233DFC">
                  <w:pPr>
                    <w:snapToGrid w:val="0"/>
                    <w:jc w:val="center"/>
                    <w:rPr>
                      <w:rFonts w:hint="default" w:ascii="Times New Roman" w:hAnsi="Times New Roman" w:eastAsia="宋体" w:cs="宋体"/>
                      <w:b w:val="0"/>
                      <w:bCs w:val="0"/>
                      <w:color w:val="000000" w:themeColor="text1"/>
                      <w:kern w:val="0"/>
                      <w:sz w:val="21"/>
                      <w:szCs w:val="21"/>
                      <w:highlight w:val="none"/>
                      <w:lang w:val="en-US" w:eastAsia="zh-CN"/>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锯胸骨、剖腹</w:t>
                  </w:r>
                </w:p>
              </w:tc>
              <w:tc>
                <w:tcPr>
                  <w:tcW w:w="273" w:type="pct"/>
                  <w:shd w:val="clear" w:color="auto" w:fill="auto"/>
                  <w:vAlign w:val="center"/>
                </w:tcPr>
                <w:p w14:paraId="3182AE9D">
                  <w:pPr>
                    <w:snapToGrid w:val="0"/>
                    <w:jc w:val="center"/>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26B19575">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腺体</w:t>
                  </w:r>
                </w:p>
              </w:tc>
              <w:tc>
                <w:tcPr>
                  <w:tcW w:w="362" w:type="pct"/>
                  <w:shd w:val="clear" w:color="auto" w:fill="auto"/>
                  <w:vAlign w:val="center"/>
                </w:tcPr>
                <w:p w14:paraId="041435BA">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SW13</w:t>
                  </w:r>
                </w:p>
              </w:tc>
              <w:tc>
                <w:tcPr>
                  <w:tcW w:w="704" w:type="pct"/>
                  <w:shd w:val="clear" w:color="auto" w:fill="auto"/>
                  <w:vAlign w:val="center"/>
                </w:tcPr>
                <w:p w14:paraId="62A0A5DE">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135-001-S13</w:t>
                  </w:r>
                </w:p>
              </w:tc>
              <w:tc>
                <w:tcPr>
                  <w:tcW w:w="422" w:type="pct"/>
                  <w:shd w:val="clear" w:color="auto" w:fill="auto"/>
                  <w:vAlign w:val="center"/>
                </w:tcPr>
                <w:p w14:paraId="351FFE77">
                  <w:pPr>
                    <w:snapToGrid w:val="0"/>
                    <w:jc w:val="center"/>
                    <w:rPr>
                      <w:rFonts w:hint="default"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kern w:val="2"/>
                      <w:sz w:val="21"/>
                      <w:szCs w:val="21"/>
                      <w:highlight w:val="none"/>
                      <w:lang w:val="en-US" w:eastAsia="zh-CN" w:bidi="ar-SA"/>
                      <w14:textFill>
                        <w14:solidFill>
                          <w14:schemeClr w14:val="tx1"/>
                        </w14:solidFill>
                      </w14:textFill>
                    </w:rPr>
                    <w:t>105</w:t>
                  </w:r>
                </w:p>
              </w:tc>
              <w:tc>
                <w:tcPr>
                  <w:tcW w:w="674" w:type="pct"/>
                  <w:vAlign w:val="center"/>
                </w:tcPr>
                <w:p w14:paraId="5A407E11">
                  <w:pPr>
                    <w:autoSpaceDE w:val="0"/>
                    <w:autoSpaceDN w:val="0"/>
                    <w:snapToGrid w:val="0"/>
                    <w:jc w:val="center"/>
                    <w:rPr>
                      <w:rFonts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t>委托专业机构无害化处置</w:t>
                  </w:r>
                </w:p>
              </w:tc>
            </w:tr>
            <w:tr w14:paraId="496A53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0F0487C1">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废弃内脏</w:t>
                  </w:r>
                </w:p>
              </w:tc>
              <w:tc>
                <w:tcPr>
                  <w:tcW w:w="273" w:type="pct"/>
                  <w:vMerge w:val="continue"/>
                  <w:shd w:val="clear" w:color="auto" w:fill="auto"/>
                  <w:vAlign w:val="center"/>
                </w:tcPr>
                <w:p w14:paraId="52FDA1C3">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p>
              </w:tc>
              <w:tc>
                <w:tcPr>
                  <w:tcW w:w="542" w:type="pct"/>
                  <w:shd w:val="clear" w:color="auto" w:fill="auto"/>
                  <w:vAlign w:val="center"/>
                </w:tcPr>
                <w:p w14:paraId="3C942DF0">
                  <w:pPr>
                    <w:snapToGrid w:val="0"/>
                    <w:jc w:val="center"/>
                    <w:rPr>
                      <w:rFonts w:hint="default" w:ascii="Times New Roman" w:hAnsi="Times New Roman" w:eastAsia="宋体" w:cs="宋体"/>
                      <w:b w:val="0"/>
                      <w:bCs w:val="0"/>
                      <w:color w:val="000000" w:themeColor="text1"/>
                      <w:kern w:val="0"/>
                      <w:sz w:val="21"/>
                      <w:szCs w:val="21"/>
                      <w:highlight w:val="none"/>
                      <w:lang w:val="en-US" w:eastAsia="zh-CN"/>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锯胸骨、剖腹</w:t>
                  </w:r>
                </w:p>
              </w:tc>
              <w:tc>
                <w:tcPr>
                  <w:tcW w:w="273" w:type="pct"/>
                  <w:shd w:val="clear" w:color="auto" w:fill="auto"/>
                  <w:vAlign w:val="center"/>
                </w:tcPr>
                <w:p w14:paraId="71A15B21">
                  <w:pPr>
                    <w:snapToGrid w:val="0"/>
                    <w:jc w:val="center"/>
                    <w:rPr>
                      <w:rFonts w:hint="eastAsia"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7E0CA8DA">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内脏</w:t>
                  </w:r>
                </w:p>
              </w:tc>
              <w:tc>
                <w:tcPr>
                  <w:tcW w:w="362" w:type="pct"/>
                  <w:shd w:val="clear" w:color="auto" w:fill="auto"/>
                  <w:vAlign w:val="center"/>
                </w:tcPr>
                <w:p w14:paraId="17C70ED9">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SW13</w:t>
                  </w:r>
                </w:p>
              </w:tc>
              <w:tc>
                <w:tcPr>
                  <w:tcW w:w="704" w:type="pct"/>
                  <w:shd w:val="clear" w:color="auto" w:fill="auto"/>
                  <w:vAlign w:val="center"/>
                </w:tcPr>
                <w:p w14:paraId="220B4A83">
                  <w:pPr>
                    <w:snapToGrid w:val="0"/>
                    <w:jc w:val="center"/>
                    <w:rPr>
                      <w:rFonts w:hint="default"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135-001-S13</w:t>
                  </w:r>
                </w:p>
              </w:tc>
              <w:tc>
                <w:tcPr>
                  <w:tcW w:w="422" w:type="pct"/>
                  <w:shd w:val="clear" w:color="auto" w:fill="auto"/>
                  <w:vAlign w:val="center"/>
                </w:tcPr>
                <w:p w14:paraId="34A779D6">
                  <w:pPr>
                    <w:snapToGrid w:val="0"/>
                    <w:jc w:val="center"/>
                    <w:rPr>
                      <w:rFonts w:hint="default"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kern w:val="2"/>
                      <w:sz w:val="21"/>
                      <w:szCs w:val="21"/>
                      <w:highlight w:val="none"/>
                      <w:lang w:val="en-US" w:eastAsia="zh-CN" w:bidi="ar-SA"/>
                      <w14:textFill>
                        <w14:solidFill>
                          <w14:schemeClr w14:val="tx1"/>
                        </w14:solidFill>
                      </w14:textFill>
                    </w:rPr>
                    <w:t>28</w:t>
                  </w:r>
                </w:p>
              </w:tc>
              <w:tc>
                <w:tcPr>
                  <w:tcW w:w="674" w:type="pct"/>
                  <w:vAlign w:val="center"/>
                </w:tcPr>
                <w:p w14:paraId="115F62D2">
                  <w:pPr>
                    <w:autoSpaceDE w:val="0"/>
                    <w:autoSpaceDN w:val="0"/>
                    <w:snapToGrid w:val="0"/>
                    <w:jc w:val="center"/>
                    <w:rPr>
                      <w:rFonts w:ascii="Times New Roman" w:hAnsi="Times New Roman" w:eastAsia="宋体" w:cs="宋体"/>
                      <w:b w:val="0"/>
                      <w:bCs w:val="0"/>
                      <w:color w:val="000000" w:themeColor="text1"/>
                      <w:sz w:val="21"/>
                      <w:szCs w:val="21"/>
                      <w:highlight w:val="none"/>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有机肥加工厂综合利用</w:t>
                  </w:r>
                </w:p>
              </w:tc>
            </w:tr>
            <w:tr w14:paraId="3FDC95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57950976">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废肉渣</w:t>
                  </w:r>
                </w:p>
              </w:tc>
              <w:tc>
                <w:tcPr>
                  <w:tcW w:w="273" w:type="pct"/>
                  <w:vMerge w:val="continue"/>
                  <w:shd w:val="clear" w:color="auto" w:fill="auto"/>
                  <w:vAlign w:val="center"/>
                </w:tcPr>
                <w:p w14:paraId="0897CB3A">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p>
              </w:tc>
              <w:tc>
                <w:tcPr>
                  <w:tcW w:w="542" w:type="pct"/>
                  <w:shd w:val="clear" w:color="auto" w:fill="auto"/>
                  <w:vAlign w:val="center"/>
                </w:tcPr>
                <w:p w14:paraId="5540FBA9">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切配</w:t>
                  </w:r>
                </w:p>
              </w:tc>
              <w:tc>
                <w:tcPr>
                  <w:tcW w:w="273" w:type="pct"/>
                  <w:shd w:val="clear" w:color="auto" w:fill="auto"/>
                  <w:vAlign w:val="center"/>
                </w:tcPr>
                <w:p w14:paraId="3A6E986E">
                  <w:pPr>
                    <w:snapToGrid w:val="0"/>
                    <w:jc w:val="center"/>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5229C3BC">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牛肉</w:t>
                  </w:r>
                </w:p>
              </w:tc>
              <w:tc>
                <w:tcPr>
                  <w:tcW w:w="362" w:type="pct"/>
                  <w:shd w:val="clear" w:color="auto" w:fill="auto"/>
                  <w:vAlign w:val="center"/>
                </w:tcPr>
                <w:p w14:paraId="0DE58022">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SW13</w:t>
                  </w:r>
                </w:p>
              </w:tc>
              <w:tc>
                <w:tcPr>
                  <w:tcW w:w="704" w:type="pct"/>
                  <w:shd w:val="clear" w:color="auto" w:fill="auto"/>
                  <w:vAlign w:val="center"/>
                </w:tcPr>
                <w:p w14:paraId="0DA2B3D6">
                  <w:pPr>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135-002-S13</w:t>
                  </w:r>
                </w:p>
              </w:tc>
              <w:tc>
                <w:tcPr>
                  <w:tcW w:w="422" w:type="pct"/>
                  <w:shd w:val="clear" w:color="auto" w:fill="auto"/>
                  <w:vAlign w:val="center"/>
                </w:tcPr>
                <w:p w14:paraId="64843359">
                  <w:pPr>
                    <w:snapToGrid w:val="0"/>
                    <w:jc w:val="center"/>
                    <w:rPr>
                      <w:rFonts w:hint="default"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kern w:val="2"/>
                      <w:sz w:val="21"/>
                      <w:szCs w:val="21"/>
                      <w:highlight w:val="none"/>
                      <w:lang w:val="en-US" w:eastAsia="zh-CN" w:bidi="ar-SA"/>
                      <w14:textFill>
                        <w14:solidFill>
                          <w14:schemeClr w14:val="tx1"/>
                        </w14:solidFill>
                      </w14:textFill>
                    </w:rPr>
                    <w:t>5</w:t>
                  </w:r>
                </w:p>
              </w:tc>
              <w:tc>
                <w:tcPr>
                  <w:tcW w:w="674" w:type="pct"/>
                  <w:vAlign w:val="center"/>
                </w:tcPr>
                <w:p w14:paraId="7DC6698F">
                  <w:pPr>
                    <w:autoSpaceDE w:val="0"/>
                    <w:autoSpaceDN w:val="0"/>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饲料厂综合利用</w:t>
                  </w:r>
                </w:p>
              </w:tc>
            </w:tr>
            <w:tr w14:paraId="4819031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77A52E57">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废卤料</w:t>
                  </w:r>
                </w:p>
              </w:tc>
              <w:tc>
                <w:tcPr>
                  <w:tcW w:w="273" w:type="pct"/>
                  <w:vMerge w:val="continue"/>
                  <w:shd w:val="clear" w:color="auto" w:fill="auto"/>
                  <w:vAlign w:val="center"/>
                </w:tcPr>
                <w:p w14:paraId="79D347ED">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p>
              </w:tc>
              <w:tc>
                <w:tcPr>
                  <w:tcW w:w="542" w:type="pct"/>
                  <w:shd w:val="clear" w:color="auto" w:fill="auto"/>
                  <w:vAlign w:val="center"/>
                </w:tcPr>
                <w:p w14:paraId="0CCD3C5F">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cs="Times New Roman"/>
                      <w:smallCaps w:val="0"/>
                      <w:color w:val="000000" w:themeColor="text1"/>
                      <w:kern w:val="0"/>
                      <w:sz w:val="21"/>
                      <w:szCs w:val="21"/>
                      <w:lang w:val="en-US" w:eastAsia="zh-CN" w:bidi="ar-SA"/>
                      <w14:textFill>
                        <w14:solidFill>
                          <w14:schemeClr w14:val="tx1"/>
                        </w14:solidFill>
                      </w14:textFill>
                    </w:rPr>
                    <w:t>酱卤</w:t>
                  </w:r>
                </w:p>
              </w:tc>
              <w:tc>
                <w:tcPr>
                  <w:tcW w:w="273" w:type="pct"/>
                  <w:shd w:val="clear" w:color="auto" w:fill="auto"/>
                  <w:vAlign w:val="center"/>
                </w:tcPr>
                <w:p w14:paraId="559A8E9D">
                  <w:pPr>
                    <w:snapToGrid w:val="0"/>
                    <w:jc w:val="center"/>
                    <w:rPr>
                      <w:rFonts w:hint="eastAsia"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63598877">
                  <w:pPr>
                    <w:snapToGrid w:val="0"/>
                    <w:jc w:val="center"/>
                    <w:rPr>
                      <w:rFonts w:hint="default"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盐、酱油等</w:t>
                  </w:r>
                </w:p>
              </w:tc>
              <w:tc>
                <w:tcPr>
                  <w:tcW w:w="362" w:type="pct"/>
                  <w:shd w:val="clear" w:color="auto" w:fill="auto"/>
                  <w:vAlign w:val="center"/>
                </w:tcPr>
                <w:p w14:paraId="26D53D00">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SW13</w:t>
                  </w:r>
                </w:p>
              </w:tc>
              <w:tc>
                <w:tcPr>
                  <w:tcW w:w="704" w:type="pct"/>
                  <w:shd w:val="clear" w:color="auto" w:fill="auto"/>
                  <w:vAlign w:val="center"/>
                </w:tcPr>
                <w:p w14:paraId="1012BF40">
                  <w:pPr>
                    <w:snapToGrid w:val="0"/>
                    <w:jc w:val="cente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135-002-S13</w:t>
                  </w:r>
                </w:p>
              </w:tc>
              <w:tc>
                <w:tcPr>
                  <w:tcW w:w="422" w:type="pct"/>
                  <w:shd w:val="clear" w:color="auto" w:fill="auto"/>
                  <w:vAlign w:val="center"/>
                </w:tcPr>
                <w:p w14:paraId="72D4F6E2">
                  <w:pPr>
                    <w:snapToGrid w:val="0"/>
                    <w:jc w:val="center"/>
                    <w:rPr>
                      <w:rFonts w:hint="default" w:cs="宋体"/>
                      <w:b w:val="0"/>
                      <w:bCs w:val="0"/>
                      <w:color w:val="000000" w:themeColor="text1"/>
                      <w:kern w:val="2"/>
                      <w:sz w:val="21"/>
                      <w:szCs w:val="21"/>
                      <w:highlight w:val="none"/>
                      <w:lang w:val="en-US" w:eastAsia="zh-CN" w:bidi="ar-SA"/>
                      <w14:textFill>
                        <w14:solidFill>
                          <w14:schemeClr w14:val="tx1"/>
                        </w14:solidFill>
                      </w14:textFill>
                    </w:rPr>
                  </w:pPr>
                  <w:r>
                    <w:rPr>
                      <w:rFonts w:hint="eastAsia" w:cs="宋体"/>
                      <w:b w:val="0"/>
                      <w:bCs w:val="0"/>
                      <w:color w:val="000000" w:themeColor="text1"/>
                      <w:kern w:val="2"/>
                      <w:sz w:val="21"/>
                      <w:szCs w:val="21"/>
                      <w:highlight w:val="none"/>
                      <w:lang w:val="en-US" w:eastAsia="zh-CN" w:bidi="ar-SA"/>
                      <w14:textFill>
                        <w14:solidFill>
                          <w14:schemeClr w14:val="tx1"/>
                        </w14:solidFill>
                      </w14:textFill>
                    </w:rPr>
                    <w:t>5.7</w:t>
                  </w:r>
                </w:p>
              </w:tc>
              <w:tc>
                <w:tcPr>
                  <w:tcW w:w="674" w:type="pct"/>
                  <w:vAlign w:val="center"/>
                </w:tcPr>
                <w:p w14:paraId="48844117">
                  <w:pPr>
                    <w:autoSpaceDE w:val="0"/>
                    <w:autoSpaceDN w:val="0"/>
                    <w:snapToGrid w:val="0"/>
                    <w:jc w:val="center"/>
                    <w:rPr>
                      <w:rFonts w:hint="default" w:ascii="Times New Roman" w:hAnsi="Times New Roman" w:eastAsia="宋体" w:cs="宋体"/>
                      <w:b w:val="0"/>
                      <w:bCs w:val="0"/>
                      <w:color w:val="000000" w:themeColor="text1"/>
                      <w:sz w:val="21"/>
                      <w:szCs w:val="21"/>
                      <w:highlight w:val="none"/>
                      <w:lang w:val="en-US" w:eastAsia="zh-CN"/>
                      <w14:textFill>
                        <w14:solidFill>
                          <w14:schemeClr w14:val="tx1"/>
                        </w14:solidFill>
                      </w14:textFill>
                    </w:rPr>
                  </w:pPr>
                  <w:r>
                    <w:rPr>
                      <w:rFonts w:hint="eastAsia" w:cs="宋体"/>
                      <w:b w:val="0"/>
                      <w:bCs w:val="0"/>
                      <w:color w:val="000000" w:themeColor="text1"/>
                      <w:sz w:val="21"/>
                      <w:szCs w:val="21"/>
                      <w:highlight w:val="none"/>
                      <w:lang w:val="en-US" w:eastAsia="zh-CN"/>
                      <w14:textFill>
                        <w14:solidFill>
                          <w14:schemeClr w14:val="tx1"/>
                        </w14:solidFill>
                      </w14:textFill>
                    </w:rPr>
                    <w:t>环卫清运</w:t>
                  </w:r>
                </w:p>
              </w:tc>
            </w:tr>
            <w:tr w14:paraId="2BBEB1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125D597F">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污水处理污泥</w:t>
                  </w:r>
                </w:p>
              </w:tc>
              <w:tc>
                <w:tcPr>
                  <w:tcW w:w="273" w:type="pct"/>
                  <w:vMerge w:val="continue"/>
                  <w:shd w:val="clear" w:color="auto" w:fill="auto"/>
                  <w:vAlign w:val="center"/>
                </w:tcPr>
                <w:p w14:paraId="60F0C7A2">
                  <w:pPr>
                    <w:snapToGrid w:val="0"/>
                    <w:jc w:val="center"/>
                    <w:rPr>
                      <w:rFonts w:hint="eastAsia"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p>
              </w:tc>
              <w:tc>
                <w:tcPr>
                  <w:tcW w:w="542" w:type="pct"/>
                  <w:shd w:val="clear" w:color="auto" w:fill="auto"/>
                  <w:vAlign w:val="center"/>
                </w:tcPr>
                <w:p w14:paraId="42644746">
                  <w:pPr>
                    <w:snapToGrid w:val="0"/>
                    <w:jc w:val="center"/>
                    <w:rPr>
                      <w:rFonts w:hint="eastAsia"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污水处理</w:t>
                  </w:r>
                </w:p>
              </w:tc>
              <w:tc>
                <w:tcPr>
                  <w:tcW w:w="273" w:type="pct"/>
                  <w:shd w:val="clear" w:color="auto" w:fill="auto"/>
                  <w:vAlign w:val="center"/>
                </w:tcPr>
                <w:p w14:paraId="0A458BC3">
                  <w:pPr>
                    <w:snapToGrid w:val="0"/>
                    <w:jc w:val="center"/>
                    <w:rPr>
                      <w:rFonts w:hint="eastAsia"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3EEC0B45">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污泥</w:t>
                  </w:r>
                </w:p>
              </w:tc>
              <w:tc>
                <w:tcPr>
                  <w:tcW w:w="362" w:type="pct"/>
                  <w:shd w:val="clear" w:color="auto" w:fill="auto"/>
                  <w:vAlign w:val="center"/>
                </w:tcPr>
                <w:p w14:paraId="5A8F5648">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SW07</w:t>
                  </w:r>
                </w:p>
              </w:tc>
              <w:tc>
                <w:tcPr>
                  <w:tcW w:w="704" w:type="pct"/>
                  <w:shd w:val="clear" w:color="auto" w:fill="auto"/>
                  <w:vAlign w:val="center"/>
                </w:tcPr>
                <w:p w14:paraId="66AECD9F">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135-001-S07</w:t>
                  </w:r>
                </w:p>
              </w:tc>
              <w:tc>
                <w:tcPr>
                  <w:tcW w:w="422" w:type="pct"/>
                  <w:shd w:val="clear" w:color="auto" w:fill="auto"/>
                  <w:vAlign w:val="center"/>
                </w:tcPr>
                <w:p w14:paraId="3F881B4B">
                  <w:pPr>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9.545</w:t>
                  </w:r>
                </w:p>
              </w:tc>
              <w:tc>
                <w:tcPr>
                  <w:tcW w:w="674" w:type="pct"/>
                  <w:shd w:val="clear" w:color="auto" w:fill="auto"/>
                  <w:vAlign w:val="center"/>
                </w:tcPr>
                <w:p w14:paraId="1C2ABFE4">
                  <w:pPr>
                    <w:autoSpaceDE w:val="0"/>
                    <w:autoSpaceDN w:val="0"/>
                    <w:snapToGrid w:val="0"/>
                    <w:jc w:val="center"/>
                    <w:rPr>
                      <w:rFonts w:hint="default"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t>水泥厂协同处置或垃圾焚烧厂焚烧处理</w:t>
                  </w:r>
                </w:p>
              </w:tc>
            </w:tr>
            <w:tr w14:paraId="70DD531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141C0F78">
                  <w:pPr>
                    <w:snapToGrid w:val="0"/>
                    <w:jc w:val="center"/>
                    <w:rPr>
                      <w:rFonts w:hint="default"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废过滤材料</w:t>
                  </w:r>
                </w:p>
              </w:tc>
              <w:tc>
                <w:tcPr>
                  <w:tcW w:w="273" w:type="pct"/>
                  <w:shd w:val="clear" w:color="auto" w:fill="auto"/>
                  <w:vAlign w:val="center"/>
                </w:tcPr>
                <w:p w14:paraId="1D5B8F80">
                  <w:pPr>
                    <w:snapToGrid w:val="0"/>
                    <w:jc w:val="center"/>
                    <w:rPr>
                      <w:rFonts w:hint="eastAsia" w:ascii="Times New Roman" w:hAnsi="Times New Roman" w:eastAsia="宋体" w:cs="Times New Roman"/>
                      <w:b w:val="0"/>
                      <w:bCs w:val="0"/>
                      <w:smallCaps w:val="0"/>
                      <w:color w:val="000000" w:themeColor="text1"/>
                      <w:kern w:val="2"/>
                      <w:sz w:val="21"/>
                      <w:szCs w:val="21"/>
                      <w:lang w:val="en-US" w:eastAsia="zh-CN" w:bidi="ar-SA"/>
                      <w14:textFill>
                        <w14:solidFill>
                          <w14:schemeClr w14:val="tx1"/>
                        </w14:solidFill>
                      </w14:textFill>
                    </w:rPr>
                  </w:pPr>
                </w:p>
              </w:tc>
              <w:tc>
                <w:tcPr>
                  <w:tcW w:w="542" w:type="pct"/>
                  <w:shd w:val="clear" w:color="auto" w:fill="auto"/>
                  <w:vAlign w:val="center"/>
                </w:tcPr>
                <w:p w14:paraId="6F35E826">
                  <w:pPr>
                    <w:snapToGrid w:val="0"/>
                    <w:jc w:val="center"/>
                    <w:rPr>
                      <w:rFonts w:hint="default"/>
                      <w:smallCaps w:val="0"/>
                      <w:color w:val="000000" w:themeColor="text1"/>
                      <w:kern w:val="0"/>
                      <w:sz w:val="21"/>
                      <w:szCs w:val="21"/>
                      <w:lang w:val="en-US" w:eastAsia="zh-CN"/>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污水处理</w:t>
                  </w:r>
                </w:p>
              </w:tc>
              <w:tc>
                <w:tcPr>
                  <w:tcW w:w="273" w:type="pct"/>
                  <w:shd w:val="clear" w:color="auto" w:fill="auto"/>
                  <w:vAlign w:val="center"/>
                </w:tcPr>
                <w:p w14:paraId="1A2E820B">
                  <w:pPr>
                    <w:snapToGrid w:val="0"/>
                    <w:jc w:val="center"/>
                    <w:rPr>
                      <w:rFonts w:hint="eastAsia"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6A22B70E">
                  <w:pPr>
                    <w:snapToGrid w:val="0"/>
                    <w:jc w:val="center"/>
                    <w:rPr>
                      <w:rFonts w:hint="default"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膜、活性炭</w:t>
                  </w:r>
                </w:p>
              </w:tc>
              <w:tc>
                <w:tcPr>
                  <w:tcW w:w="362" w:type="pct"/>
                  <w:shd w:val="clear" w:color="auto" w:fill="auto"/>
                  <w:vAlign w:val="center"/>
                </w:tcPr>
                <w:p w14:paraId="1DEA3D00">
                  <w:pPr>
                    <w:snapToGrid w:val="0"/>
                    <w:jc w:val="center"/>
                    <w:rPr>
                      <w:rFonts w:hint="default"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SW59</w:t>
                  </w:r>
                </w:p>
              </w:tc>
              <w:tc>
                <w:tcPr>
                  <w:tcW w:w="704" w:type="pct"/>
                  <w:shd w:val="clear" w:color="auto" w:fill="auto"/>
                  <w:vAlign w:val="center"/>
                </w:tcPr>
                <w:p w14:paraId="1FB00781">
                  <w:pPr>
                    <w:snapToGrid w:val="0"/>
                    <w:jc w:val="center"/>
                    <w:rPr>
                      <w:rFonts w:hint="eastAsia"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olor w:val="000000" w:themeColor="text1"/>
                      <w:kern w:val="18"/>
                      <w:szCs w:val="21"/>
                      <w:lang w:val="en-US" w:eastAsia="zh-CN"/>
                      <w14:textFill>
                        <w14:solidFill>
                          <w14:schemeClr w14:val="tx1"/>
                        </w14:solidFill>
                      </w14:textFill>
                    </w:rPr>
                    <w:t>900-099-S59</w:t>
                  </w:r>
                </w:p>
              </w:tc>
              <w:tc>
                <w:tcPr>
                  <w:tcW w:w="422" w:type="pct"/>
                  <w:shd w:val="clear" w:color="auto" w:fill="auto"/>
                  <w:vAlign w:val="center"/>
                </w:tcPr>
                <w:p w14:paraId="29B441DB">
                  <w:pPr>
                    <w:snapToGrid w:val="0"/>
                    <w:jc w:val="center"/>
                    <w:rPr>
                      <w:rFonts w:hint="default" w:cs="Times New Roman"/>
                      <w:b w:val="0"/>
                      <w:bCs w:val="0"/>
                      <w:smallCaps w:val="0"/>
                      <w:color w:val="000000" w:themeColor="text1"/>
                      <w:kern w:val="2"/>
                      <w:sz w:val="21"/>
                      <w:szCs w:val="21"/>
                      <w:lang w:val="en-US" w:eastAsia="zh-CN" w:bidi="ar-SA"/>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2</w:t>
                  </w:r>
                </w:p>
              </w:tc>
              <w:tc>
                <w:tcPr>
                  <w:tcW w:w="674" w:type="pct"/>
                  <w:shd w:val="clear" w:color="auto" w:fill="auto"/>
                  <w:vAlign w:val="center"/>
                </w:tcPr>
                <w:p w14:paraId="3D830C7F">
                  <w:pPr>
                    <w:autoSpaceDE w:val="0"/>
                    <w:autoSpaceDN w:val="0"/>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外售处置</w:t>
                  </w:r>
                </w:p>
              </w:tc>
            </w:tr>
            <w:tr w14:paraId="791D584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4" w:type="pct"/>
                  <w:shd w:val="clear" w:color="auto" w:fill="auto"/>
                  <w:vAlign w:val="center"/>
                </w:tcPr>
                <w:p w14:paraId="38B9DDE7">
                  <w:pPr>
                    <w:snapToGrid w:val="0"/>
                    <w:jc w:val="center"/>
                    <w:rPr>
                      <w:rFonts w:hint="eastAsia"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检疫废物</w:t>
                  </w:r>
                </w:p>
              </w:tc>
              <w:tc>
                <w:tcPr>
                  <w:tcW w:w="273" w:type="pct"/>
                  <w:shd w:val="clear" w:color="auto" w:fill="auto"/>
                  <w:vAlign w:val="center"/>
                </w:tcPr>
                <w:p w14:paraId="645DE380">
                  <w:pPr>
                    <w:snapToGrid w:val="0"/>
                    <w:jc w:val="center"/>
                    <w:rPr>
                      <w:rFonts w:hint="eastAsia"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危险废物</w:t>
                  </w:r>
                </w:p>
              </w:tc>
              <w:tc>
                <w:tcPr>
                  <w:tcW w:w="542" w:type="pct"/>
                  <w:shd w:val="clear" w:color="auto" w:fill="auto"/>
                  <w:vAlign w:val="center"/>
                </w:tcPr>
                <w:p w14:paraId="074062BF">
                  <w:pPr>
                    <w:snapToGrid w:val="0"/>
                    <w:jc w:val="center"/>
                    <w:rPr>
                      <w:rFonts w:hint="default" w:ascii="Times New Roman" w:hAnsi="Times New Roman" w:eastAsia="宋体" w:cs="Times New Roman"/>
                      <w:smallCaps w:val="0"/>
                      <w:color w:val="000000" w:themeColor="text1"/>
                      <w:kern w:val="0"/>
                      <w:sz w:val="21"/>
                      <w:szCs w:val="21"/>
                      <w:lang w:val="en-US" w:eastAsia="zh-CN" w:bidi="ar-SA"/>
                      <w14:textFill>
                        <w14:solidFill>
                          <w14:schemeClr w14:val="tx1"/>
                        </w14:solidFill>
                      </w14:textFill>
                    </w:rPr>
                  </w:pPr>
                  <w:r>
                    <w:rPr>
                      <w:rFonts w:hint="eastAsia"/>
                      <w:smallCaps w:val="0"/>
                      <w:color w:val="000000" w:themeColor="text1"/>
                      <w:kern w:val="0"/>
                      <w:sz w:val="21"/>
                      <w:szCs w:val="21"/>
                      <w:lang w:val="en-US" w:eastAsia="zh-CN"/>
                      <w14:textFill>
                        <w14:solidFill>
                          <w14:schemeClr w14:val="tx1"/>
                        </w14:solidFill>
                      </w14:textFill>
                    </w:rPr>
                    <w:t>检疫</w:t>
                  </w:r>
                </w:p>
              </w:tc>
              <w:tc>
                <w:tcPr>
                  <w:tcW w:w="273" w:type="pct"/>
                  <w:shd w:val="clear" w:color="auto" w:fill="auto"/>
                  <w:vAlign w:val="center"/>
                </w:tcPr>
                <w:p w14:paraId="7C50E125">
                  <w:pPr>
                    <w:snapToGrid w:val="0"/>
                    <w:jc w:val="center"/>
                    <w:rPr>
                      <w:rFonts w:hint="eastAsia" w:ascii="Times New Roman" w:hAnsi="Times New Roman" w:eastAsia="宋体"/>
                      <w:smallCaps w:val="0"/>
                      <w:color w:val="000000" w:themeColor="text1"/>
                      <w:sz w:val="21"/>
                      <w:szCs w:val="21"/>
                      <w14:textFill>
                        <w14:solidFill>
                          <w14:schemeClr w14:val="tx1"/>
                        </w14:solidFill>
                      </w14:textFill>
                    </w:rPr>
                  </w:pPr>
                  <w:r>
                    <w:rPr>
                      <w:rFonts w:hint="eastAsia" w:cs="Times New Roman"/>
                      <w:b w:val="0"/>
                      <w:bCs w:val="0"/>
                      <w:smallCaps w:val="0"/>
                      <w:color w:val="000000" w:themeColor="text1"/>
                      <w:kern w:val="2"/>
                      <w:sz w:val="21"/>
                      <w:szCs w:val="21"/>
                      <w:lang w:val="en-US" w:eastAsia="zh-CN" w:bidi="ar-SA"/>
                      <w14:textFill>
                        <w14:solidFill>
                          <w14:schemeClr w14:val="tx1"/>
                        </w14:solidFill>
                      </w14:textFill>
                    </w:rPr>
                    <w:t>固</w:t>
                  </w:r>
                </w:p>
              </w:tc>
              <w:tc>
                <w:tcPr>
                  <w:tcW w:w="942" w:type="pct"/>
                  <w:shd w:val="clear" w:color="auto" w:fill="auto"/>
                  <w:vAlign w:val="center"/>
                </w:tcPr>
                <w:p w14:paraId="09BAE230">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检测卡、采血管等</w:t>
                  </w:r>
                </w:p>
              </w:tc>
              <w:tc>
                <w:tcPr>
                  <w:tcW w:w="362" w:type="pct"/>
                  <w:shd w:val="clear" w:color="auto" w:fill="auto"/>
                  <w:vAlign w:val="center"/>
                </w:tcPr>
                <w:p w14:paraId="290DCCB1">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HW49</w:t>
                  </w:r>
                </w:p>
              </w:tc>
              <w:tc>
                <w:tcPr>
                  <w:tcW w:w="704" w:type="pct"/>
                  <w:shd w:val="clear" w:color="auto" w:fill="auto"/>
                  <w:vAlign w:val="center"/>
                </w:tcPr>
                <w:p w14:paraId="107E87CD">
                  <w:pPr>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900-047-49</w:t>
                  </w:r>
                </w:p>
              </w:tc>
              <w:tc>
                <w:tcPr>
                  <w:tcW w:w="422" w:type="pct"/>
                  <w:shd w:val="clear" w:color="auto" w:fill="auto"/>
                  <w:vAlign w:val="center"/>
                </w:tcPr>
                <w:p w14:paraId="2404A8F0">
                  <w:pPr>
                    <w:snapToGrid w:val="0"/>
                    <w:jc w:val="center"/>
                    <w:rPr>
                      <w:rFonts w:hint="default" w:ascii="Times New Roman" w:hAnsi="Times New Roman" w:eastAsia="宋体" w:cs="Times New Roman"/>
                      <w:smallCaps w:val="0"/>
                      <w:color w:val="000000" w:themeColor="text1"/>
                      <w:kern w:val="2"/>
                      <w:sz w:val="21"/>
                      <w:szCs w:val="21"/>
                      <w:lang w:val="en-US" w:eastAsia="zh-CN" w:bidi="ar-SA"/>
                      <w14:textFill>
                        <w14:solidFill>
                          <w14:schemeClr w14:val="tx1"/>
                        </w14:solidFill>
                      </w14:textFill>
                    </w:rPr>
                  </w:pPr>
                  <w:r>
                    <w:rPr>
                      <w:rFonts w:hint="eastAsia" w:cs="Times New Roman"/>
                      <w:smallCaps w:val="0"/>
                      <w:color w:val="000000" w:themeColor="text1"/>
                      <w:kern w:val="2"/>
                      <w:sz w:val="21"/>
                      <w:szCs w:val="21"/>
                      <w:lang w:val="en-US" w:eastAsia="zh-CN" w:bidi="ar-SA"/>
                      <w14:textFill>
                        <w14:solidFill>
                          <w14:schemeClr w14:val="tx1"/>
                        </w14:solidFill>
                      </w14:textFill>
                    </w:rPr>
                    <w:t>0.05</w:t>
                  </w:r>
                </w:p>
              </w:tc>
              <w:tc>
                <w:tcPr>
                  <w:tcW w:w="674" w:type="pct"/>
                  <w:shd w:val="clear" w:color="auto" w:fill="auto"/>
                  <w:vAlign w:val="center"/>
                </w:tcPr>
                <w:p w14:paraId="7BB75A41">
                  <w:pPr>
                    <w:autoSpaceDE w:val="0"/>
                    <w:autoSpaceDN w:val="0"/>
                    <w:snapToGrid w:val="0"/>
                    <w:jc w:val="center"/>
                    <w:rPr>
                      <w:rFonts w:hint="default" w:ascii="Times New Roman" w:hAnsi="Times New Roman" w:eastAsia="宋体"/>
                      <w:smallCaps w:val="0"/>
                      <w:color w:val="000000" w:themeColor="text1"/>
                      <w:sz w:val="2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委托有资质单位处置</w:t>
                  </w:r>
                </w:p>
              </w:tc>
            </w:tr>
          </w:tbl>
          <w:p w14:paraId="5922E6F9">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4-2</w:t>
            </w:r>
            <w:r>
              <w:rPr>
                <w:rFonts w:hint="eastAsia" w:cs="宋体"/>
                <w:b/>
                <w:bCs/>
                <w:color w:val="000000" w:themeColor="text1"/>
                <w:spacing w:val="-4"/>
                <w:sz w:val="21"/>
                <w:szCs w:val="21"/>
                <w:highlight w:val="none"/>
                <w:lang w:val="en-US" w:eastAsia="zh-CN"/>
                <w14:textFill>
                  <w14:solidFill>
                    <w14:schemeClr w14:val="tx1"/>
                  </w14:solidFill>
                </w14:textFill>
              </w:rPr>
              <w:t>2</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危险废物分析结果汇总表</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463"/>
              <w:gridCol w:w="985"/>
              <w:gridCol w:w="1144"/>
              <w:gridCol w:w="987"/>
              <w:gridCol w:w="1225"/>
              <w:gridCol w:w="987"/>
              <w:gridCol w:w="1468"/>
            </w:tblGrid>
            <w:tr w14:paraId="3EC760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885" w:type="pct"/>
                  <w:vAlign w:val="center"/>
                </w:tcPr>
                <w:p w14:paraId="13732E81">
                  <w:pPr>
                    <w:topLinePunct/>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危险废物名称</w:t>
                  </w:r>
                </w:p>
              </w:tc>
              <w:tc>
                <w:tcPr>
                  <w:tcW w:w="596" w:type="pct"/>
                  <w:vAlign w:val="center"/>
                </w:tcPr>
                <w:p w14:paraId="355B26E3">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废物类别</w:t>
                  </w:r>
                </w:p>
              </w:tc>
              <w:tc>
                <w:tcPr>
                  <w:tcW w:w="692" w:type="pct"/>
                  <w:vAlign w:val="center"/>
                </w:tcPr>
                <w:p w14:paraId="5EDB7465">
                  <w:pPr>
                    <w:snapToGrid w:val="0"/>
                    <w:jc w:val="center"/>
                    <w:rPr>
                      <w:rFonts w:ascii="Times New Roman" w:hAnsi="Times New Roman" w:eastAsia="宋体" w:cs="宋体"/>
                      <w:b/>
                      <w:color w:val="000000" w:themeColor="text1"/>
                      <w:sz w:val="21"/>
                      <w:szCs w:val="21"/>
                      <w:highlight w:val="none"/>
                      <w14:textFill>
                        <w14:solidFill>
                          <w14:schemeClr w14:val="tx1"/>
                        </w14:solidFill>
                      </w14:textFill>
                    </w:rPr>
                  </w:pPr>
                  <w:r>
                    <w:rPr>
                      <w:rFonts w:ascii="Times New Roman" w:hAnsi="Times New Roman" w:eastAsia="宋体" w:cs="宋体"/>
                      <w:b/>
                      <w:color w:val="000000" w:themeColor="text1"/>
                      <w:sz w:val="21"/>
                      <w:szCs w:val="21"/>
                      <w:highlight w:val="none"/>
                      <w14:textFill>
                        <w14:solidFill>
                          <w14:schemeClr w14:val="tx1"/>
                        </w14:solidFill>
                      </w14:textFill>
                    </w:rPr>
                    <w:t>废物代码</w:t>
                  </w:r>
                </w:p>
              </w:tc>
              <w:tc>
                <w:tcPr>
                  <w:tcW w:w="597" w:type="pct"/>
                  <w:vAlign w:val="center"/>
                </w:tcPr>
                <w:p w14:paraId="079E8B85">
                  <w:pPr>
                    <w:topLinePunct/>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危险特性</w:t>
                  </w:r>
                </w:p>
              </w:tc>
              <w:tc>
                <w:tcPr>
                  <w:tcW w:w="741" w:type="pct"/>
                  <w:vAlign w:val="center"/>
                </w:tcPr>
                <w:p w14:paraId="43DD41CC">
                  <w:pPr>
                    <w:topLinePunct/>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有害成分</w:t>
                  </w:r>
                </w:p>
              </w:tc>
              <w:tc>
                <w:tcPr>
                  <w:tcW w:w="597" w:type="pct"/>
                  <w:vAlign w:val="center"/>
                </w:tcPr>
                <w:p w14:paraId="1030DB77">
                  <w:pPr>
                    <w:topLinePunct/>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产废周期</w:t>
                  </w:r>
                </w:p>
              </w:tc>
              <w:tc>
                <w:tcPr>
                  <w:tcW w:w="888" w:type="pct"/>
                  <w:vAlign w:val="center"/>
                </w:tcPr>
                <w:p w14:paraId="2FFDF5EE">
                  <w:pPr>
                    <w:topLinePunct/>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污染防治措施</w:t>
                  </w:r>
                </w:p>
              </w:tc>
            </w:tr>
            <w:tr w14:paraId="08C83A2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85" w:type="pct"/>
                  <w:shd w:val="clear" w:color="auto" w:fill="auto"/>
                  <w:vAlign w:val="center"/>
                </w:tcPr>
                <w:p w14:paraId="4797C9EF">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检疫废物</w:t>
                  </w:r>
                </w:p>
              </w:tc>
              <w:tc>
                <w:tcPr>
                  <w:tcW w:w="596" w:type="pct"/>
                  <w:shd w:val="clear" w:color="auto" w:fill="auto"/>
                  <w:vAlign w:val="center"/>
                </w:tcPr>
                <w:p w14:paraId="7532D164">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HW49</w:t>
                  </w:r>
                </w:p>
              </w:tc>
              <w:tc>
                <w:tcPr>
                  <w:tcW w:w="692" w:type="pct"/>
                  <w:shd w:val="clear" w:color="auto" w:fill="auto"/>
                  <w:vAlign w:val="center"/>
                </w:tcPr>
                <w:p w14:paraId="3EE6541D">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900-047-49</w:t>
                  </w:r>
                </w:p>
              </w:tc>
              <w:tc>
                <w:tcPr>
                  <w:tcW w:w="597" w:type="pct"/>
                  <w:vAlign w:val="center"/>
                </w:tcPr>
                <w:p w14:paraId="1FE3FE85">
                  <w:pPr>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T/C/I/R</w:t>
                  </w:r>
                </w:p>
              </w:tc>
              <w:tc>
                <w:tcPr>
                  <w:tcW w:w="741" w:type="pct"/>
                  <w:shd w:val="clear" w:color="auto" w:fill="auto"/>
                  <w:vAlign w:val="center"/>
                </w:tcPr>
                <w:p w14:paraId="7BB5F05A">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血液等</w:t>
                  </w:r>
                </w:p>
              </w:tc>
              <w:tc>
                <w:tcPr>
                  <w:tcW w:w="597" w:type="pct"/>
                  <w:vAlign w:val="center"/>
                </w:tcPr>
                <w:p w14:paraId="057B0037">
                  <w:pPr>
                    <w:topLinePunct/>
                    <w:snapToGrid w:val="0"/>
                    <w:jc w:val="center"/>
                    <w:rPr>
                      <w:rFonts w:hint="default"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每日</w:t>
                  </w:r>
                </w:p>
              </w:tc>
              <w:tc>
                <w:tcPr>
                  <w:tcW w:w="888" w:type="pct"/>
                  <w:vAlign w:val="center"/>
                </w:tcPr>
                <w:p w14:paraId="1C6C0753">
                  <w:pPr>
                    <w:topLinePunct/>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贮存于危险废物暂存间</w:t>
                  </w:r>
                </w:p>
              </w:tc>
            </w:tr>
          </w:tbl>
          <w:p w14:paraId="4781FB2B">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（2）固体废物影响分析</w:t>
            </w:r>
          </w:p>
          <w:p w14:paraId="1F329543">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本项目对固体废物进行分类收集、贮存。</w:t>
            </w:r>
            <w:r>
              <w:rPr>
                <w:rFonts w:hint="eastAsia" w:cs="宋体"/>
                <w:color w:val="000000" w:themeColor="text1"/>
                <w:sz w:val="21"/>
                <w:szCs w:val="21"/>
                <w:highlight w:val="none"/>
                <w:lang w:val="en-US" w:eastAsia="zh-CN"/>
                <w14:textFill>
                  <w14:solidFill>
                    <w14:schemeClr w14:val="tx1"/>
                  </w14:solidFill>
                </w14:textFill>
              </w:rPr>
              <w:t>病死牛、不合格胴体、三腺、待宰圈牛粪便、胃容物、废弃内脏、废肉渣碎肉骨由</w:t>
            </w:r>
            <w:r>
              <w:rPr>
                <w:rFonts w:hint="eastAsia" w:ascii="Times New Roman" w:hAnsi="Times New Roman" w:eastAsia="宋体" w:cs="宋体"/>
                <w:color w:val="000000" w:themeColor="text1"/>
                <w:kern w:val="0"/>
                <w:sz w:val="21"/>
                <w:szCs w:val="21"/>
                <w:highlight w:val="none"/>
                <w14:textFill>
                  <w14:solidFill>
                    <w14:schemeClr w14:val="tx1"/>
                  </w14:solidFill>
                </w14:textFill>
              </w:rPr>
              <w:t>常州市宏宝生物科技有限公司</w:t>
            </w:r>
            <w:r>
              <w:rPr>
                <w:rFonts w:hint="eastAsia" w:cs="宋体"/>
                <w:color w:val="000000" w:themeColor="text1"/>
                <w:kern w:val="0"/>
                <w:sz w:val="21"/>
                <w:szCs w:val="21"/>
                <w:highlight w:val="none"/>
                <w:lang w:val="en-US" w:eastAsia="zh-CN"/>
                <w14:textFill>
                  <w14:solidFill>
                    <w14:schemeClr w14:val="tx1"/>
                  </w14:solidFill>
                </w14:textFill>
              </w:rPr>
              <w:t>无害化处置</w:t>
            </w:r>
            <w:r>
              <w:rPr>
                <w:rFonts w:hint="eastAsia" w:cs="宋体"/>
                <w:color w:val="000000" w:themeColor="text1"/>
                <w:sz w:val="21"/>
                <w:szCs w:val="21"/>
                <w:highlight w:val="none"/>
                <w:lang w:val="en-US" w:eastAsia="zh-CN"/>
                <w14:textFill>
                  <w14:solidFill>
                    <w14:schemeClr w14:val="tx1"/>
                  </w14:solidFill>
                </w14:textFill>
              </w:rPr>
              <w:t>，污水处理污泥由水泥厂协同处置或垃圾焚烧厂焚烧处理，废卤料由环卫清运</w:t>
            </w:r>
            <w:r>
              <w:rPr>
                <w:rFonts w:ascii="Times New Roman" w:hAnsi="Times New Roman" w:eastAsia="宋体" w:cs="宋体"/>
                <w:color w:val="000000" w:themeColor="text1"/>
                <w:sz w:val="21"/>
                <w:szCs w:val="21"/>
                <w:highlight w:val="none"/>
                <w14:textFill>
                  <w14:solidFill>
                    <w14:schemeClr w14:val="tx1"/>
                  </w14:solidFill>
                </w14:textFill>
              </w:rPr>
              <w:t>。项目运营期产生的固体废弃物均得到了有效</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地</w:t>
            </w:r>
            <w:r>
              <w:rPr>
                <w:rFonts w:ascii="Times New Roman" w:hAnsi="Times New Roman" w:eastAsia="宋体" w:cs="宋体"/>
                <w:color w:val="000000" w:themeColor="text1"/>
                <w:sz w:val="21"/>
                <w:szCs w:val="21"/>
                <w:highlight w:val="none"/>
                <w14:textFill>
                  <w14:solidFill>
                    <w14:schemeClr w14:val="tx1"/>
                  </w14:solidFill>
                </w14:textFill>
              </w:rPr>
              <w:t>处理处置</w:t>
            </w:r>
            <w:r>
              <w:rPr>
                <w:rFonts w:hint="eastAsia" w:cs="宋体"/>
                <w:color w:val="000000" w:themeColor="text1"/>
                <w:sz w:val="21"/>
                <w:szCs w:val="21"/>
                <w:highlight w:val="none"/>
                <w:lang w:eastAsia="zh-CN"/>
                <w14:textFill>
                  <w14:solidFill>
                    <w14:schemeClr w14:val="tx1"/>
                  </w14:solidFill>
                </w14:textFill>
              </w:rPr>
              <w:t>；</w:t>
            </w:r>
            <w:r>
              <w:rPr>
                <w:rFonts w:hint="eastAsia"/>
                <w:smallCaps w:val="0"/>
                <w:color w:val="000000" w:themeColor="text1"/>
                <w:sz w:val="21"/>
                <w:szCs w:val="21"/>
                <w:lang w:val="en-US" w:eastAsia="zh-CN"/>
                <w14:textFill>
                  <w14:solidFill>
                    <w14:schemeClr w14:val="tx1"/>
                  </w14:solidFill>
                </w14:textFill>
              </w:rPr>
              <w:t>检疫废物委托有资质单位处置。</w:t>
            </w:r>
            <w:r>
              <w:rPr>
                <w:rFonts w:ascii="Times New Roman" w:hAnsi="Times New Roman" w:eastAsia="宋体" w:cs="宋体"/>
                <w:color w:val="000000" w:themeColor="text1"/>
                <w:sz w:val="21"/>
                <w:szCs w:val="21"/>
                <w:highlight w:val="none"/>
                <w14:textFill>
                  <w14:solidFill>
                    <w14:schemeClr w14:val="tx1"/>
                  </w14:solidFill>
                </w14:textFill>
              </w:rPr>
              <w:t>固废处置率达到100%，不会对外环境造成二次污染。</w:t>
            </w:r>
          </w:p>
          <w:p w14:paraId="5FD86C71">
            <w:pPr>
              <w:keepNext w:val="0"/>
              <w:keepLines w:val="0"/>
              <w:pageBreakBefore w:val="0"/>
              <w:kinsoku/>
              <w:wordWrap/>
              <w:overflowPunct/>
              <w:topLinePunct w:val="0"/>
              <w:autoSpaceDE/>
              <w:autoSpaceDN/>
              <w:bidi w:val="0"/>
              <w:adjustRightInd w:val="0"/>
              <w:snapToGrid w:val="0"/>
              <w:spacing w:line="360" w:lineRule="auto"/>
              <w:ind w:right="0" w:firstLine="422" w:firstLineChars="200"/>
              <w:jc w:val="both"/>
              <w:textAlignment w:val="auto"/>
              <w:rPr>
                <w:rFonts w:hint="default" w:eastAsia="宋体"/>
                <w:b/>
                <w:bCs/>
                <w:color w:val="000000" w:themeColor="text1"/>
                <w:kern w:val="0"/>
                <w:sz w:val="21"/>
                <w:szCs w:val="21"/>
                <w:lang w:val="en-US" w:eastAsia="zh-CN"/>
                <w14:textFill>
                  <w14:solidFill>
                    <w14:schemeClr w14:val="tx1"/>
                  </w14:solidFill>
                </w14:textFill>
              </w:rPr>
            </w:pPr>
            <w:r>
              <w:rPr>
                <w:rFonts w:hint="eastAsia"/>
                <w:b/>
                <w:bCs/>
                <w:color w:val="000000" w:themeColor="text1"/>
                <w:kern w:val="0"/>
                <w:sz w:val="21"/>
                <w:szCs w:val="21"/>
                <w:lang w:val="en-US" w:eastAsia="zh-CN"/>
                <w14:textFill>
                  <w14:solidFill>
                    <w14:schemeClr w14:val="tx1"/>
                  </w14:solidFill>
                </w14:textFill>
              </w:rPr>
              <w:t>1）危险废物防治措施</w:t>
            </w:r>
          </w:p>
          <w:p w14:paraId="12CDC4C5">
            <w:pPr>
              <w:adjustRightInd w:val="0"/>
              <w:snapToGrid w:val="0"/>
              <w:spacing w:line="360" w:lineRule="auto"/>
              <w:ind w:firstLine="422" w:firstLineChars="200"/>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①</w:t>
            </w:r>
            <w:r>
              <w:rPr>
                <w:b/>
                <w:bCs/>
                <w:color w:val="000000" w:themeColor="text1"/>
                <w:szCs w:val="21"/>
                <w14:textFill>
                  <w14:solidFill>
                    <w14:schemeClr w14:val="tx1"/>
                  </w14:solidFill>
                </w14:textFill>
              </w:rPr>
              <w:t>危险废物</w:t>
            </w:r>
            <w:r>
              <w:rPr>
                <w:rFonts w:hint="eastAsia"/>
                <w:b/>
                <w:bCs/>
                <w:color w:val="000000" w:themeColor="text1"/>
                <w:szCs w:val="21"/>
                <w14:textFill>
                  <w14:solidFill>
                    <w14:schemeClr w14:val="tx1"/>
                  </w14:solidFill>
                </w14:textFill>
              </w:rPr>
              <w:t>贮存场所环境影响分析</w:t>
            </w:r>
          </w:p>
          <w:p w14:paraId="3DA0488A">
            <w:pPr>
              <w:autoSpaceDE w:val="0"/>
              <w:autoSpaceDN w:val="0"/>
              <w:adjustRightIn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项目危险废物贮存情况见</w:t>
            </w:r>
            <w:r>
              <w:rPr>
                <w:rFonts w:hint="eastAsia"/>
                <w:color w:val="000000" w:themeColor="text1"/>
                <w:szCs w:val="21"/>
                <w:lang w:val="en-US" w:eastAsia="zh-CN"/>
                <w14:textFill>
                  <w14:solidFill>
                    <w14:schemeClr w14:val="tx1"/>
                  </w14:solidFill>
                </w14:textFill>
              </w:rPr>
              <w:t>下表</w:t>
            </w:r>
            <w:r>
              <w:rPr>
                <w:color w:val="000000" w:themeColor="text1"/>
                <w:szCs w:val="21"/>
                <w14:textFill>
                  <w14:solidFill>
                    <w14:schemeClr w14:val="tx1"/>
                  </w14:solidFill>
                </w14:textFill>
              </w:rPr>
              <w:t>。</w:t>
            </w:r>
          </w:p>
          <w:p w14:paraId="072BAFD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表4</w:t>
            </w:r>
            <w:r>
              <w:rPr>
                <w:rFonts w:hint="eastAsia"/>
                <w:b/>
                <w:color w:val="000000" w:themeColor="text1"/>
                <w:szCs w:val="21"/>
                <w14:textFill>
                  <w14:solidFill>
                    <w14:schemeClr w14:val="tx1"/>
                  </w14:solidFill>
                </w14:textFill>
              </w:rPr>
              <w:t>-</w:t>
            </w:r>
            <w:r>
              <w:rPr>
                <w:rFonts w:hint="eastAsia"/>
                <w:b/>
                <w:color w:val="000000" w:themeColor="text1"/>
                <w:szCs w:val="21"/>
                <w:lang w:val="en-US" w:eastAsia="zh-CN"/>
                <w14:textFill>
                  <w14:solidFill>
                    <w14:schemeClr w14:val="tx1"/>
                  </w14:solidFill>
                </w14:textFill>
              </w:rPr>
              <w:t>23</w:t>
            </w:r>
            <w:r>
              <w:rPr>
                <w:b/>
                <w:color w:val="000000" w:themeColor="text1"/>
                <w:szCs w:val="21"/>
                <w14:textFill>
                  <w14:solidFill>
                    <w14:schemeClr w14:val="tx1"/>
                  </w14:solidFill>
                </w14:textFill>
              </w:rPr>
              <w:t xml:space="preserve">  危险废物贮存场所基本情况表</w:t>
            </w:r>
          </w:p>
          <w:tbl>
            <w:tblPr>
              <w:tblStyle w:val="24"/>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28" w:type="dxa"/>
                <w:bottom w:w="0" w:type="dxa"/>
                <w:right w:w="28" w:type="dxa"/>
              </w:tblCellMar>
            </w:tblPr>
            <w:tblGrid>
              <w:gridCol w:w="537"/>
              <w:gridCol w:w="1051"/>
              <w:gridCol w:w="833"/>
              <w:gridCol w:w="897"/>
              <w:gridCol w:w="1118"/>
              <w:gridCol w:w="711"/>
              <w:gridCol w:w="790"/>
              <w:gridCol w:w="894"/>
              <w:gridCol w:w="693"/>
              <w:gridCol w:w="732"/>
            </w:tblGrid>
            <w:tr w14:paraId="6DC09E1A">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trHeight w:val="340" w:hRule="atLeast"/>
                <w:jc w:val="center"/>
              </w:trPr>
              <w:tc>
                <w:tcPr>
                  <w:tcW w:w="537" w:type="dxa"/>
                  <w:noWrap w:val="0"/>
                  <w:vAlign w:val="center"/>
                </w:tcPr>
                <w:p w14:paraId="6E910F75">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序号</w:t>
                  </w:r>
                </w:p>
              </w:tc>
              <w:tc>
                <w:tcPr>
                  <w:tcW w:w="1051" w:type="dxa"/>
                  <w:noWrap w:val="0"/>
                  <w:vAlign w:val="center"/>
                </w:tcPr>
                <w:p w14:paraId="5F1E81FB">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固体废物名称</w:t>
                  </w:r>
                </w:p>
              </w:tc>
              <w:tc>
                <w:tcPr>
                  <w:tcW w:w="833" w:type="dxa"/>
                  <w:noWrap w:val="0"/>
                  <w:vAlign w:val="center"/>
                </w:tcPr>
                <w:p w14:paraId="55E13D75">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贮存场所</w:t>
                  </w:r>
                </w:p>
              </w:tc>
              <w:tc>
                <w:tcPr>
                  <w:tcW w:w="897" w:type="dxa"/>
                  <w:noWrap w:val="0"/>
                  <w:vAlign w:val="center"/>
                </w:tcPr>
                <w:p w14:paraId="0021F4D8">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危废类别</w:t>
                  </w:r>
                </w:p>
              </w:tc>
              <w:tc>
                <w:tcPr>
                  <w:tcW w:w="1118" w:type="dxa"/>
                  <w:noWrap w:val="0"/>
                  <w:vAlign w:val="center"/>
                </w:tcPr>
                <w:p w14:paraId="10BE22EC">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废物代码</w:t>
                  </w:r>
                </w:p>
              </w:tc>
              <w:tc>
                <w:tcPr>
                  <w:tcW w:w="711" w:type="dxa"/>
                  <w:noWrap w:val="0"/>
                  <w:vAlign w:val="center"/>
                </w:tcPr>
                <w:p w14:paraId="27B46C4D">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产生量（t/a）</w:t>
                  </w:r>
                </w:p>
              </w:tc>
              <w:tc>
                <w:tcPr>
                  <w:tcW w:w="790" w:type="dxa"/>
                  <w:noWrap w:val="0"/>
                  <w:vAlign w:val="center"/>
                </w:tcPr>
                <w:p w14:paraId="418C5D55">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占地面积（m</w:t>
                  </w:r>
                  <w:r>
                    <w:rPr>
                      <w:rFonts w:hint="default" w:ascii="Times New Roman" w:hAnsi="Times New Roman" w:cs="Times New Roman"/>
                      <w:b/>
                      <w:color w:val="000000" w:themeColor="text1"/>
                      <w:vertAlign w:val="superscript"/>
                      <w14:textFill>
                        <w14:solidFill>
                          <w14:schemeClr w14:val="tx1"/>
                        </w14:solidFill>
                      </w14:textFill>
                    </w:rPr>
                    <w:t>2</w:t>
                  </w:r>
                  <w:r>
                    <w:rPr>
                      <w:rFonts w:hint="default" w:ascii="Times New Roman" w:hAnsi="Times New Roman" w:cs="Times New Roman"/>
                      <w:b/>
                      <w:color w:val="000000" w:themeColor="text1"/>
                      <w14:textFill>
                        <w14:solidFill>
                          <w14:schemeClr w14:val="tx1"/>
                        </w14:solidFill>
                      </w14:textFill>
                    </w:rPr>
                    <w:t>）</w:t>
                  </w:r>
                </w:p>
              </w:tc>
              <w:tc>
                <w:tcPr>
                  <w:tcW w:w="894" w:type="dxa"/>
                  <w:noWrap w:val="0"/>
                  <w:vAlign w:val="center"/>
                </w:tcPr>
                <w:p w14:paraId="1A94D1F9">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贮存方式</w:t>
                  </w:r>
                </w:p>
              </w:tc>
              <w:tc>
                <w:tcPr>
                  <w:tcW w:w="693" w:type="dxa"/>
                  <w:noWrap w:val="0"/>
                  <w:vAlign w:val="center"/>
                </w:tcPr>
                <w:p w14:paraId="3DEFAB2A">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贮存能力（t）</w:t>
                  </w:r>
                </w:p>
              </w:tc>
              <w:tc>
                <w:tcPr>
                  <w:tcW w:w="732" w:type="dxa"/>
                  <w:noWrap w:val="0"/>
                  <w:vAlign w:val="center"/>
                </w:tcPr>
                <w:p w14:paraId="5C34B93B">
                  <w:pPr>
                    <w:pStyle w:val="76"/>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贮存周期</w:t>
                  </w:r>
                </w:p>
              </w:tc>
            </w:tr>
            <w:tr w14:paraId="2634F200">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trHeight w:val="340" w:hRule="atLeast"/>
                <w:jc w:val="center"/>
              </w:trPr>
              <w:tc>
                <w:tcPr>
                  <w:tcW w:w="537" w:type="dxa"/>
                  <w:noWrap w:val="0"/>
                  <w:vAlign w:val="center"/>
                </w:tcPr>
                <w:p w14:paraId="723C66CE">
                  <w:pPr>
                    <w:pStyle w:val="76"/>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w:t>
                  </w:r>
                </w:p>
              </w:tc>
              <w:tc>
                <w:tcPr>
                  <w:tcW w:w="1051" w:type="dxa"/>
                  <w:noWrap w:val="0"/>
                  <w:vAlign w:val="center"/>
                </w:tcPr>
                <w:p w14:paraId="244F2A58">
                  <w:pPr>
                    <w:pStyle w:val="77"/>
                    <w:adjustRightInd w:val="0"/>
                    <w:snapToGrid w:val="0"/>
                    <w:rPr>
                      <w:rFonts w:hint="default" w:ascii="Times New Roman" w:hAnsi="Times New Roman" w:eastAsia="宋体" w:cs="Times New Roman"/>
                      <w:color w:val="000000" w:themeColor="text1"/>
                      <w:kern w:val="0"/>
                      <w:lang w:val="en-US" w:eastAsia="zh-CN"/>
                      <w14:textFill>
                        <w14:solidFill>
                          <w14:schemeClr w14:val="tx1"/>
                        </w14:solidFill>
                      </w14:textFill>
                    </w:rPr>
                  </w:pPr>
                  <w:r>
                    <w:rPr>
                      <w:rFonts w:hint="default" w:ascii="Times New Roman" w:hAnsi="Times New Roman" w:eastAsia="宋体" w:cs="Times New Roman"/>
                      <w:color w:val="000000" w:themeColor="text1"/>
                      <w:kern w:val="0"/>
                      <w:lang w:val="en-US" w:eastAsia="zh-CN"/>
                      <w14:textFill>
                        <w14:solidFill>
                          <w14:schemeClr w14:val="tx1"/>
                        </w14:solidFill>
                      </w14:textFill>
                    </w:rPr>
                    <w:t>废包装桶</w:t>
                  </w:r>
                </w:p>
              </w:tc>
              <w:tc>
                <w:tcPr>
                  <w:tcW w:w="833" w:type="dxa"/>
                  <w:noWrap w:val="0"/>
                  <w:vAlign w:val="center"/>
                </w:tcPr>
                <w:p w14:paraId="52C29388">
                  <w:pPr>
                    <w:pStyle w:val="76"/>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危险废物仓库</w:t>
                  </w:r>
                </w:p>
              </w:tc>
              <w:tc>
                <w:tcPr>
                  <w:tcW w:w="897" w:type="dxa"/>
                  <w:noWrap w:val="0"/>
                  <w:vAlign w:val="center"/>
                </w:tcPr>
                <w:p w14:paraId="3ABAB3F7">
                  <w:pPr>
                    <w:snapToGrid w:val="0"/>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HW49</w:t>
                  </w:r>
                </w:p>
              </w:tc>
              <w:tc>
                <w:tcPr>
                  <w:tcW w:w="1118" w:type="dxa"/>
                  <w:noWrap w:val="0"/>
                  <w:vAlign w:val="center"/>
                </w:tcPr>
                <w:p w14:paraId="748710FA">
                  <w:pPr>
                    <w:snapToGrid w:val="0"/>
                    <w:jc w:val="center"/>
                    <w:rPr>
                      <w:rFonts w:hint="default" w:ascii="Times New Roman" w:hAnsi="Times New Roman" w:cs="Times New Roman"/>
                      <w:color w:val="000000" w:themeColor="text1"/>
                      <w:szCs w:val="21"/>
                      <w14:textFill>
                        <w14:solidFill>
                          <w14:schemeClr w14:val="tx1"/>
                        </w14:solidFill>
                      </w14:textFill>
                    </w:rPr>
                  </w:pPr>
                  <w:r>
                    <w:rPr>
                      <w:rFonts w:hint="eastAsia"/>
                      <w:smallCaps w:val="0"/>
                      <w:color w:val="000000" w:themeColor="text1"/>
                      <w:sz w:val="21"/>
                      <w:szCs w:val="21"/>
                      <w:lang w:val="en-US" w:eastAsia="zh-CN"/>
                      <w14:textFill>
                        <w14:solidFill>
                          <w14:schemeClr w14:val="tx1"/>
                        </w14:solidFill>
                      </w14:textFill>
                    </w:rPr>
                    <w:t>900-047-49</w:t>
                  </w:r>
                </w:p>
              </w:tc>
              <w:tc>
                <w:tcPr>
                  <w:tcW w:w="711" w:type="dxa"/>
                  <w:noWrap w:val="0"/>
                  <w:vAlign w:val="center"/>
                </w:tcPr>
                <w:p w14:paraId="5948D068">
                  <w:pPr>
                    <w:snapToGrid w:val="0"/>
                    <w:jc w:val="center"/>
                    <w:rPr>
                      <w:rFonts w:hint="default" w:ascii="Times New Roman" w:hAnsi="Times New Roman" w:eastAsia="宋体" w:cs="Times New Roman"/>
                      <w:color w:val="000000" w:themeColor="text1"/>
                      <w:kern w:val="0"/>
                      <w:lang w:val="en-US" w:eastAsia="zh-CN"/>
                      <w14:textFill>
                        <w14:solidFill>
                          <w14:schemeClr w14:val="tx1"/>
                        </w14:solidFill>
                      </w14:textFill>
                    </w:rPr>
                  </w:pPr>
                  <w:r>
                    <w:rPr>
                      <w:rFonts w:hint="eastAsia" w:ascii="Times New Roman" w:hAnsi="Times New Roman" w:eastAsia="宋体" w:cs="Times New Roman"/>
                      <w:color w:val="000000" w:themeColor="text1"/>
                      <w:kern w:val="0"/>
                      <w:lang w:val="en-US" w:eastAsia="zh-CN"/>
                      <w14:textFill>
                        <w14:solidFill>
                          <w14:schemeClr w14:val="tx1"/>
                        </w14:solidFill>
                      </w14:textFill>
                    </w:rPr>
                    <w:t>0.05</w:t>
                  </w:r>
                </w:p>
              </w:tc>
              <w:tc>
                <w:tcPr>
                  <w:tcW w:w="790" w:type="dxa"/>
                  <w:noWrap w:val="0"/>
                  <w:vAlign w:val="center"/>
                </w:tcPr>
                <w:p w14:paraId="59A01E56">
                  <w:pPr>
                    <w:pStyle w:val="76"/>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1</w:t>
                  </w:r>
                </w:p>
              </w:tc>
              <w:tc>
                <w:tcPr>
                  <w:tcW w:w="894" w:type="dxa"/>
                  <w:noWrap w:val="0"/>
                  <w:vAlign w:val="center"/>
                </w:tcPr>
                <w:p w14:paraId="587E304A">
                  <w:pPr>
                    <w:pStyle w:val="76"/>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桶装堆放</w:t>
                  </w:r>
                </w:p>
              </w:tc>
              <w:tc>
                <w:tcPr>
                  <w:tcW w:w="693" w:type="dxa"/>
                  <w:noWrap w:val="0"/>
                  <w:vAlign w:val="center"/>
                </w:tcPr>
                <w:p w14:paraId="7B83FE3A">
                  <w:pPr>
                    <w:pStyle w:val="76"/>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0.2</w:t>
                  </w:r>
                </w:p>
              </w:tc>
              <w:tc>
                <w:tcPr>
                  <w:tcW w:w="732" w:type="dxa"/>
                  <w:noWrap w:val="0"/>
                  <w:vAlign w:val="center"/>
                </w:tcPr>
                <w:p w14:paraId="2315989D">
                  <w:pPr>
                    <w:pStyle w:val="76"/>
                    <w:rPr>
                      <w:rFonts w:hint="default"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个月</w:t>
                  </w:r>
                </w:p>
              </w:tc>
            </w:tr>
          </w:tbl>
          <w:p w14:paraId="3D3E6D7E">
            <w:pPr>
              <w:keepNext w:val="0"/>
              <w:keepLines w:val="0"/>
              <w:pageBreakBefore w:val="0"/>
              <w:kinsoku/>
              <w:wordWrap/>
              <w:overflowPunct/>
              <w:topLinePunct w:val="0"/>
              <w:autoSpaceDE/>
              <w:autoSpaceDN/>
              <w:bidi w:val="0"/>
              <w:adjustRightInd w:val="0"/>
              <w:snapToGrid w:val="0"/>
              <w:spacing w:before="157" w:beforeLines="50" w:line="360" w:lineRule="auto"/>
              <w:ind w:firstLine="420" w:firstLineChars="200"/>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扩建</w:t>
            </w:r>
            <w:r>
              <w:rPr>
                <w:color w:val="000000" w:themeColor="text1"/>
                <w:szCs w:val="21"/>
                <w14:textFill>
                  <w14:solidFill>
                    <w14:schemeClr w14:val="tx1"/>
                  </w14:solidFill>
                </w14:textFill>
              </w:rPr>
              <w:t>项目危险废物委托处理前，</w:t>
            </w:r>
            <w:r>
              <w:rPr>
                <w:rFonts w:hint="eastAsia"/>
                <w:color w:val="000000" w:themeColor="text1"/>
                <w:szCs w:val="21"/>
                <w14:textFill>
                  <w14:solidFill>
                    <w14:schemeClr w14:val="tx1"/>
                  </w14:solidFill>
                </w14:textFill>
              </w:rPr>
              <w:t>暂存</w:t>
            </w:r>
            <w:r>
              <w:rPr>
                <w:color w:val="000000" w:themeColor="text1"/>
                <w:szCs w:val="21"/>
                <w14:textFill>
                  <w14:solidFill>
                    <w14:schemeClr w14:val="tx1"/>
                  </w14:solidFill>
                </w14:textFill>
              </w:rPr>
              <w:t>于危险废物仓库，</w:t>
            </w:r>
            <w:r>
              <w:rPr>
                <w:rFonts w:hint="eastAsia"/>
                <w:color w:val="000000" w:themeColor="text1"/>
                <w:szCs w:val="21"/>
                <w:lang w:val="en-US" w:eastAsia="zh-CN"/>
                <w14:textFill>
                  <w14:solidFill>
                    <w14:schemeClr w14:val="tx1"/>
                  </w14:solidFill>
                </w14:textFill>
              </w:rPr>
              <w:t>本项目新建</w:t>
            </w:r>
            <w:r>
              <w:rPr>
                <w:rFonts w:hint="eastAsia"/>
                <w:color w:val="000000" w:themeColor="text1"/>
                <w:szCs w:val="21"/>
                <w14:textFill>
                  <w14:solidFill>
                    <w14:schemeClr w14:val="tx1"/>
                  </w14:solidFill>
                </w14:textFill>
              </w:rPr>
              <w:t>一座</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危险废物仓库。</w:t>
            </w:r>
            <w:r>
              <w:rPr>
                <w:rFonts w:hint="eastAsia"/>
                <w:color w:val="000000" w:themeColor="text1"/>
                <w:szCs w:val="21"/>
                <w:lang w:val="en-US" w:eastAsia="zh-CN"/>
                <w14:textFill>
                  <w14:solidFill>
                    <w14:schemeClr w14:val="tx1"/>
                  </w14:solidFill>
                </w14:textFill>
              </w:rPr>
              <w:t>根据商标分析，</w:t>
            </w:r>
            <w:r>
              <w:rPr>
                <w:rFonts w:hint="eastAsia"/>
                <w:color w:val="000000" w:themeColor="text1"/>
                <w:szCs w:val="21"/>
                <w14:textFill>
                  <w14:solidFill>
                    <w14:schemeClr w14:val="tx1"/>
                  </w14:solidFill>
                </w14:textFill>
              </w:rPr>
              <w:t>危险废物仓库空间可以满足</w:t>
            </w:r>
            <w:r>
              <w:rPr>
                <w:rFonts w:hint="eastAsia"/>
                <w:color w:val="000000" w:themeColor="text1"/>
                <w:szCs w:val="21"/>
                <w:lang w:val="en-US" w:eastAsia="zh-CN"/>
                <w14:textFill>
                  <w14:solidFill>
                    <w14:schemeClr w14:val="tx1"/>
                  </w14:solidFill>
                </w14:textFill>
              </w:rPr>
              <w:t>本项目</w:t>
            </w:r>
            <w:r>
              <w:rPr>
                <w:rFonts w:hint="eastAsia"/>
                <w:color w:val="000000" w:themeColor="text1"/>
                <w:szCs w:val="21"/>
                <w14:textFill>
                  <w14:solidFill>
                    <w14:schemeClr w14:val="tx1"/>
                  </w14:solidFill>
                </w14:textFill>
              </w:rPr>
              <w:t>危险废物贮存的要求。</w:t>
            </w:r>
          </w:p>
          <w:p w14:paraId="1958561E">
            <w:pPr>
              <w:pStyle w:val="9"/>
              <w:keepNext w:val="0"/>
              <w:keepLines w:val="0"/>
              <w:pageBreakBefore w:val="0"/>
              <w:widowControl/>
              <w:kinsoku/>
              <w:wordWrap/>
              <w:overflowPunct/>
              <w:topLinePunct w:val="0"/>
              <w:autoSpaceDE/>
              <w:autoSpaceDN/>
              <w:bidi w:val="0"/>
              <w:adjustRightInd w:val="0"/>
              <w:snapToGrid w:val="0"/>
              <w:spacing w:before="0" w:after="0" w:line="360" w:lineRule="auto"/>
              <w:ind w:right="0" w:firstLine="420" w:firstLineChars="200"/>
              <w:jc w:val="both"/>
              <w:textAlignment w:val="auto"/>
              <w:rPr>
                <w:rFonts w:hint="eastAsia" w:eastAsia="宋体"/>
                <w:color w:val="000000" w:themeColor="text1"/>
                <w:kern w:val="0"/>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项目产生危险废物中不含挥发性物质，</w:t>
            </w:r>
            <w:r>
              <w:rPr>
                <w:rFonts w:hint="eastAsia"/>
                <w:color w:val="000000" w:themeColor="text1"/>
                <w:sz w:val="21"/>
                <w:szCs w:val="21"/>
                <w:lang w:val="en-US" w:eastAsia="zh-CN"/>
                <w14:textFill>
                  <w14:solidFill>
                    <w14:schemeClr w14:val="tx1"/>
                  </w14:solidFill>
                </w14:textFill>
              </w:rPr>
              <w:t>且危险废物</w:t>
            </w:r>
            <w:r>
              <w:rPr>
                <w:rFonts w:hint="eastAsia"/>
                <w:color w:val="000000" w:themeColor="text1"/>
                <w:sz w:val="21"/>
                <w:szCs w:val="21"/>
                <w14:textFill>
                  <w14:solidFill>
                    <w14:schemeClr w14:val="tx1"/>
                  </w14:solidFill>
                </w14:textFill>
              </w:rPr>
              <w:t>在贮存及转运过程中均能够保持密封，防止物料逸散、洒落。</w:t>
            </w:r>
            <w:r>
              <w:rPr>
                <w:rFonts w:hint="eastAsia"/>
                <w:color w:val="000000" w:themeColor="text1"/>
                <w:sz w:val="21"/>
                <w:szCs w:val="21"/>
                <w:lang w:val="en-US" w:eastAsia="zh-CN"/>
                <w14:textFill>
                  <w14:solidFill>
                    <w14:schemeClr w14:val="tx1"/>
                  </w14:solidFill>
                </w14:textFill>
              </w:rPr>
              <w:t>现有</w:t>
            </w:r>
            <w:r>
              <w:rPr>
                <w:rFonts w:hint="eastAsia"/>
                <w:color w:val="000000" w:themeColor="text1"/>
                <w:sz w:val="21"/>
                <w:szCs w:val="21"/>
                <w14:textFill>
                  <w14:solidFill>
                    <w14:schemeClr w14:val="tx1"/>
                  </w14:solidFill>
                </w14:textFill>
              </w:rPr>
              <w:t>危险废物仓库</w:t>
            </w:r>
            <w:r>
              <w:rPr>
                <w:rFonts w:hint="eastAsia"/>
                <w:color w:val="000000" w:themeColor="text1"/>
                <w:sz w:val="21"/>
                <w:szCs w:val="21"/>
                <w:lang w:val="en-US" w:eastAsia="zh-CN"/>
                <w14:textFill>
                  <w14:solidFill>
                    <w14:schemeClr w14:val="tx1"/>
                  </w14:solidFill>
                </w14:textFill>
              </w:rPr>
              <w:t>内</w:t>
            </w:r>
            <w:r>
              <w:rPr>
                <w:rFonts w:hint="eastAsia"/>
                <w:color w:val="000000" w:themeColor="text1"/>
                <w:sz w:val="21"/>
                <w:szCs w:val="21"/>
                <w14:textFill>
                  <w14:solidFill>
                    <w14:schemeClr w14:val="tx1"/>
                  </w14:solidFill>
                </w14:textFill>
              </w:rPr>
              <w:t>已</w:t>
            </w:r>
            <w:r>
              <w:rPr>
                <w:color w:val="000000" w:themeColor="text1"/>
                <w:sz w:val="21"/>
                <w:szCs w:val="21"/>
                <w14:textFill>
                  <w14:solidFill>
                    <w14:schemeClr w14:val="tx1"/>
                  </w14:solidFill>
                </w14:textFill>
              </w:rPr>
              <w:t>设置相关危险废物识别标志，</w:t>
            </w:r>
            <w:r>
              <w:rPr>
                <w:rFonts w:hint="eastAsia"/>
                <w:color w:val="000000" w:themeColor="text1"/>
                <w:sz w:val="21"/>
                <w:szCs w:val="21"/>
                <w14:textFill>
                  <w14:solidFill>
                    <w14:schemeClr w14:val="tx1"/>
                  </w14:solidFill>
                </w14:textFill>
              </w:rPr>
              <w:t>并</w:t>
            </w:r>
            <w:r>
              <w:rPr>
                <w:color w:val="000000" w:themeColor="text1"/>
                <w:sz w:val="21"/>
                <w:szCs w:val="21"/>
                <w14:textFill>
                  <w14:solidFill>
                    <w14:schemeClr w14:val="tx1"/>
                  </w14:solidFill>
                </w14:textFill>
              </w:rPr>
              <w:t>建立危废管理档案、台账，</w:t>
            </w:r>
            <w:r>
              <w:rPr>
                <w:rFonts w:hint="eastAsia"/>
                <w:color w:val="000000" w:themeColor="text1"/>
                <w:sz w:val="21"/>
                <w:szCs w:val="21"/>
                <w14:textFill>
                  <w14:solidFill>
                    <w14:schemeClr w14:val="tx1"/>
                  </w14:solidFill>
                </w14:textFill>
              </w:rPr>
              <w:t>能够</w:t>
            </w:r>
            <w:r>
              <w:rPr>
                <w:color w:val="000000" w:themeColor="text1"/>
                <w:sz w:val="21"/>
                <w:szCs w:val="21"/>
                <w14:textFill>
                  <w14:solidFill>
                    <w14:schemeClr w14:val="tx1"/>
                  </w14:solidFill>
                </w14:textFill>
              </w:rPr>
              <w:t>合法、安全、规范处置危废。因此本</w:t>
            </w:r>
            <w:r>
              <w:rPr>
                <w:rFonts w:hint="eastAsia"/>
                <w:color w:val="000000" w:themeColor="text1"/>
                <w:sz w:val="21"/>
                <w:szCs w:val="21"/>
                <w14:textFill>
                  <w14:solidFill>
                    <w14:schemeClr w14:val="tx1"/>
                  </w14:solidFill>
                </w14:textFill>
              </w:rPr>
              <w:t>次扩建</w:t>
            </w:r>
            <w:r>
              <w:rPr>
                <w:color w:val="000000" w:themeColor="text1"/>
                <w:sz w:val="21"/>
                <w:szCs w:val="21"/>
                <w14:textFill>
                  <w14:solidFill>
                    <w14:schemeClr w14:val="tx1"/>
                  </w14:solidFill>
                </w14:textFill>
              </w:rPr>
              <w:t>项目所有固体废物均可实现</w:t>
            </w:r>
            <w:r>
              <w:rPr>
                <w:rFonts w:hint="eastAsia"/>
                <w:color w:val="000000" w:themeColor="text1"/>
                <w:sz w:val="21"/>
                <w:szCs w:val="21"/>
                <w14:textFill>
                  <w14:solidFill>
                    <w14:schemeClr w14:val="tx1"/>
                  </w14:solidFill>
                </w14:textFill>
              </w:rPr>
              <w:t>安全</w:t>
            </w:r>
            <w:r>
              <w:rPr>
                <w:color w:val="000000" w:themeColor="text1"/>
                <w:sz w:val="21"/>
                <w:szCs w:val="21"/>
                <w14:textFill>
                  <w14:solidFill>
                    <w14:schemeClr w14:val="tx1"/>
                  </w14:solidFill>
                </w14:textFill>
              </w:rPr>
              <w:t>收集贮存，对环境的影响具有可控性。</w:t>
            </w:r>
          </w:p>
          <w:p w14:paraId="579A4C14">
            <w:pPr>
              <w:adjustRightInd w:val="0"/>
              <w:snapToGrid w:val="0"/>
              <w:spacing w:line="360" w:lineRule="auto"/>
              <w:ind w:firstLine="422" w:firstLineChars="200"/>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②危险废物贮存场所设计要求</w:t>
            </w:r>
          </w:p>
          <w:p w14:paraId="46D9309B">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根据《</w:t>
            </w:r>
            <w:r>
              <w:rPr>
                <w:rFonts w:hint="eastAsia"/>
                <w:color w:val="000000" w:themeColor="text1"/>
                <w:szCs w:val="21"/>
                <w14:textFill>
                  <w14:solidFill>
                    <w14:schemeClr w14:val="tx1"/>
                  </w14:solidFill>
                </w14:textFill>
              </w:rPr>
              <w:t>危险废物贮存污染控制标准</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GB18597-2023</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及《省生态环境厅关于做好&lt;危险废物贮存污染控制标准&gt;等标准规范实施后危险废物环境管理衔接工作的通知》（苏环办〔2023〕154号）中相关规定</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现有</w:t>
            </w:r>
            <w:r>
              <w:rPr>
                <w:color w:val="000000" w:themeColor="text1"/>
                <w:szCs w:val="21"/>
                <w14:textFill>
                  <w14:solidFill>
                    <w14:schemeClr w14:val="tx1"/>
                  </w14:solidFill>
                </w14:textFill>
              </w:rPr>
              <w:t>项目</w:t>
            </w:r>
            <w:r>
              <w:rPr>
                <w:rFonts w:hint="eastAsia"/>
                <w:color w:val="000000" w:themeColor="text1"/>
                <w:szCs w:val="21"/>
                <w14:textFill>
                  <w14:solidFill>
                    <w14:schemeClr w14:val="tx1"/>
                  </w14:solidFill>
                </w14:textFill>
              </w:rPr>
              <w:t>已建危险废物仓库</w:t>
            </w:r>
            <w:r>
              <w:rPr>
                <w:rFonts w:hint="eastAsia"/>
                <w:color w:val="000000" w:themeColor="text1"/>
                <w:szCs w:val="21"/>
                <w:lang w:val="en-US" w:eastAsia="zh-CN"/>
                <w14:textFill>
                  <w14:solidFill>
                    <w14:schemeClr w14:val="tx1"/>
                  </w14:solidFill>
                </w14:textFill>
              </w:rPr>
              <w:t>应</w:t>
            </w:r>
            <w:r>
              <w:rPr>
                <w:rFonts w:hint="eastAsia"/>
                <w:color w:val="000000" w:themeColor="text1"/>
                <w:szCs w:val="21"/>
                <w14:textFill>
                  <w14:solidFill>
                    <w14:schemeClr w14:val="tx1"/>
                  </w14:solidFill>
                </w14:textFill>
              </w:rPr>
              <w:t>做到</w:t>
            </w:r>
            <w:r>
              <w:rPr>
                <w:color w:val="000000" w:themeColor="text1"/>
                <w:szCs w:val="21"/>
                <w14:textFill>
                  <w14:solidFill>
                    <w14:schemeClr w14:val="tx1"/>
                  </w14:solidFill>
                </w14:textFill>
              </w:rPr>
              <w:t>以下要求：</w:t>
            </w:r>
          </w:p>
          <w:p w14:paraId="02531E6D">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r>
              <w:rPr>
                <w:color w:val="000000" w:themeColor="text1"/>
                <w:szCs w:val="21"/>
                <w14:textFill>
                  <w14:solidFill>
                    <w14:schemeClr w14:val="tx1"/>
                  </w14:solidFill>
                </w14:textFill>
              </w:rPr>
              <w:t>根据危险废物的形态、物理化学性质、包装形式和污染物迁移途径，</w:t>
            </w:r>
            <w:r>
              <w:rPr>
                <w:rFonts w:hint="eastAsia"/>
                <w:color w:val="000000" w:themeColor="text1"/>
                <w:szCs w:val="21"/>
                <w14:textFill>
                  <w14:solidFill>
                    <w14:schemeClr w14:val="tx1"/>
                  </w14:solidFill>
                </w14:textFill>
              </w:rPr>
              <w:t>危险废物仓库已</w:t>
            </w:r>
            <w:r>
              <w:rPr>
                <w:color w:val="000000" w:themeColor="text1"/>
                <w:szCs w:val="21"/>
                <w14:textFill>
                  <w14:solidFill>
                    <w14:schemeClr w14:val="tx1"/>
                  </w14:solidFill>
                </w14:textFill>
              </w:rPr>
              <w:t>采取防风、防晒、防雨、防漏、防渗、防腐以及其他环境污染防治措施，</w:t>
            </w:r>
            <w:r>
              <w:rPr>
                <w:rFonts w:hint="eastAsia"/>
                <w:color w:val="000000" w:themeColor="text1"/>
                <w:szCs w:val="21"/>
                <w14:textFill>
                  <w14:solidFill>
                    <w14:schemeClr w14:val="tx1"/>
                  </w14:solidFill>
                </w14:textFill>
              </w:rPr>
              <w:t>危险废物仓库为单独密闭区域，未</w:t>
            </w:r>
            <w:r>
              <w:rPr>
                <w:color w:val="000000" w:themeColor="text1"/>
                <w:szCs w:val="21"/>
                <w14:textFill>
                  <w14:solidFill>
                    <w14:schemeClr w14:val="tx1"/>
                  </w14:solidFill>
                </w14:textFill>
              </w:rPr>
              <w:t>露天堆放危险废物</w:t>
            </w:r>
            <w:r>
              <w:rPr>
                <w:rFonts w:hint="eastAsia"/>
                <w:color w:val="000000" w:themeColor="text1"/>
                <w:szCs w:val="21"/>
                <w14:textFill>
                  <w14:solidFill>
                    <w14:schemeClr w14:val="tx1"/>
                  </w14:solidFill>
                </w14:textFill>
              </w:rPr>
              <w:t>；</w:t>
            </w:r>
          </w:p>
          <w:p w14:paraId="6AF5A0A4">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B.危险废物仓库内部已</w:t>
            </w:r>
            <w:r>
              <w:rPr>
                <w:color w:val="000000" w:themeColor="text1"/>
                <w:szCs w:val="21"/>
                <w14:textFill>
                  <w14:solidFill>
                    <w14:schemeClr w14:val="tx1"/>
                  </w14:solidFill>
                </w14:textFill>
              </w:rPr>
              <w:t>根据危险废物的类别、数量、形态、物理化学性质和污染防治等要求设置贮存分区，</w:t>
            </w:r>
            <w:r>
              <w:rPr>
                <w:rFonts w:hint="eastAsia"/>
                <w:color w:val="000000" w:themeColor="text1"/>
                <w:szCs w:val="21"/>
                <w14:textFill>
                  <w14:solidFill>
                    <w14:schemeClr w14:val="tx1"/>
                  </w14:solidFill>
                </w14:textFill>
              </w:rPr>
              <w:t>可有效</w:t>
            </w:r>
            <w:r>
              <w:rPr>
                <w:color w:val="000000" w:themeColor="text1"/>
                <w:szCs w:val="21"/>
                <w14:textFill>
                  <w14:solidFill>
                    <w14:schemeClr w14:val="tx1"/>
                  </w14:solidFill>
                </w14:textFill>
              </w:rPr>
              <w:t>避免不相容的危险废物接触、混合</w:t>
            </w:r>
            <w:r>
              <w:rPr>
                <w:rFonts w:hint="eastAsia"/>
                <w:color w:val="000000" w:themeColor="text1"/>
                <w:szCs w:val="21"/>
                <w14:textFill>
                  <w14:solidFill>
                    <w14:schemeClr w14:val="tx1"/>
                  </w14:solidFill>
                </w14:textFill>
              </w:rPr>
              <w:t>；</w:t>
            </w:r>
          </w:p>
          <w:p w14:paraId="4352BD9D">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C.危险废物仓库</w:t>
            </w:r>
            <w:r>
              <w:rPr>
                <w:color w:val="000000" w:themeColor="text1"/>
                <w:szCs w:val="21"/>
                <w14:textFill>
                  <w14:solidFill>
                    <w14:schemeClr w14:val="tx1"/>
                  </w14:solidFill>
                </w14:textFill>
              </w:rPr>
              <w:t>内地面、墙面裙脚、堵截泄漏的围堰、接触危险废物的隔板和墙体</w:t>
            </w:r>
            <w:r>
              <w:rPr>
                <w:rFonts w:hint="eastAsia"/>
                <w:color w:val="000000" w:themeColor="text1"/>
                <w:szCs w:val="21"/>
                <w14:textFill>
                  <w14:solidFill>
                    <w14:schemeClr w14:val="tx1"/>
                  </w14:solidFill>
                </w14:textFill>
              </w:rPr>
              <w:t>均已</w:t>
            </w:r>
            <w:r>
              <w:rPr>
                <w:color w:val="000000" w:themeColor="text1"/>
                <w:szCs w:val="21"/>
                <w14:textFill>
                  <w14:solidFill>
                    <w14:schemeClr w14:val="tx1"/>
                  </w14:solidFill>
                </w14:textFill>
              </w:rPr>
              <w:t>采用坚固的材料建造，</w:t>
            </w:r>
            <w:r>
              <w:rPr>
                <w:rFonts w:hint="eastAsia"/>
                <w:color w:val="000000" w:themeColor="text1"/>
                <w:szCs w:val="21"/>
                <w14:textFill>
                  <w14:solidFill>
                    <w14:schemeClr w14:val="tx1"/>
                  </w14:solidFill>
                </w14:textFill>
              </w:rPr>
              <w:t>且</w:t>
            </w:r>
            <w:r>
              <w:rPr>
                <w:color w:val="000000" w:themeColor="text1"/>
                <w:szCs w:val="21"/>
                <w14:textFill>
                  <w14:solidFill>
                    <w14:schemeClr w14:val="tx1"/>
                  </w14:solidFill>
                </w14:textFill>
              </w:rPr>
              <w:t>表面无裂缝</w:t>
            </w:r>
            <w:r>
              <w:rPr>
                <w:rFonts w:hint="eastAsia"/>
                <w:color w:val="000000" w:themeColor="text1"/>
                <w:szCs w:val="21"/>
                <w14:textFill>
                  <w14:solidFill>
                    <w14:schemeClr w14:val="tx1"/>
                  </w14:solidFill>
                </w14:textFill>
              </w:rPr>
              <w:t>；</w:t>
            </w:r>
          </w:p>
          <w:p w14:paraId="0C27E8CA">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D.危险废物仓库内</w:t>
            </w:r>
            <w:r>
              <w:rPr>
                <w:color w:val="000000" w:themeColor="text1"/>
                <w:szCs w:val="21"/>
                <w14:textFill>
                  <w14:solidFill>
                    <w14:schemeClr w14:val="tx1"/>
                  </w14:solidFill>
                </w14:textFill>
              </w:rPr>
              <w:t>地面与裙脚</w:t>
            </w:r>
            <w:r>
              <w:rPr>
                <w:rFonts w:hint="eastAsia"/>
                <w:color w:val="000000" w:themeColor="text1"/>
                <w:szCs w:val="21"/>
                <w14:textFill>
                  <w14:solidFill>
                    <w14:schemeClr w14:val="tx1"/>
                  </w14:solidFill>
                </w14:textFill>
              </w:rPr>
              <w:t>已</w:t>
            </w:r>
            <w:r>
              <w:rPr>
                <w:color w:val="000000" w:themeColor="text1"/>
                <w:szCs w:val="21"/>
                <w14:textFill>
                  <w14:solidFill>
                    <w14:schemeClr w14:val="tx1"/>
                  </w14:solidFill>
                </w14:textFill>
              </w:rPr>
              <w:t>采取表面防渗措施；表面防渗材料采用</w:t>
            </w:r>
            <w:r>
              <w:rPr>
                <w:rFonts w:hint="eastAsia"/>
                <w:color w:val="000000" w:themeColor="text1"/>
                <w:szCs w:val="21"/>
                <w14:textFill>
                  <w14:solidFill>
                    <w14:schemeClr w14:val="tx1"/>
                  </w14:solidFill>
                </w14:textFill>
              </w:rPr>
              <w:t>环氧地坪，</w:t>
            </w:r>
            <w:r>
              <w:rPr>
                <w:color w:val="000000" w:themeColor="text1"/>
                <w:szCs w:val="21"/>
                <w14:textFill>
                  <w14:solidFill>
                    <w14:schemeClr w14:val="tx1"/>
                  </w14:solidFill>
                </w14:textFill>
              </w:rPr>
              <w:t>与所接触的物料或污染物相容，</w:t>
            </w:r>
            <w:r>
              <w:rPr>
                <w:rFonts w:hint="eastAsia"/>
                <w:color w:val="000000" w:themeColor="text1"/>
                <w:szCs w:val="21"/>
                <w14:textFill>
                  <w14:solidFill>
                    <w14:schemeClr w14:val="tx1"/>
                  </w14:solidFill>
                </w14:textFill>
              </w:rPr>
              <w:t>且具有高强度、耐磨损、防腐、表面无接缝等性能</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厂区内</w:t>
            </w:r>
            <w:r>
              <w:rPr>
                <w:color w:val="000000" w:themeColor="text1"/>
                <w:szCs w:val="21"/>
                <w14:textFill>
                  <w14:solidFill>
                    <w14:schemeClr w14:val="tx1"/>
                  </w14:solidFill>
                </w14:textFill>
              </w:rPr>
              <w:t>贮存的危险废物</w:t>
            </w:r>
            <w:r>
              <w:rPr>
                <w:rFonts w:hint="eastAsia"/>
                <w:color w:val="000000" w:themeColor="text1"/>
                <w:szCs w:val="21"/>
                <w14:textFill>
                  <w14:solidFill>
                    <w14:schemeClr w14:val="tx1"/>
                  </w14:solidFill>
                </w14:textFill>
              </w:rPr>
              <w:t>不与</w:t>
            </w:r>
            <w:r>
              <w:rPr>
                <w:color w:val="000000" w:themeColor="text1"/>
                <w:szCs w:val="21"/>
                <w14:textFill>
                  <w14:solidFill>
                    <w14:schemeClr w14:val="tx1"/>
                  </w14:solidFill>
                </w14:textFill>
              </w:rPr>
              <w:t>地面直接接触，</w:t>
            </w:r>
            <w:r>
              <w:rPr>
                <w:rFonts w:hint="eastAsia"/>
                <w:color w:val="000000" w:themeColor="text1"/>
                <w:szCs w:val="21"/>
                <w14:textFill>
                  <w14:solidFill>
                    <w14:schemeClr w14:val="tx1"/>
                  </w14:solidFill>
                </w14:textFill>
              </w:rPr>
              <w:t>危险废物下方均已设置防渗漏托盘；</w:t>
            </w:r>
          </w:p>
          <w:p w14:paraId="283B31AE">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E.危险废物仓库内</w:t>
            </w:r>
            <w:r>
              <w:rPr>
                <w:color w:val="000000" w:themeColor="text1"/>
                <w:szCs w:val="21"/>
                <w14:textFill>
                  <w14:solidFill>
                    <w14:schemeClr w14:val="tx1"/>
                  </w14:solidFill>
                </w14:textFill>
              </w:rPr>
              <w:t>采用相同的防渗、防腐工艺</w:t>
            </w:r>
            <w:r>
              <w:rPr>
                <w:rFonts w:hint="eastAsia"/>
                <w:color w:val="000000" w:themeColor="text1"/>
                <w:szCs w:val="21"/>
                <w14:textFill>
                  <w14:solidFill>
                    <w14:schemeClr w14:val="tx1"/>
                  </w14:solidFill>
                </w14:textFill>
              </w:rPr>
              <w:t>及</w:t>
            </w:r>
            <w:r>
              <w:rPr>
                <w:color w:val="000000" w:themeColor="text1"/>
                <w:szCs w:val="21"/>
                <w14:textFill>
                  <w14:solidFill>
                    <w14:schemeClr w14:val="tx1"/>
                  </w14:solidFill>
                </w14:textFill>
              </w:rPr>
              <w:t>防渗、防腐结构</w:t>
            </w:r>
            <w:r>
              <w:rPr>
                <w:rFonts w:hint="eastAsia"/>
                <w:color w:val="000000" w:themeColor="text1"/>
                <w:szCs w:val="21"/>
                <w14:textFill>
                  <w14:solidFill>
                    <w14:schemeClr w14:val="tx1"/>
                  </w14:solidFill>
                </w14:textFill>
              </w:rPr>
              <w:t>和</w:t>
            </w:r>
            <w:r>
              <w:rPr>
                <w:color w:val="000000" w:themeColor="text1"/>
                <w:szCs w:val="21"/>
                <w14:textFill>
                  <w14:solidFill>
                    <w14:schemeClr w14:val="tx1"/>
                  </w14:solidFill>
                </w14:textFill>
              </w:rPr>
              <w:t>材料，防渗、防腐材料</w:t>
            </w:r>
            <w:r>
              <w:rPr>
                <w:rFonts w:hint="eastAsia"/>
                <w:color w:val="000000" w:themeColor="text1"/>
                <w:szCs w:val="21"/>
                <w14:textFill>
                  <w14:solidFill>
                    <w14:schemeClr w14:val="tx1"/>
                  </w14:solidFill>
                </w14:textFill>
              </w:rPr>
              <w:t>能够</w:t>
            </w:r>
            <w:r>
              <w:rPr>
                <w:color w:val="000000" w:themeColor="text1"/>
                <w:szCs w:val="21"/>
                <w14:textFill>
                  <w14:solidFill>
                    <w14:schemeClr w14:val="tx1"/>
                  </w14:solidFill>
                </w14:textFill>
              </w:rPr>
              <w:t>覆盖所有可能与废物及其渗滤液、渗漏液等接触的构筑物表面</w:t>
            </w:r>
            <w:r>
              <w:rPr>
                <w:rFonts w:hint="eastAsia"/>
                <w:color w:val="000000" w:themeColor="text1"/>
                <w:szCs w:val="21"/>
                <w14:textFill>
                  <w14:solidFill>
                    <w14:schemeClr w14:val="tx1"/>
                  </w14:solidFill>
                </w14:textFill>
              </w:rPr>
              <w:t>；</w:t>
            </w:r>
          </w:p>
          <w:p w14:paraId="20E7DB0E">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F.危险废物仓库已</w:t>
            </w:r>
            <w:r>
              <w:rPr>
                <w:color w:val="000000" w:themeColor="text1"/>
                <w:szCs w:val="21"/>
                <w14:textFill>
                  <w14:solidFill>
                    <w14:schemeClr w14:val="tx1"/>
                  </w14:solidFill>
                </w14:textFill>
              </w:rPr>
              <w:t>采取技术和管理措施</w:t>
            </w:r>
            <w:r>
              <w:rPr>
                <w:rFonts w:hint="eastAsia"/>
                <w:color w:val="000000" w:themeColor="text1"/>
                <w:szCs w:val="21"/>
                <w14:textFill>
                  <w14:solidFill>
                    <w14:schemeClr w14:val="tx1"/>
                  </w14:solidFill>
                </w14:textFill>
              </w:rPr>
              <w:t>，设置专人管理，禁止</w:t>
            </w:r>
            <w:r>
              <w:rPr>
                <w:color w:val="000000" w:themeColor="text1"/>
                <w:szCs w:val="21"/>
                <w14:textFill>
                  <w14:solidFill>
                    <w14:schemeClr w14:val="tx1"/>
                  </w14:solidFill>
                </w14:textFill>
              </w:rPr>
              <w:t>无关人员进入</w:t>
            </w:r>
            <w:r>
              <w:rPr>
                <w:rFonts w:hint="eastAsia"/>
                <w:color w:val="000000" w:themeColor="text1"/>
                <w:szCs w:val="21"/>
                <w14:textFill>
                  <w14:solidFill>
                    <w14:schemeClr w14:val="tx1"/>
                  </w14:solidFill>
                </w14:textFill>
              </w:rPr>
              <w:t>；</w:t>
            </w:r>
          </w:p>
          <w:p w14:paraId="767BE05B">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G.危险废物仓库内部及危险废物</w:t>
            </w:r>
            <w:r>
              <w:rPr>
                <w:color w:val="000000" w:themeColor="text1"/>
                <w:szCs w:val="21"/>
                <w14:textFill>
                  <w14:solidFill>
                    <w14:schemeClr w14:val="tx1"/>
                  </w14:solidFill>
                </w14:textFill>
              </w:rPr>
              <w:t>容器和包装物</w:t>
            </w:r>
            <w:r>
              <w:rPr>
                <w:rFonts w:hint="eastAsia"/>
                <w:color w:val="000000" w:themeColor="text1"/>
                <w:szCs w:val="21"/>
                <w14:textFill>
                  <w14:solidFill>
                    <w14:schemeClr w14:val="tx1"/>
                  </w14:solidFill>
                </w14:textFill>
              </w:rPr>
              <w:t>已按照相关标准</w:t>
            </w:r>
            <w:r>
              <w:rPr>
                <w:color w:val="000000" w:themeColor="text1"/>
                <w:szCs w:val="21"/>
                <w14:textFill>
                  <w14:solidFill>
                    <w14:schemeClr w14:val="tx1"/>
                  </w14:solidFill>
                </w14:textFill>
              </w:rPr>
              <w:t>要求设置危险废物贮存场所标志、危险废物贮存分区标志和危险废物标签等危险废物识别标志</w:t>
            </w:r>
            <w:r>
              <w:rPr>
                <w:rFonts w:hint="eastAsia"/>
                <w:color w:val="000000" w:themeColor="text1"/>
                <w:szCs w:val="21"/>
                <w14:textFill>
                  <w14:solidFill>
                    <w14:schemeClr w14:val="tx1"/>
                  </w14:solidFill>
                </w14:textFill>
              </w:rPr>
              <w:t>；</w:t>
            </w:r>
          </w:p>
          <w:p w14:paraId="01C7BE9F">
            <w:pPr>
              <w:adjustRightInd w:val="0"/>
              <w:snapToGrid w:val="0"/>
              <w:spacing w:line="360"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H.危险废物仓库内已</w:t>
            </w:r>
            <w:r>
              <w:rPr>
                <w:color w:val="000000" w:themeColor="text1"/>
                <w:szCs w:val="21"/>
                <w14:textFill>
                  <w14:solidFill>
                    <w14:schemeClr w14:val="tx1"/>
                  </w14:solidFill>
                </w14:textFill>
              </w:rPr>
              <w:t>按照要求规范配备照明设施</w:t>
            </w:r>
            <w:r>
              <w:rPr>
                <w:rFonts w:hint="eastAsia"/>
                <w:color w:val="000000" w:themeColor="text1"/>
                <w:szCs w:val="21"/>
                <w:lang w:val="en-US" w:eastAsia="zh-CN"/>
                <w14:textFill>
                  <w14:solidFill>
                    <w14:schemeClr w14:val="tx1"/>
                  </w14:solidFill>
                </w14:textFill>
              </w:rPr>
              <w:t>及</w:t>
            </w:r>
            <w:r>
              <w:rPr>
                <w:color w:val="000000" w:themeColor="text1"/>
                <w:szCs w:val="21"/>
                <w14:textFill>
                  <w14:solidFill>
                    <w14:schemeClr w14:val="tx1"/>
                  </w14:solidFill>
                </w14:textFill>
              </w:rPr>
              <w:t>消防设施；在设施内部等关键位置</w:t>
            </w:r>
            <w:r>
              <w:rPr>
                <w:rFonts w:hint="eastAsia"/>
                <w:color w:val="000000" w:themeColor="text1"/>
                <w:szCs w:val="21"/>
                <w14:textFill>
                  <w14:solidFill>
                    <w14:schemeClr w14:val="tx1"/>
                  </w14:solidFill>
                </w14:textFill>
              </w:rPr>
              <w:t>已</w:t>
            </w:r>
            <w:r>
              <w:rPr>
                <w:color w:val="000000" w:themeColor="text1"/>
                <w:szCs w:val="21"/>
                <w14:textFill>
                  <w14:solidFill>
                    <w14:schemeClr w14:val="tx1"/>
                  </w14:solidFill>
                </w14:textFill>
              </w:rPr>
              <w:t>按照危险废物贮存设施视频监控布设要求设置视频监控，并</w:t>
            </w:r>
            <w:r>
              <w:rPr>
                <w:rFonts w:hint="eastAsia"/>
                <w:color w:val="000000" w:themeColor="text1"/>
                <w:szCs w:val="21"/>
                <w14:textFill>
                  <w14:solidFill>
                    <w14:schemeClr w14:val="tx1"/>
                  </w14:solidFill>
                </w14:textFill>
              </w:rPr>
              <w:t>已</w:t>
            </w:r>
            <w:r>
              <w:rPr>
                <w:color w:val="000000" w:themeColor="text1"/>
                <w:szCs w:val="21"/>
                <w14:textFill>
                  <w14:solidFill>
                    <w14:schemeClr w14:val="tx1"/>
                  </w14:solidFill>
                </w14:textFill>
              </w:rPr>
              <w:t>与中控室联网</w:t>
            </w:r>
            <w:r>
              <w:rPr>
                <w:rFonts w:hint="eastAsia"/>
                <w:color w:val="000000" w:themeColor="text1"/>
                <w:szCs w:val="21"/>
                <w14:textFill>
                  <w14:solidFill>
                    <w14:schemeClr w14:val="tx1"/>
                  </w14:solidFill>
                </w14:textFill>
              </w:rPr>
              <w:t>，视频监控装置的监控画面清晰，视频记录保存时间至少可保持3个月；</w:t>
            </w:r>
          </w:p>
          <w:p w14:paraId="0C08CE8B">
            <w:pPr>
              <w:adjustRightInd w:val="0"/>
              <w:snapToGrid w:val="0"/>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I.危险废物仓库已按照《危险废物识别标志设置技术规范》（HJ1276-2022）中要求规范</w:t>
            </w:r>
            <w:r>
              <w:rPr>
                <w:color w:val="000000" w:themeColor="text1"/>
                <w:szCs w:val="21"/>
                <w14:textFill>
                  <w14:solidFill>
                    <w14:schemeClr w14:val="tx1"/>
                  </w14:solidFill>
                </w14:textFill>
              </w:rPr>
              <w:t>设置</w:t>
            </w:r>
            <w:r>
              <w:rPr>
                <w:rFonts w:hint="eastAsia"/>
                <w:color w:val="000000" w:themeColor="text1"/>
                <w:szCs w:val="21"/>
                <w14:textFill>
                  <w14:solidFill>
                    <w14:schemeClr w14:val="tx1"/>
                  </w14:solidFill>
                </w14:textFill>
              </w:rPr>
              <w:t>分区</w:t>
            </w:r>
            <w:r>
              <w:rPr>
                <w:color w:val="000000" w:themeColor="text1"/>
                <w:szCs w:val="21"/>
                <w14:textFill>
                  <w14:solidFill>
                    <w14:schemeClr w14:val="tx1"/>
                  </w14:solidFill>
                </w14:textFill>
              </w:rPr>
              <w:t>标志</w:t>
            </w:r>
            <w:r>
              <w:rPr>
                <w:rFonts w:hint="eastAsia"/>
                <w:color w:val="000000" w:themeColor="text1"/>
                <w:szCs w:val="21"/>
                <w14:textFill>
                  <w14:solidFill>
                    <w14:schemeClr w14:val="tx1"/>
                  </w14:solidFill>
                </w14:textFill>
              </w:rPr>
              <w:t>、贮存设施标志等标识牌。</w:t>
            </w:r>
          </w:p>
          <w:p w14:paraId="0F30282B">
            <w:pPr>
              <w:adjustRightInd w:val="0"/>
              <w:snapToGrid w:val="0"/>
              <w:spacing w:line="360" w:lineRule="auto"/>
              <w:ind w:firstLine="422" w:firstLineChars="200"/>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③危险废物运输过程污染防治措施</w:t>
            </w:r>
          </w:p>
          <w:p w14:paraId="6F4EE06C">
            <w:pPr>
              <w:pStyle w:val="78"/>
              <w:adjustRightInd w:val="0"/>
              <w:snapToGrid w:val="0"/>
              <w:ind w:firstLine="420"/>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危险废物运输过程中如果发生散落、泄漏，容易腐化设备、产生恶臭，污染运输沿途环境，若下渗或泄漏进入土壤或地下水，将会造成局部土壤和地下水的污染，因此在运输过程中应按照相关规范加强管理。危险废物运输必须按照《危险废物收集 贮存 运输技术规范》（HJ2025-2012）的要求并做到以下几点：</w:t>
            </w:r>
          </w:p>
          <w:p w14:paraId="625F9035">
            <w:pPr>
              <w:autoSpaceDE w:val="0"/>
              <w:autoSpaceDN w:val="0"/>
              <w:adjustRightInd w:val="0"/>
              <w:spacing w:line="360"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I）危险废物运输应由持有危险废物经营许可证的单位按照其许可证的经营范围组织实施，承担危险废物运输的单位应获得交通运输部门颁发的危险货物运输资质</w:t>
            </w:r>
            <w:r>
              <w:rPr>
                <w:rFonts w:hint="eastAsia"/>
                <w:color w:val="000000" w:themeColor="text1"/>
                <w:szCs w:val="21"/>
                <w14:textFill>
                  <w14:solidFill>
                    <w14:schemeClr w14:val="tx1"/>
                  </w14:solidFill>
                </w14:textFill>
              </w:rPr>
              <w:t>；</w:t>
            </w:r>
          </w:p>
          <w:p w14:paraId="63B91B06">
            <w:pPr>
              <w:autoSpaceDE w:val="0"/>
              <w:autoSpaceDN w:val="0"/>
              <w:adjustRightInd w:val="0"/>
              <w:spacing w:line="360"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II）危险废物公路运输应按照《道路危险货物运输管理规定》（</w:t>
            </w:r>
            <w:r>
              <w:rPr>
                <w:rFonts w:hint="eastAsia"/>
                <w:color w:val="000000" w:themeColor="text1"/>
                <w:szCs w:val="21"/>
                <w:lang w:val="en-US" w:eastAsia="zh-CN"/>
                <w14:textFill>
                  <w14:solidFill>
                    <w14:schemeClr w14:val="tx1"/>
                  </w14:solidFill>
                </w14:textFill>
              </w:rPr>
              <w:t>2023年修正</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中相关规定执行</w:t>
            </w:r>
            <w:r>
              <w:rPr>
                <w:rFonts w:hint="eastAsia"/>
                <w:color w:val="000000" w:themeColor="text1"/>
                <w:szCs w:val="21"/>
                <w14:textFill>
                  <w14:solidFill>
                    <w14:schemeClr w14:val="tx1"/>
                  </w14:solidFill>
                </w14:textFill>
              </w:rPr>
              <w:t>；</w:t>
            </w:r>
          </w:p>
          <w:p w14:paraId="687C5650">
            <w:pPr>
              <w:autoSpaceDE w:val="0"/>
              <w:autoSpaceDN w:val="0"/>
              <w:adjustRightInd w:val="0"/>
              <w:spacing w:line="360"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III）运输单位在承运危险废物时，应在危险废物包装上按照</w:t>
            </w:r>
            <w:r>
              <w:rPr>
                <w:rFonts w:hint="eastAsia"/>
                <w:color w:val="000000" w:themeColor="text1"/>
                <w:szCs w:val="21"/>
                <w:lang w:val="en-US" w:eastAsia="zh-CN"/>
                <w14:textFill>
                  <w14:solidFill>
                    <w14:schemeClr w14:val="tx1"/>
                  </w14:solidFill>
                </w14:textFill>
              </w:rPr>
              <w:t>相关规定要求</w:t>
            </w:r>
            <w:r>
              <w:rPr>
                <w:color w:val="000000" w:themeColor="text1"/>
                <w:szCs w:val="21"/>
                <w14:textFill>
                  <w14:solidFill>
                    <w14:schemeClr w14:val="tx1"/>
                  </w14:solidFill>
                </w14:textFill>
              </w:rPr>
              <w:t>设置标志</w:t>
            </w:r>
            <w:r>
              <w:rPr>
                <w:rFonts w:hint="eastAsia"/>
                <w:color w:val="000000" w:themeColor="text1"/>
                <w:szCs w:val="21"/>
                <w14:textFill>
                  <w14:solidFill>
                    <w14:schemeClr w14:val="tx1"/>
                  </w14:solidFill>
                </w14:textFill>
              </w:rPr>
              <w:t>；</w:t>
            </w:r>
          </w:p>
          <w:p w14:paraId="2B75F761">
            <w:pPr>
              <w:autoSpaceDE w:val="0"/>
              <w:autoSpaceDN w:val="0"/>
              <w:adjustRightInd w:val="0"/>
              <w:spacing w:line="360"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IV）危险废物公路运输时，运输车辆</w:t>
            </w:r>
            <w:r>
              <w:rPr>
                <w:rFonts w:hint="eastAsia"/>
                <w:color w:val="000000" w:themeColor="text1"/>
                <w:szCs w:val="21"/>
                <w:lang w:val="en-US" w:eastAsia="zh-CN"/>
                <w14:textFill>
                  <w14:solidFill>
                    <w14:schemeClr w14:val="tx1"/>
                  </w14:solidFill>
                </w14:textFill>
              </w:rPr>
              <w:t>需按要求</w:t>
            </w:r>
            <w:r>
              <w:rPr>
                <w:color w:val="000000" w:themeColor="text1"/>
                <w:szCs w:val="21"/>
                <w14:textFill>
                  <w14:solidFill>
                    <w14:schemeClr w14:val="tx1"/>
                  </w14:solidFill>
                </w14:textFill>
              </w:rPr>
              <w:t>设置车辆标志</w:t>
            </w:r>
            <w:r>
              <w:rPr>
                <w:rFonts w:hint="eastAsia"/>
                <w:color w:val="000000" w:themeColor="text1"/>
                <w:szCs w:val="21"/>
                <w14:textFill>
                  <w14:solidFill>
                    <w14:schemeClr w14:val="tx1"/>
                  </w14:solidFill>
                </w14:textFill>
              </w:rPr>
              <w:t>；</w:t>
            </w:r>
          </w:p>
          <w:p w14:paraId="7563C403">
            <w:pPr>
              <w:autoSpaceDE w:val="0"/>
              <w:autoSpaceDN w:val="0"/>
              <w:adjustRightIn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V）危险废物运输时的中转、装卸过程应遵守如下技术要求：装卸区的工作人员应熟悉废物的危险特性，并配备适当的个人防护装备；装卸区应配备必要的消防设备和设施，并设置明显的指示标志；危险废物装卸区应设置隔离设施，液态废物装卸区应设置收集槽和缓冲罐。</w:t>
            </w:r>
          </w:p>
          <w:p w14:paraId="725FB210">
            <w:pPr>
              <w:adjustRightInd w:val="0"/>
              <w:snapToGrid w:val="0"/>
              <w:spacing w:line="360" w:lineRule="auto"/>
              <w:ind w:firstLine="422" w:firstLineChars="200"/>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④危险废物管理要求</w:t>
            </w:r>
          </w:p>
          <w:p w14:paraId="7C2CA7A7">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I）危险废物的管理执行《危险废物贮存污染控制标准》（GB18597-</w:t>
            </w:r>
            <w:r>
              <w:rPr>
                <w:rFonts w:hint="eastAsia"/>
                <w:color w:val="000000" w:themeColor="text1"/>
                <w:kern w:val="0"/>
                <w:szCs w:val="21"/>
                <w14:textFill>
                  <w14:solidFill>
                    <w14:schemeClr w14:val="tx1"/>
                  </w14:solidFill>
                </w14:textFill>
              </w:rPr>
              <w:t>2023</w:t>
            </w:r>
            <w:r>
              <w:rPr>
                <w:color w:val="000000" w:themeColor="text1"/>
                <w:kern w:val="0"/>
                <w:szCs w:val="21"/>
                <w14:textFill>
                  <w14:solidFill>
                    <w14:schemeClr w14:val="tx1"/>
                  </w14:solidFill>
                </w14:textFill>
              </w:rPr>
              <w:t>）中相关规定；</w:t>
            </w:r>
          </w:p>
          <w:p w14:paraId="1B0F06C4">
            <w:pPr>
              <w:adjustRightInd w:val="0"/>
              <w:snapToGrid w:val="0"/>
              <w:spacing w:line="360" w:lineRule="auto"/>
              <w:ind w:firstLine="420" w:firstLineChars="200"/>
              <w:rPr>
                <w:rFonts w:hint="eastAsia"/>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II）</w:t>
            </w:r>
            <w:r>
              <w:rPr>
                <w:rFonts w:hint="eastAsia"/>
                <w:color w:val="000000" w:themeColor="text1"/>
                <w:kern w:val="0"/>
                <w:szCs w:val="21"/>
                <w:lang w:val="en-US" w:eastAsia="zh-CN"/>
                <w14:textFill>
                  <w14:solidFill>
                    <w14:schemeClr w14:val="tx1"/>
                  </w14:solidFill>
                </w14:textFill>
              </w:rPr>
              <w:t>危险废物</w:t>
            </w:r>
            <w:r>
              <w:rPr>
                <w:color w:val="000000" w:themeColor="text1"/>
                <w:kern w:val="0"/>
                <w:szCs w:val="21"/>
                <w14:textFill>
                  <w14:solidFill>
                    <w14:schemeClr w14:val="tx1"/>
                  </w14:solidFill>
                </w14:textFill>
              </w:rPr>
              <w:t>暂存防范措施</w:t>
            </w:r>
            <w:r>
              <w:rPr>
                <w:rFonts w:hint="eastAsia"/>
                <w:color w:val="000000" w:themeColor="text1"/>
                <w:kern w:val="0"/>
                <w:szCs w:val="21"/>
                <w14:textFill>
                  <w14:solidFill>
                    <w14:schemeClr w14:val="tx1"/>
                  </w14:solidFill>
                </w14:textFill>
              </w:rPr>
              <w:t>：</w:t>
            </w:r>
          </w:p>
          <w:p w14:paraId="701A88B7">
            <w:pPr>
              <w:adjustRightInd w:val="0"/>
              <w:snapToGrid w:val="0"/>
              <w:spacing w:line="360" w:lineRule="auto"/>
              <w:ind w:firstLine="420" w:firstLineChars="200"/>
              <w:rPr>
                <w:rFonts w:hint="eastAsia"/>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a、采取室内贮存方式，设置环境保护图形标志和警示标志；</w:t>
            </w:r>
            <w:r>
              <w:rPr>
                <w:rFonts w:hint="eastAsia"/>
                <w:color w:val="000000" w:themeColor="text1"/>
                <w:kern w:val="0"/>
                <w:szCs w:val="21"/>
                <w14:textFill>
                  <w14:solidFill>
                    <w14:schemeClr w14:val="tx1"/>
                  </w14:solidFill>
                </w14:textFill>
              </w:rPr>
              <w:t>项目产生</w:t>
            </w:r>
            <w:r>
              <w:rPr>
                <w:rFonts w:hint="eastAsia"/>
                <w:color w:val="000000" w:themeColor="text1"/>
                <w:kern w:val="0"/>
                <w:szCs w:val="21"/>
                <w:lang w:val="en-US" w:eastAsia="zh-CN"/>
                <w14:textFill>
                  <w14:solidFill>
                    <w14:schemeClr w14:val="tx1"/>
                  </w14:solidFill>
                </w14:textFill>
              </w:rPr>
              <w:t>废包装桶、</w:t>
            </w:r>
            <w:r>
              <w:rPr>
                <w:rFonts w:hint="eastAsia"/>
                <w:color w:val="000000" w:themeColor="text1"/>
                <w:kern w:val="0"/>
                <w:szCs w:val="21"/>
                <w14:textFill>
                  <w14:solidFill>
                    <w14:schemeClr w14:val="tx1"/>
                  </w14:solidFill>
                </w14:textFill>
              </w:rPr>
              <w:t>废油桶、废活性炭等危险废物均密封贮存；</w:t>
            </w:r>
          </w:p>
          <w:p w14:paraId="141E8462">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b、按类别放入相应的容器内，不同的危险废物分开存放并设有隔离间隔断；</w:t>
            </w:r>
          </w:p>
          <w:p w14:paraId="161D0932">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c、危险废物</w:t>
            </w:r>
            <w:r>
              <w:rPr>
                <w:rFonts w:hint="eastAsia"/>
                <w:color w:val="000000" w:themeColor="text1"/>
                <w:kern w:val="0"/>
                <w:szCs w:val="21"/>
                <w14:textFill>
                  <w14:solidFill>
                    <w14:schemeClr w14:val="tx1"/>
                  </w14:solidFill>
                </w14:textFill>
              </w:rPr>
              <w:t>仓库</w:t>
            </w:r>
            <w:r>
              <w:rPr>
                <w:color w:val="000000" w:themeColor="text1"/>
                <w:kern w:val="0"/>
                <w:szCs w:val="21"/>
                <w14:textFill>
                  <w14:solidFill>
                    <w14:schemeClr w14:val="tx1"/>
                  </w14:solidFill>
                </w14:textFill>
              </w:rPr>
              <w:t>为封闭砖混构筑物，</w:t>
            </w:r>
            <w:r>
              <w:rPr>
                <w:rFonts w:hint="eastAsia"/>
                <w:color w:val="000000" w:themeColor="text1"/>
                <w:kern w:val="0"/>
                <w:szCs w:val="21"/>
                <w:lang w:val="en-US" w:eastAsia="zh-CN"/>
                <w14:textFill>
                  <w14:solidFill>
                    <w14:schemeClr w14:val="tx1"/>
                  </w14:solidFill>
                </w14:textFill>
              </w:rPr>
              <w:t>地面铺设环氧地坪</w:t>
            </w:r>
            <w:r>
              <w:rPr>
                <w:color w:val="000000" w:themeColor="text1"/>
                <w:kern w:val="0"/>
                <w:szCs w:val="21"/>
                <w14:textFill>
                  <w14:solidFill>
                    <w14:schemeClr w14:val="tx1"/>
                  </w14:solidFill>
                </w14:textFill>
              </w:rPr>
              <w:t>，</w:t>
            </w:r>
            <w:r>
              <w:rPr>
                <w:rFonts w:hint="eastAsia"/>
                <w:color w:val="000000" w:themeColor="text1"/>
                <w:kern w:val="0"/>
                <w:szCs w:val="21"/>
                <w:lang w:val="en-US" w:eastAsia="zh-CN"/>
                <w14:textFill>
                  <w14:solidFill>
                    <w14:schemeClr w14:val="tx1"/>
                  </w14:solidFill>
                </w14:textFill>
              </w:rPr>
              <w:t>设置导流沟槽等，</w:t>
            </w:r>
            <w:r>
              <w:rPr>
                <w:color w:val="000000" w:themeColor="text1"/>
                <w:kern w:val="0"/>
                <w:szCs w:val="21"/>
                <w14:textFill>
                  <w14:solidFill>
                    <w14:schemeClr w14:val="tx1"/>
                  </w14:solidFill>
                </w14:textFill>
              </w:rPr>
              <w:t>具有耐腐蚀性</w:t>
            </w:r>
            <w:r>
              <w:rPr>
                <w:rFonts w:hint="eastAsia"/>
                <w:color w:val="000000" w:themeColor="text1"/>
                <w:kern w:val="0"/>
                <w:szCs w:val="21"/>
                <w:lang w:eastAsia="zh-CN"/>
                <w14:textFill>
                  <w14:solidFill>
                    <w14:schemeClr w14:val="tx1"/>
                  </w14:solidFill>
                </w14:textFill>
              </w:rPr>
              <w:t>，</w:t>
            </w:r>
            <w:r>
              <w:rPr>
                <w:rFonts w:hint="eastAsia"/>
                <w:color w:val="000000" w:themeColor="text1"/>
                <w:kern w:val="0"/>
                <w:szCs w:val="21"/>
                <w14:textFill>
                  <w14:solidFill>
                    <w14:schemeClr w14:val="tx1"/>
                  </w14:solidFill>
                </w14:textFill>
              </w:rPr>
              <w:t>且</w:t>
            </w:r>
            <w:r>
              <w:rPr>
                <w:rFonts w:hint="eastAsia"/>
                <w:color w:val="000000" w:themeColor="text1"/>
                <w:kern w:val="0"/>
                <w:szCs w:val="21"/>
                <w:lang w:val="en-US" w:eastAsia="zh-CN"/>
                <w14:textFill>
                  <w14:solidFill>
                    <w14:schemeClr w14:val="tx1"/>
                  </w14:solidFill>
                </w14:textFill>
              </w:rPr>
              <w:t>满足</w:t>
            </w:r>
            <w:r>
              <w:rPr>
                <w:color w:val="000000" w:themeColor="text1"/>
                <w:kern w:val="0"/>
                <w:szCs w:val="21"/>
                <w14:textFill>
                  <w14:solidFill>
                    <w14:schemeClr w14:val="tx1"/>
                  </w14:solidFill>
                </w14:textFill>
              </w:rPr>
              <w:t>防雨、防风、防晒、防渗漏、防腐蚀、防盗</w:t>
            </w:r>
            <w:r>
              <w:rPr>
                <w:rFonts w:hint="eastAsia"/>
                <w:color w:val="000000" w:themeColor="text1"/>
                <w:kern w:val="0"/>
                <w:szCs w:val="21"/>
                <w:lang w:val="en-US" w:eastAsia="zh-CN"/>
                <w14:textFill>
                  <w14:solidFill>
                    <w14:schemeClr w14:val="tx1"/>
                  </w14:solidFill>
                </w14:textFill>
              </w:rPr>
              <w:t>要求</w:t>
            </w:r>
            <w:r>
              <w:rPr>
                <w:color w:val="000000" w:themeColor="text1"/>
                <w:kern w:val="0"/>
                <w:szCs w:val="21"/>
                <w14:textFill>
                  <w14:solidFill>
                    <w14:schemeClr w14:val="tx1"/>
                  </w14:solidFill>
                </w14:textFill>
              </w:rPr>
              <w:t>等；</w:t>
            </w:r>
          </w:p>
          <w:p w14:paraId="56AFA353">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d、</w:t>
            </w:r>
            <w:r>
              <w:rPr>
                <w:rFonts w:hint="eastAsia"/>
                <w:color w:val="000000" w:themeColor="text1"/>
                <w:kern w:val="0"/>
                <w:szCs w:val="21"/>
                <w14:textFill>
                  <w14:solidFill>
                    <w14:schemeClr w14:val="tx1"/>
                  </w14:solidFill>
                </w14:textFill>
              </w:rPr>
              <w:t>危险废物管理</w:t>
            </w:r>
            <w:r>
              <w:rPr>
                <w:rFonts w:hint="eastAsia"/>
                <w:color w:val="000000" w:themeColor="text1"/>
                <w:kern w:val="0"/>
                <w:szCs w:val="21"/>
                <w:lang w:val="en-US" w:eastAsia="zh-CN"/>
                <w14:textFill>
                  <w14:solidFill>
                    <w14:schemeClr w14:val="tx1"/>
                  </w14:solidFill>
                </w14:textFill>
              </w:rPr>
              <w:t>需</w:t>
            </w:r>
            <w:r>
              <w:rPr>
                <w:color w:val="000000" w:themeColor="text1"/>
                <w:kern w:val="0"/>
                <w:szCs w:val="21"/>
                <w14:textFill>
                  <w14:solidFill>
                    <w14:schemeClr w14:val="tx1"/>
                  </w14:solidFill>
                </w14:textFill>
              </w:rPr>
              <w:t>建立档案制度，对暂存的废物种类、数量、特性、包装容器类别、存放库位、存入日期、运出日期等</w:t>
            </w:r>
            <w:r>
              <w:rPr>
                <w:rFonts w:hint="eastAsia"/>
                <w:color w:val="000000" w:themeColor="text1"/>
                <w:kern w:val="0"/>
                <w:szCs w:val="21"/>
                <w14:textFill>
                  <w14:solidFill>
                    <w14:schemeClr w14:val="tx1"/>
                  </w14:solidFill>
                </w14:textFill>
              </w:rPr>
              <w:t>均</w:t>
            </w:r>
            <w:r>
              <w:rPr>
                <w:color w:val="000000" w:themeColor="text1"/>
                <w:kern w:val="0"/>
                <w:szCs w:val="21"/>
                <w14:textFill>
                  <w14:solidFill>
                    <w14:schemeClr w14:val="tx1"/>
                  </w14:solidFill>
                </w14:textFill>
              </w:rPr>
              <w:t>详细记录在案并长期保存；</w:t>
            </w:r>
          </w:p>
          <w:p w14:paraId="5B0A2A57">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e、</w:t>
            </w:r>
            <w:r>
              <w:rPr>
                <w:rFonts w:hint="eastAsia"/>
                <w:color w:val="000000" w:themeColor="text1"/>
                <w:kern w:val="0"/>
                <w:szCs w:val="21"/>
                <w:lang w:val="en-US" w:eastAsia="zh-CN"/>
                <w14:textFill>
                  <w14:solidFill>
                    <w14:schemeClr w14:val="tx1"/>
                  </w14:solidFill>
                </w14:textFill>
              </w:rPr>
              <w:t>危险废物仓库内危险废物</w:t>
            </w:r>
            <w:r>
              <w:rPr>
                <w:color w:val="000000" w:themeColor="text1"/>
                <w:kern w:val="0"/>
                <w:szCs w:val="21"/>
                <w14:textFill>
                  <w14:solidFill>
                    <w14:schemeClr w14:val="tx1"/>
                  </w14:solidFill>
                </w14:textFill>
              </w:rPr>
              <w:t>暂存时间不得超过一年；</w:t>
            </w:r>
          </w:p>
          <w:p w14:paraId="0C5814F3">
            <w:pPr>
              <w:adjustRightInd w:val="0"/>
              <w:snapToGrid w:val="0"/>
              <w:spacing w:line="360" w:lineRule="auto"/>
              <w:ind w:firstLine="420" w:firstLineChars="200"/>
              <w:rPr>
                <w:rFonts w:hint="eastAsia"/>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f、</w:t>
            </w:r>
            <w:r>
              <w:rPr>
                <w:rFonts w:hint="eastAsia"/>
                <w:color w:val="000000" w:themeColor="text1"/>
                <w:kern w:val="0"/>
                <w:szCs w:val="21"/>
                <w:lang w:val="en-US" w:eastAsia="zh-CN"/>
                <w14:textFill>
                  <w14:solidFill>
                    <w14:schemeClr w14:val="tx1"/>
                  </w14:solidFill>
                </w14:textFill>
              </w:rPr>
              <w:t>危险废物仓库</w:t>
            </w:r>
            <w:r>
              <w:rPr>
                <w:color w:val="000000" w:themeColor="text1"/>
                <w:kern w:val="0"/>
                <w:szCs w:val="21"/>
                <w14:textFill>
                  <w14:solidFill>
                    <w14:schemeClr w14:val="tx1"/>
                  </w14:solidFill>
                </w14:textFill>
              </w:rPr>
              <w:t>建立定期巡查、维护制度</w:t>
            </w:r>
            <w:r>
              <w:rPr>
                <w:rFonts w:hint="eastAsia"/>
                <w:color w:val="000000" w:themeColor="text1"/>
                <w:kern w:val="0"/>
                <w:szCs w:val="21"/>
                <w14:textFill>
                  <w14:solidFill>
                    <w14:schemeClr w14:val="tx1"/>
                  </w14:solidFill>
                </w14:textFill>
              </w:rPr>
              <w:t>。</w:t>
            </w:r>
          </w:p>
          <w:p w14:paraId="04A5D234">
            <w:pPr>
              <w:adjustRightInd w:val="0"/>
              <w:snapToGrid w:val="0"/>
              <w:spacing w:line="360" w:lineRule="auto"/>
              <w:ind w:firstLine="422" w:firstLineChars="200"/>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2）一般固体废物污染防治措施</w:t>
            </w:r>
          </w:p>
          <w:p w14:paraId="7B2AE261">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①严格执行</w:t>
            </w:r>
            <w:r>
              <w:rPr>
                <w:color w:val="000000" w:themeColor="text1"/>
                <w:szCs w:val="21"/>
                <w14:textFill>
                  <w14:solidFill>
                    <w14:schemeClr w14:val="tx1"/>
                  </w14:solidFill>
                </w14:textFill>
              </w:rPr>
              <w:t>《一般工业固体废物贮存和填埋污染控制标准》（GB18599-2020）</w:t>
            </w:r>
            <w:r>
              <w:rPr>
                <w:color w:val="000000" w:themeColor="text1"/>
                <w:kern w:val="0"/>
                <w:szCs w:val="21"/>
                <w14:textFill>
                  <w14:solidFill>
                    <w14:schemeClr w14:val="tx1"/>
                  </w14:solidFill>
                </w14:textFill>
              </w:rPr>
              <w:t>、《环境保护图形标志</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固体废物贮存（处置场）》（GB15562.2-1995）等规定要求，对固体废物实行分类收集，选择满足要求的容器进行包装贮存；</w:t>
            </w:r>
          </w:p>
          <w:p w14:paraId="17D19FB4">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②对固体废物实行从产生、收集、运输、贮存直至最终处理实行全过程管理，按照有关法律、法规的要求，对固体废弃物全过程管理应报当地环保行政主管部门等批准；</w:t>
            </w:r>
          </w:p>
          <w:p w14:paraId="522870F1">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③加强固体废物规范化管理，固体废物分类定点堆放，堆放场所远离办公区和周围环境敏感点</w:t>
            </w:r>
            <w:r>
              <w:rPr>
                <w:rFonts w:hint="eastAsia"/>
                <w:color w:val="000000" w:themeColor="text1"/>
                <w:kern w:val="0"/>
                <w:szCs w:val="21"/>
                <w14:textFill>
                  <w14:solidFill>
                    <w14:schemeClr w14:val="tx1"/>
                  </w14:solidFill>
                </w14:textFill>
              </w:rPr>
              <w:t>；</w:t>
            </w:r>
          </w:p>
          <w:p w14:paraId="660C5225">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④固体废物及时清运，避免产生二次污染；</w:t>
            </w:r>
          </w:p>
          <w:p w14:paraId="2CD00291">
            <w:pPr>
              <w:adjustRightInd w:val="0"/>
              <w:snapToGrid w:val="0"/>
              <w:spacing w:line="360"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⑤固体废物运输过程中应做到密闭运输，</w:t>
            </w:r>
            <w:r>
              <w:rPr>
                <w:rFonts w:hint="eastAsia"/>
                <w:color w:val="000000" w:themeColor="text1"/>
                <w:kern w:val="0"/>
                <w:szCs w:val="21"/>
                <w:lang w:val="en-US" w:eastAsia="zh-CN"/>
                <w14:textFill>
                  <w14:solidFill>
                    <w14:schemeClr w14:val="tx1"/>
                  </w14:solidFill>
                </w14:textFill>
              </w:rPr>
              <w:t>防止</w:t>
            </w:r>
            <w:r>
              <w:rPr>
                <w:color w:val="000000" w:themeColor="text1"/>
                <w:kern w:val="0"/>
                <w:szCs w:val="21"/>
                <w14:textFill>
                  <w14:solidFill>
                    <w14:schemeClr w14:val="tx1"/>
                  </w14:solidFill>
                </w14:textFill>
              </w:rPr>
              <w:t>固废的泄漏，减少污染。</w:t>
            </w:r>
          </w:p>
          <w:p w14:paraId="504BF8AE">
            <w:pPr>
              <w:pStyle w:val="79"/>
              <w:spacing w:line="360" w:lineRule="auto"/>
              <w:ind w:firstLine="422"/>
              <w:rPr>
                <w:rFonts w:eastAsia="宋体"/>
                <w:b/>
                <w:bCs/>
                <w:color w:val="000000" w:themeColor="text1"/>
                <w:sz w:val="21"/>
                <w:szCs w:val="21"/>
                <w14:textFill>
                  <w14:solidFill>
                    <w14:schemeClr w14:val="tx1"/>
                  </w14:solidFill>
                </w14:textFill>
              </w:rPr>
            </w:pPr>
            <w:r>
              <w:rPr>
                <w:rFonts w:eastAsia="宋体"/>
                <w:b/>
                <w:bCs/>
                <w:color w:val="000000" w:themeColor="text1"/>
                <w:sz w:val="21"/>
                <w:szCs w:val="21"/>
                <w14:textFill>
                  <w14:solidFill>
                    <w14:schemeClr w14:val="tx1"/>
                  </w14:solidFill>
                </w14:textFill>
              </w:rPr>
              <w:t>（3）固体废物环境管理要求</w:t>
            </w:r>
          </w:p>
          <w:p w14:paraId="0DD9F463">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企业为固体废物污染防治的责任主体，企业应建立有关转移管理的相关规定、人员培训考核制度、档案管理制度、全过程管理制度等。</w:t>
            </w:r>
          </w:p>
          <w:p w14:paraId="6FAE3781">
            <w:pPr>
              <w:pStyle w:val="79"/>
              <w:spacing w:line="360" w:lineRule="auto"/>
              <w:ind w:firstLine="422"/>
              <w:rPr>
                <w:rFonts w:hint="eastAsia" w:eastAsia="宋体"/>
                <w:b/>
                <w:bCs/>
                <w:color w:val="000000" w:themeColor="text1"/>
                <w:sz w:val="21"/>
                <w:szCs w:val="21"/>
                <w:lang w:eastAsia="zh-CN"/>
                <w14:textFill>
                  <w14:solidFill>
                    <w14:schemeClr w14:val="tx1"/>
                  </w14:solidFill>
                </w14:textFill>
              </w:rPr>
            </w:pPr>
            <w:r>
              <w:rPr>
                <w:rFonts w:eastAsia="宋体"/>
                <w:b/>
                <w:bCs/>
                <w:color w:val="000000" w:themeColor="text1"/>
                <w:sz w:val="21"/>
                <w:szCs w:val="21"/>
                <w14:textFill>
                  <w14:solidFill>
                    <w14:schemeClr w14:val="tx1"/>
                  </w14:solidFill>
                </w14:textFill>
              </w:rPr>
              <w:t>（4）固体废物环境</w:t>
            </w:r>
            <w:r>
              <w:rPr>
                <w:rFonts w:hint="eastAsia" w:eastAsia="宋体"/>
                <w:b/>
                <w:bCs/>
                <w:color w:val="000000" w:themeColor="text1"/>
                <w:sz w:val="21"/>
                <w:szCs w:val="21"/>
                <w:lang w:val="en-US" w:eastAsia="zh-CN"/>
                <w14:textFill>
                  <w14:solidFill>
                    <w14:schemeClr w14:val="tx1"/>
                  </w14:solidFill>
                </w14:textFill>
              </w:rPr>
              <w:t>影响分析</w:t>
            </w:r>
          </w:p>
          <w:p w14:paraId="3A1378BB">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依据固体废物</w:t>
            </w:r>
            <w:r>
              <w:rPr>
                <w:rFonts w:hint="eastAsia"/>
                <w:color w:val="000000" w:themeColor="text1"/>
                <w:szCs w:val="21"/>
                <w:lang w:val="en-US" w:eastAsia="zh-CN"/>
                <w14:textFill>
                  <w14:solidFill>
                    <w14:schemeClr w14:val="tx1"/>
                  </w14:solidFill>
                </w14:textFill>
              </w:rPr>
              <w:t>产生</w:t>
            </w:r>
            <w:r>
              <w:rPr>
                <w:color w:val="000000" w:themeColor="text1"/>
                <w:szCs w:val="21"/>
                <w14:textFill>
                  <w14:solidFill>
                    <w14:schemeClr w14:val="tx1"/>
                  </w14:solidFill>
                </w14:textFill>
              </w:rPr>
              <w:t>种类、产生量及其管理的全过程可能造成的环境影响</w:t>
            </w:r>
            <w:r>
              <w:rPr>
                <w:rFonts w:hint="eastAsia"/>
                <w:color w:val="000000" w:themeColor="text1"/>
                <w:szCs w:val="21"/>
                <w:lang w:val="en-US" w:eastAsia="zh-CN"/>
                <w14:textFill>
                  <w14:solidFill>
                    <w14:schemeClr w14:val="tx1"/>
                  </w14:solidFill>
                </w14:textFill>
              </w:rPr>
              <w:t>进行分析</w:t>
            </w:r>
            <w:r>
              <w:rPr>
                <w:color w:val="000000" w:themeColor="text1"/>
                <w:szCs w:val="21"/>
                <w14:textFill>
                  <w14:solidFill>
                    <w14:schemeClr w14:val="tx1"/>
                  </w14:solidFill>
                </w14:textFill>
              </w:rPr>
              <w:t>：</w:t>
            </w:r>
          </w:p>
          <w:p w14:paraId="1DE1E4E7">
            <w:pPr>
              <w:adjustRightInd w:val="0"/>
              <w:snapToGrid w:val="0"/>
              <w:spacing w:line="360" w:lineRule="auto"/>
              <w:ind w:firstLine="420" w:firstLineChars="200"/>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①全厂固废分类收集与贮存，不混放，固废相互间不影响</w:t>
            </w:r>
            <w:r>
              <w:rPr>
                <w:rFonts w:hint="eastAsia"/>
                <w:color w:val="000000" w:themeColor="text1"/>
                <w:szCs w:val="21"/>
                <w:lang w:eastAsia="zh-CN"/>
                <w14:textFill>
                  <w14:solidFill>
                    <w14:schemeClr w14:val="tx1"/>
                  </w14:solidFill>
                </w14:textFill>
              </w:rPr>
              <w:t>；</w:t>
            </w:r>
          </w:p>
          <w:p w14:paraId="341E45AA">
            <w:pPr>
              <w:adjustRightInd w:val="0"/>
              <w:snapToGrid w:val="0"/>
              <w:spacing w:line="360" w:lineRule="auto"/>
              <w:ind w:firstLine="420" w:firstLineChars="200"/>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②全厂固废运输由专业的运输单位负责，在运输过程中采用封闭运输，运输过程中不易散落和泄漏，对环境影响较小</w:t>
            </w:r>
            <w:r>
              <w:rPr>
                <w:rFonts w:hint="eastAsia"/>
                <w:color w:val="000000" w:themeColor="text1"/>
                <w:szCs w:val="21"/>
                <w:lang w:eastAsia="zh-CN"/>
                <w14:textFill>
                  <w14:solidFill>
                    <w14:schemeClr w14:val="tx1"/>
                  </w14:solidFill>
                </w14:textFill>
              </w:rPr>
              <w:t>；</w:t>
            </w:r>
          </w:p>
          <w:p w14:paraId="6A1E6D8C">
            <w:pPr>
              <w:adjustRightInd w:val="0"/>
              <w:snapToGrid w:val="0"/>
              <w:spacing w:line="360" w:lineRule="auto"/>
              <w:ind w:firstLine="420" w:firstLineChars="200"/>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③固废的贮存场所地面采用防渗地面，发生渗漏等事故可能性较小或甚微，对土壤、地下水产生的影响较小</w:t>
            </w:r>
            <w:r>
              <w:rPr>
                <w:rFonts w:hint="eastAsia"/>
                <w:color w:val="000000" w:themeColor="text1"/>
                <w:szCs w:val="21"/>
                <w:lang w:eastAsia="zh-CN"/>
                <w14:textFill>
                  <w14:solidFill>
                    <w14:schemeClr w14:val="tx1"/>
                  </w14:solidFill>
                </w14:textFill>
              </w:rPr>
              <w:t>；</w:t>
            </w:r>
          </w:p>
          <w:p w14:paraId="244915F9">
            <w:pPr>
              <w:adjustRightInd w:val="0"/>
              <w:snapToGrid w:val="0"/>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④全厂的固废通过外售、委托处置等方式处置或利用，不在厂内自行建设施处理，</w:t>
            </w:r>
            <w:r>
              <w:rPr>
                <w:rFonts w:hint="eastAsia"/>
                <w:color w:val="000000" w:themeColor="text1"/>
                <w:szCs w:val="21"/>
                <w:lang w:val="en-US" w:eastAsia="zh-CN"/>
                <w14:textFill>
                  <w14:solidFill>
                    <w14:schemeClr w14:val="tx1"/>
                  </w14:solidFill>
                </w14:textFill>
              </w:rPr>
              <w:t>不自行处理，</w:t>
            </w:r>
            <w:r>
              <w:rPr>
                <w:color w:val="000000" w:themeColor="text1"/>
                <w:szCs w:val="21"/>
                <w14:textFill>
                  <w14:solidFill>
                    <w14:schemeClr w14:val="tx1"/>
                  </w14:solidFill>
                </w14:textFill>
              </w:rPr>
              <w:t>对大气、水体、土壤环境基本不产生影响。</w:t>
            </w:r>
          </w:p>
          <w:p w14:paraId="5F11CD8F">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因此，项目产生的</w:t>
            </w:r>
            <w:r>
              <w:rPr>
                <w:rFonts w:hint="eastAsia" w:ascii="Times New Roman" w:hAnsi="Times New Roman" w:eastAsia="宋体"/>
                <w:color w:val="000000" w:themeColor="text1"/>
                <w:sz w:val="21"/>
                <w:szCs w:val="21"/>
                <w:lang w:val="en-US" w:eastAsia="zh-CN"/>
                <w14:textFill>
                  <w14:solidFill>
                    <w14:schemeClr w14:val="tx1"/>
                  </w14:solidFill>
                </w14:textFill>
              </w:rPr>
              <w:t>固体废物</w:t>
            </w:r>
            <w:r>
              <w:rPr>
                <w:rFonts w:ascii="Times New Roman" w:hAnsi="Times New Roman" w:eastAsia="宋体"/>
                <w:color w:val="000000" w:themeColor="text1"/>
                <w:sz w:val="21"/>
                <w:szCs w:val="21"/>
                <w14:textFill>
                  <w14:solidFill>
                    <w14:schemeClr w14:val="tx1"/>
                  </w14:solidFill>
                </w14:textFill>
              </w:rPr>
              <w:t>均</w:t>
            </w:r>
            <w:r>
              <w:rPr>
                <w:rFonts w:hint="eastAsia" w:ascii="Times New Roman" w:hAnsi="Times New Roman" w:eastAsia="宋体"/>
                <w:color w:val="000000" w:themeColor="text1"/>
                <w:sz w:val="21"/>
                <w:szCs w:val="21"/>
                <w:lang w:val="en-US" w:eastAsia="zh-CN"/>
                <w14:textFill>
                  <w14:solidFill>
                    <w14:schemeClr w14:val="tx1"/>
                  </w14:solidFill>
                </w14:textFill>
              </w:rPr>
              <w:t>可</w:t>
            </w:r>
            <w:r>
              <w:rPr>
                <w:rFonts w:ascii="Times New Roman" w:hAnsi="Times New Roman" w:eastAsia="宋体"/>
                <w:color w:val="000000" w:themeColor="text1"/>
                <w:sz w:val="21"/>
                <w:szCs w:val="21"/>
                <w14:textFill>
                  <w14:solidFill>
                    <w14:schemeClr w14:val="tx1"/>
                  </w14:solidFill>
                </w14:textFill>
              </w:rPr>
              <w:t>得到合理处置，固废零排放，对周围环境影响较小。</w:t>
            </w:r>
          </w:p>
          <w:p w14:paraId="549C1958">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综上所述，本项目产生的固废委托有资质单位进行处理，技术上合理，经济上可行，确保不造成固体废物的二次污染。</w:t>
            </w:r>
          </w:p>
          <w:p w14:paraId="6B462A9C">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5、地下水、</w:t>
            </w:r>
            <w:r>
              <w:rPr>
                <w:rFonts w:ascii="Times New Roman" w:hAnsi="Times New Roman" w:eastAsia="宋体" w:cs="宋体"/>
                <w:b/>
                <w:color w:val="000000" w:themeColor="text1"/>
                <w:sz w:val="21"/>
                <w:szCs w:val="21"/>
                <w:highlight w:val="none"/>
                <w14:textFill>
                  <w14:solidFill>
                    <w14:schemeClr w14:val="tx1"/>
                  </w14:solidFill>
                </w14:textFill>
              </w:rPr>
              <w:t>土壤</w:t>
            </w:r>
          </w:p>
          <w:p w14:paraId="0F1F15F1">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根据</w:t>
            </w:r>
            <w:r>
              <w:rPr>
                <w:rFonts w:hint="eastAsia" w:ascii="Times New Roman" w:hAnsi="Times New Roman" w:eastAsia="宋体" w:cs="宋体"/>
                <w:color w:val="000000" w:themeColor="text1"/>
                <w:kern w:val="0"/>
                <w:sz w:val="21"/>
                <w:szCs w:val="21"/>
                <w:highlight w:val="none"/>
                <w14:textFill>
                  <w14:solidFill>
                    <w14:schemeClr w14:val="tx1"/>
                  </w14:solidFill>
                </w14:textFill>
              </w:rPr>
              <w:t>分区管理和控制原则，分别设计地面防渗层结构。针对可能对地下水和土壤造成影响的各环节，按照“考虑重点，辐射全面”的防腐防渗原则，设置分区防渗。</w:t>
            </w:r>
          </w:p>
          <w:p w14:paraId="66464A48">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（1）</w:t>
            </w:r>
            <w:r>
              <w:rPr>
                <w:rFonts w:ascii="Times New Roman" w:hAnsi="Times New Roman" w:eastAsia="宋体" w:cs="宋体"/>
                <w:color w:val="000000" w:themeColor="text1"/>
                <w:kern w:val="0"/>
                <w:sz w:val="21"/>
                <w:szCs w:val="21"/>
                <w:highlight w:val="none"/>
                <w14:textFill>
                  <w14:solidFill>
                    <w14:schemeClr w14:val="tx1"/>
                  </w14:solidFill>
                </w14:textFill>
              </w:rPr>
              <w:t>重点防渗区：包括</w:t>
            </w:r>
            <w:r>
              <w:rPr>
                <w:rFonts w:hint="eastAsia" w:cs="宋体"/>
                <w:color w:val="000000" w:themeColor="text1"/>
                <w:kern w:val="0"/>
                <w:sz w:val="21"/>
                <w:szCs w:val="21"/>
                <w:highlight w:val="none"/>
                <w:lang w:val="en-US" w:eastAsia="zh-CN"/>
                <w14:textFill>
                  <w14:solidFill>
                    <w14:schemeClr w14:val="tx1"/>
                  </w14:solidFill>
                </w14:textFill>
              </w:rPr>
              <w:t>污水处理站、</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危险废物暂存间</w:t>
            </w:r>
            <w:r>
              <w:rPr>
                <w:rFonts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表面防渗材料应与所接触的物料或污染物相容，可采用抗渗混凝土、高密度聚乙烯膜、钠基膨润土防水毯或其他防渗性能等效的材料。贮存的危险废物直接接触地面的，还应进行基础防渗，防渗层为至少1m厚黏土层（渗透系数不大于10</w:t>
            </w:r>
            <w:r>
              <w:rPr>
                <w:rFonts w:hint="eastAsia" w:ascii="Times New Roman" w:hAnsi="Times New Roman" w:eastAsia="宋体" w:cs="宋体"/>
                <w:color w:val="000000" w:themeColor="text1"/>
                <w:sz w:val="21"/>
                <w:szCs w:val="21"/>
                <w:highlight w:val="none"/>
                <w:vertAlign w:val="superscript"/>
                <w14:textFill>
                  <w14:solidFill>
                    <w14:schemeClr w14:val="tx1"/>
                  </w14:solidFill>
                </w14:textFill>
              </w:rPr>
              <w:t>-7</w:t>
            </w:r>
            <w:r>
              <w:rPr>
                <w:rFonts w:hint="eastAsia" w:ascii="Times New Roman" w:hAnsi="Times New Roman" w:eastAsia="宋体" w:cs="宋体"/>
                <w:color w:val="000000" w:themeColor="text1"/>
                <w:sz w:val="21"/>
                <w:szCs w:val="21"/>
                <w:highlight w:val="none"/>
                <w14:textFill>
                  <w14:solidFill>
                    <w14:schemeClr w14:val="tx1"/>
                  </w14:solidFill>
                </w14:textFill>
              </w:rPr>
              <w:t>cm/s），或至少2mm厚高密度聚乙烯膜等人工防渗材料（渗透系数不大于10</w:t>
            </w:r>
            <w:r>
              <w:rPr>
                <w:rFonts w:hint="eastAsia" w:ascii="Times New Roman" w:hAnsi="Times New Roman" w:eastAsia="宋体" w:cs="宋体"/>
                <w:color w:val="000000" w:themeColor="text1"/>
                <w:sz w:val="21"/>
                <w:szCs w:val="21"/>
                <w:highlight w:val="none"/>
                <w:vertAlign w:val="superscript"/>
                <w14:textFill>
                  <w14:solidFill>
                    <w14:schemeClr w14:val="tx1"/>
                  </w14:solidFill>
                </w14:textFill>
              </w:rPr>
              <w:t>-10</w:t>
            </w:r>
            <w:r>
              <w:rPr>
                <w:rFonts w:hint="eastAsia" w:ascii="Times New Roman" w:hAnsi="Times New Roman" w:eastAsia="宋体" w:cs="宋体"/>
                <w:color w:val="000000" w:themeColor="text1"/>
                <w:sz w:val="21"/>
                <w:szCs w:val="21"/>
                <w:highlight w:val="none"/>
                <w14:textFill>
                  <w14:solidFill>
                    <w14:schemeClr w14:val="tx1"/>
                  </w14:solidFill>
                </w14:textFill>
              </w:rPr>
              <w:t>cm/s），或其他防渗性能等效的材料</w:t>
            </w:r>
            <w:r>
              <w:rPr>
                <w:rFonts w:ascii="Times New Roman" w:hAnsi="Times New Roman" w:eastAsia="宋体" w:cs="宋体"/>
                <w:color w:val="000000" w:themeColor="text1"/>
                <w:kern w:val="0"/>
                <w:sz w:val="21"/>
                <w:szCs w:val="21"/>
                <w:highlight w:val="none"/>
                <w14:textFill>
                  <w14:solidFill>
                    <w14:schemeClr w14:val="tx1"/>
                  </w14:solidFill>
                </w14:textFill>
              </w:rPr>
              <w:t>。</w:t>
            </w:r>
          </w:p>
          <w:p w14:paraId="0E252FE9">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（2）</w:t>
            </w:r>
            <w:r>
              <w:rPr>
                <w:rFonts w:ascii="Times New Roman" w:hAnsi="Times New Roman" w:eastAsia="宋体" w:cs="宋体"/>
                <w:color w:val="000000" w:themeColor="text1"/>
                <w:kern w:val="0"/>
                <w:sz w:val="21"/>
                <w:szCs w:val="21"/>
                <w:highlight w:val="none"/>
                <w14:textFill>
                  <w14:solidFill>
                    <w14:schemeClr w14:val="tx1"/>
                  </w14:solidFill>
                </w14:textFill>
              </w:rPr>
              <w:t>一般防渗区：</w:t>
            </w:r>
            <w:r>
              <w:rPr>
                <w:rFonts w:hint="eastAsia" w:ascii="Times New Roman" w:hAnsi="Times New Roman" w:eastAsia="宋体" w:cs="宋体"/>
                <w:color w:val="000000" w:themeColor="text1"/>
                <w:kern w:val="0"/>
                <w:sz w:val="21"/>
                <w:szCs w:val="21"/>
                <w:highlight w:val="none"/>
                <w14:textFill>
                  <w14:solidFill>
                    <w14:schemeClr w14:val="tx1"/>
                  </w14:solidFill>
                </w14:textFill>
              </w:rPr>
              <w:t>包括</w:t>
            </w:r>
            <w:r>
              <w:rPr>
                <w:rFonts w:ascii="Times New Roman" w:hAnsi="Times New Roman" w:eastAsia="宋体" w:cs="宋体"/>
                <w:color w:val="000000" w:themeColor="text1"/>
                <w:kern w:val="0"/>
                <w:sz w:val="21"/>
                <w:szCs w:val="21"/>
                <w:highlight w:val="none"/>
                <w14:textFill>
                  <w14:solidFill>
                    <w14:schemeClr w14:val="tx1"/>
                  </w14:solidFill>
                </w14:textFill>
              </w:rPr>
              <w:t>除重点防渗区外的其余部分地面，包括生产车间等，采用抗渗等级不低于P1级的抗渗混凝土（渗透系数约1×10</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-7</w:t>
            </w:r>
            <w:r>
              <w:rPr>
                <w:rFonts w:ascii="Times New Roman" w:hAnsi="Times New Roman" w:eastAsia="宋体" w:cs="宋体"/>
                <w:color w:val="000000" w:themeColor="text1"/>
                <w:kern w:val="0"/>
                <w:sz w:val="21"/>
                <w:szCs w:val="21"/>
                <w:highlight w:val="none"/>
                <w14:textFill>
                  <w14:solidFill>
                    <w14:schemeClr w14:val="tx1"/>
                  </w14:solidFill>
                </w14:textFill>
              </w:rPr>
              <w:t>cm/s，厚度不低于20cm）硬化地面。</w:t>
            </w:r>
          </w:p>
          <w:p w14:paraId="7389F86E">
            <w:pPr>
              <w:spacing w:line="360" w:lineRule="auto"/>
              <w:ind w:firstLine="420"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3</w:t>
            </w:r>
            <w:r>
              <w:rPr>
                <w:rFonts w:ascii="Times New Roman" w:hAnsi="Times New Roman" w:eastAsia="宋体" w:cs="宋体"/>
                <w:color w:val="000000" w:themeColor="text1"/>
                <w:kern w:val="0"/>
                <w:sz w:val="21"/>
                <w:szCs w:val="21"/>
                <w:highlight w:val="none"/>
                <w14:textFill>
                  <w14:solidFill>
                    <w14:schemeClr w14:val="tx1"/>
                  </w14:solidFill>
                </w14:textFill>
              </w:rPr>
              <w:t>）除重点防渗区和一般防渗区外，厂区内过道需完善简单防渗处理。</w:t>
            </w:r>
          </w:p>
          <w:p w14:paraId="00FDDD7D">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对不同污染防治区采取不同等级的防渗方案和防渗措施</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见下表</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1443EBCB">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24</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分区防渗方案</w:t>
            </w:r>
            <w:r>
              <w:rPr>
                <w:rFonts w:ascii="Times New Roman" w:hAnsi="Times New Roman" w:eastAsia="宋体" w:cs="宋体"/>
                <w:b/>
                <w:bCs/>
                <w:color w:val="000000" w:themeColor="text1"/>
                <w:spacing w:val="-4"/>
                <w:sz w:val="21"/>
                <w:szCs w:val="21"/>
                <w:highlight w:val="none"/>
                <w14:textFill>
                  <w14:solidFill>
                    <w14:schemeClr w14:val="tx1"/>
                  </w14:solidFill>
                </w14:textFill>
              </w:rPr>
              <w:t>和防渗措施表</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86"/>
              <w:gridCol w:w="1393"/>
              <w:gridCol w:w="975"/>
              <w:gridCol w:w="1053"/>
              <w:gridCol w:w="3552"/>
            </w:tblGrid>
            <w:tr w14:paraId="14D118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94" w:type="dxa"/>
                  <w:noWrap/>
                  <w:vAlign w:val="center"/>
                </w:tcPr>
                <w:p w14:paraId="2C7E5064">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防渗分区</w:t>
                  </w:r>
                </w:p>
              </w:tc>
              <w:tc>
                <w:tcPr>
                  <w:tcW w:w="1184" w:type="dxa"/>
                  <w:noWrap/>
                  <w:vAlign w:val="center"/>
                </w:tcPr>
                <w:p w14:paraId="4EC719D5">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厂区分区</w:t>
                  </w:r>
                </w:p>
              </w:tc>
              <w:tc>
                <w:tcPr>
                  <w:tcW w:w="829" w:type="dxa"/>
                  <w:noWrap/>
                  <w:vAlign w:val="center"/>
                </w:tcPr>
                <w:p w14:paraId="1E4BAECE">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天然包气带防污性能</w:t>
                  </w:r>
                </w:p>
              </w:tc>
              <w:tc>
                <w:tcPr>
                  <w:tcW w:w="895" w:type="dxa"/>
                  <w:noWrap/>
                  <w:vAlign w:val="center"/>
                </w:tcPr>
                <w:p w14:paraId="78D9F867">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污染控制难易程度</w:t>
                  </w:r>
                </w:p>
              </w:tc>
              <w:tc>
                <w:tcPr>
                  <w:tcW w:w="3020" w:type="dxa"/>
                  <w:noWrap/>
                  <w:vAlign w:val="center"/>
                </w:tcPr>
                <w:p w14:paraId="53E1A6B3">
                  <w:pPr>
                    <w:snapToGrid w:val="0"/>
                    <w:jc w:val="center"/>
                    <w:rPr>
                      <w:rFonts w:ascii="Times New Roman" w:hAnsi="Times New Roman" w:eastAsia="宋体" w:cs="宋体"/>
                      <w:b/>
                      <w:color w:val="000000" w:themeColor="text1"/>
                      <w:kern w:val="0"/>
                      <w:sz w:val="21"/>
                      <w:szCs w:val="21"/>
                      <w:highlight w:val="none"/>
                      <w14:textFill>
                        <w14:solidFill>
                          <w14:schemeClr w14:val="tx1"/>
                        </w14:solidFill>
                      </w14:textFill>
                    </w:rPr>
                  </w:pPr>
                  <w:r>
                    <w:rPr>
                      <w:rFonts w:ascii="Times New Roman" w:hAnsi="Times New Roman" w:eastAsia="宋体" w:cs="宋体"/>
                      <w:b/>
                      <w:color w:val="000000" w:themeColor="text1"/>
                      <w:kern w:val="0"/>
                      <w:sz w:val="21"/>
                      <w:szCs w:val="21"/>
                      <w:highlight w:val="none"/>
                      <w14:textFill>
                        <w14:solidFill>
                          <w14:schemeClr w14:val="tx1"/>
                        </w14:solidFill>
                      </w14:textFill>
                    </w:rPr>
                    <w:t>防渗</w:t>
                  </w:r>
                  <w:r>
                    <w:rPr>
                      <w:rFonts w:hint="eastAsia" w:ascii="Times New Roman" w:hAnsi="Times New Roman" w:eastAsia="宋体" w:cs="宋体"/>
                      <w:b/>
                      <w:color w:val="000000" w:themeColor="text1"/>
                      <w:kern w:val="0"/>
                      <w:sz w:val="21"/>
                      <w:szCs w:val="21"/>
                      <w:highlight w:val="none"/>
                      <w14:textFill>
                        <w14:solidFill>
                          <w14:schemeClr w14:val="tx1"/>
                        </w14:solidFill>
                      </w14:textFill>
                    </w:rPr>
                    <w:t>技术要求</w:t>
                  </w:r>
                </w:p>
              </w:tc>
            </w:tr>
            <w:tr w14:paraId="2888D7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94" w:type="dxa"/>
                  <w:noWrap/>
                  <w:vAlign w:val="center"/>
                </w:tcPr>
                <w:p w14:paraId="7823F984">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重点防渗区</w:t>
                  </w:r>
                </w:p>
              </w:tc>
              <w:tc>
                <w:tcPr>
                  <w:tcW w:w="1184" w:type="dxa"/>
                  <w:noWrap/>
                  <w:vAlign w:val="center"/>
                </w:tcPr>
                <w:p w14:paraId="1A3A41DC">
                  <w:pPr>
                    <w:snapToGrid w:val="0"/>
                    <w:jc w:val="center"/>
                    <w:rPr>
                      <w:rFonts w:hint="default" w:ascii="Times New Roman" w:hAnsi="Times New Roman" w:eastAsia="宋体" w:cs="宋体"/>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危险废物暂存间</w:t>
                  </w:r>
                  <w:r>
                    <w:rPr>
                      <w:rFonts w:hint="eastAsia" w:cs="宋体"/>
                      <w:color w:val="000000" w:themeColor="text1"/>
                      <w:kern w:val="0"/>
                      <w:sz w:val="21"/>
                      <w:szCs w:val="21"/>
                      <w:highlight w:val="none"/>
                      <w:lang w:eastAsia="zh-CN"/>
                      <w14:textFill>
                        <w14:solidFill>
                          <w14:schemeClr w14:val="tx1"/>
                        </w14:solidFill>
                      </w14:textFill>
                    </w:rPr>
                    <w:t>、</w:t>
                  </w:r>
                  <w:r>
                    <w:rPr>
                      <w:rFonts w:hint="eastAsia" w:cs="宋体"/>
                      <w:color w:val="000000" w:themeColor="text1"/>
                      <w:kern w:val="0"/>
                      <w:sz w:val="21"/>
                      <w:szCs w:val="21"/>
                      <w:highlight w:val="none"/>
                      <w:lang w:val="en-US" w:eastAsia="zh-CN"/>
                      <w14:textFill>
                        <w14:solidFill>
                          <w14:schemeClr w14:val="tx1"/>
                        </w14:solidFill>
                      </w14:textFill>
                    </w:rPr>
                    <w:t>污水处理站</w:t>
                  </w:r>
                </w:p>
              </w:tc>
              <w:tc>
                <w:tcPr>
                  <w:tcW w:w="829" w:type="dxa"/>
                  <w:noWrap/>
                  <w:vAlign w:val="center"/>
                </w:tcPr>
                <w:p w14:paraId="7BF5DA0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中</w:t>
                  </w:r>
                </w:p>
              </w:tc>
              <w:tc>
                <w:tcPr>
                  <w:tcW w:w="895" w:type="dxa"/>
                  <w:noWrap/>
                  <w:vAlign w:val="center"/>
                </w:tcPr>
                <w:p w14:paraId="4F3A0E9E">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难</w:t>
                  </w:r>
                </w:p>
              </w:tc>
              <w:tc>
                <w:tcPr>
                  <w:tcW w:w="3020" w:type="dxa"/>
                  <w:noWrap/>
                  <w:vAlign w:val="center"/>
                </w:tcPr>
                <w:p w14:paraId="0810486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等效黏土防渗层</w:t>
                  </w:r>
                  <w:r>
                    <w:rPr>
                      <w:rFonts w:ascii="Times New Roman" w:hAnsi="Times New Roman" w:eastAsia="宋体" w:cs="宋体"/>
                      <w:color w:val="000000" w:themeColor="text1"/>
                      <w:kern w:val="0"/>
                      <w:sz w:val="21"/>
                      <w:szCs w:val="21"/>
                      <w:highlight w:val="none"/>
                      <w14:textFill>
                        <w14:solidFill>
                          <w14:schemeClr w14:val="tx1"/>
                        </w14:solidFill>
                      </w14:textFill>
                    </w:rPr>
                    <w:t>Mb</w:t>
                  </w:r>
                  <w:r>
                    <w:rPr>
                      <w:rFonts w:ascii="Times New Roman" w:hAnsi="Times New Roman" w:eastAsia="宋体" w:cs="宋体"/>
                      <w:color w:val="000000" w:themeColor="text1"/>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6.0m</w:t>
                  </w:r>
                  <w:r>
                    <w:rPr>
                      <w:rFonts w:hint="eastAsia" w:ascii="Times New Roman" w:hAnsi="Times New Roman" w:eastAsia="宋体" w:cs="宋体"/>
                      <w:color w:val="000000" w:themeColor="text1"/>
                      <w:kern w:val="0"/>
                      <w:sz w:val="21"/>
                      <w:szCs w:val="21"/>
                      <w:highlight w:val="none"/>
                      <w14:textFill>
                        <w14:solidFill>
                          <w14:schemeClr w14:val="tx1"/>
                        </w14:solidFill>
                      </w14:textFill>
                    </w:rPr>
                    <w:t>，渗透系数</w:t>
                  </w:r>
                  <w:r>
                    <w:rPr>
                      <w:rFonts w:ascii="Times New Roman" w:hAnsi="Times New Roman" w:eastAsia="宋体" w:cs="宋体"/>
                      <w:color w:val="000000" w:themeColor="text1"/>
                      <w:kern w:val="0"/>
                      <w:sz w:val="21"/>
                      <w:szCs w:val="21"/>
                      <w:highlight w:val="none"/>
                      <w14:textFill>
                        <w14:solidFill>
                          <w14:schemeClr w14:val="tx1"/>
                        </w14:solidFill>
                      </w14:textFill>
                    </w:rPr>
                    <w:t>K</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1×</w:t>
                  </w:r>
                  <w:r>
                    <w:rPr>
                      <w:rFonts w:ascii="Times New Roman" w:hAnsi="Times New Roman" w:eastAsia="宋体" w:cs="宋体"/>
                      <w:color w:val="000000" w:themeColor="text1"/>
                      <w:kern w:val="0"/>
                      <w:sz w:val="21"/>
                      <w:szCs w:val="21"/>
                      <w:highlight w:val="none"/>
                      <w14:textFill>
                        <w14:solidFill>
                          <w14:schemeClr w14:val="tx1"/>
                        </w14:solidFill>
                      </w14:textFill>
                    </w:rPr>
                    <w:t>10</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-7</w:t>
                  </w:r>
                  <w:r>
                    <w:rPr>
                      <w:rFonts w:ascii="Times New Roman" w:hAnsi="Times New Roman" w:eastAsia="宋体" w:cs="宋体"/>
                      <w:color w:val="000000" w:themeColor="text1"/>
                      <w:kern w:val="0"/>
                      <w:sz w:val="21"/>
                      <w:szCs w:val="21"/>
                      <w:highlight w:val="none"/>
                      <w14:textFill>
                        <w14:solidFill>
                          <w14:schemeClr w14:val="tx1"/>
                        </w14:solidFill>
                      </w14:textFill>
                    </w:rPr>
                    <w:t>cm/s</w:t>
                  </w:r>
                  <w:r>
                    <w:rPr>
                      <w:rFonts w:hint="eastAsia" w:ascii="Times New Roman" w:hAnsi="Times New Roman" w:eastAsia="宋体" w:cs="宋体"/>
                      <w:color w:val="000000" w:themeColor="text1"/>
                      <w:kern w:val="0"/>
                      <w:sz w:val="21"/>
                      <w:szCs w:val="21"/>
                      <w:highlight w:val="none"/>
                      <w14:textFill>
                        <w14:solidFill>
                          <w14:schemeClr w14:val="tx1"/>
                        </w14:solidFill>
                      </w14:textFill>
                    </w:rPr>
                    <w:t>，依据国家危险贮存标准要求设计、施工，采用</w:t>
                  </w:r>
                  <w:r>
                    <w:rPr>
                      <w:rFonts w:ascii="Times New Roman" w:hAnsi="Times New Roman" w:eastAsia="宋体" w:cs="宋体"/>
                      <w:color w:val="000000" w:themeColor="text1"/>
                      <w:kern w:val="0"/>
                      <w:sz w:val="21"/>
                      <w:szCs w:val="21"/>
                      <w:highlight w:val="none"/>
                      <w14:textFill>
                        <w14:solidFill>
                          <w14:schemeClr w14:val="tx1"/>
                        </w14:solidFill>
                      </w14:textFill>
                    </w:rPr>
                    <w:t>200mm</w:t>
                  </w:r>
                  <w:r>
                    <w:rPr>
                      <w:rFonts w:hint="eastAsia" w:ascii="Times New Roman" w:hAnsi="Times New Roman" w:eastAsia="宋体" w:cs="宋体"/>
                      <w:color w:val="000000" w:themeColor="text1"/>
                      <w:kern w:val="0"/>
                      <w:sz w:val="21"/>
                      <w:szCs w:val="21"/>
                      <w:highlight w:val="none"/>
                      <w14:textFill>
                        <w14:solidFill>
                          <w14:schemeClr w14:val="tx1"/>
                        </w14:solidFill>
                      </w14:textFill>
                    </w:rPr>
                    <w:t>厚</w:t>
                  </w:r>
                  <w:r>
                    <w:rPr>
                      <w:rFonts w:ascii="Times New Roman" w:hAnsi="Times New Roman" w:eastAsia="宋体" w:cs="宋体"/>
                      <w:color w:val="000000" w:themeColor="text1"/>
                      <w:kern w:val="0"/>
                      <w:sz w:val="21"/>
                      <w:szCs w:val="21"/>
                      <w:highlight w:val="none"/>
                      <w14:textFill>
                        <w14:solidFill>
                          <w14:schemeClr w14:val="tx1"/>
                        </w14:solidFill>
                      </w14:textFill>
                    </w:rPr>
                    <w:t>C15</w:t>
                  </w:r>
                  <w:r>
                    <w:rPr>
                      <w:rFonts w:hint="eastAsia" w:ascii="Times New Roman" w:hAnsi="Times New Roman" w:eastAsia="宋体" w:cs="宋体"/>
                      <w:color w:val="000000" w:themeColor="text1"/>
                      <w:kern w:val="0"/>
                      <w:sz w:val="21"/>
                      <w:szCs w:val="21"/>
                      <w:highlight w:val="none"/>
                      <w14:textFill>
                        <w14:solidFill>
                          <w14:schemeClr w14:val="tx1"/>
                        </w14:solidFill>
                      </w14:textFill>
                    </w:rPr>
                    <w:t>砼垫层随打随抹光，设置钢筋混凝土围堰，并采用底部加设土工膜进行防渗，且防雨和防晒</w:t>
                  </w:r>
                </w:p>
              </w:tc>
            </w:tr>
            <w:tr w14:paraId="34862A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94" w:type="dxa"/>
                  <w:noWrap/>
                  <w:vAlign w:val="center"/>
                </w:tcPr>
                <w:p w14:paraId="2E1B6F0A">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一般防渗区</w:t>
                  </w:r>
                </w:p>
              </w:tc>
              <w:tc>
                <w:tcPr>
                  <w:tcW w:w="1184" w:type="dxa"/>
                  <w:noWrap/>
                  <w:vAlign w:val="center"/>
                </w:tcPr>
                <w:p w14:paraId="5B74E7B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生产车间、办公用房</w:t>
                  </w:r>
                </w:p>
              </w:tc>
              <w:tc>
                <w:tcPr>
                  <w:tcW w:w="829" w:type="dxa"/>
                  <w:noWrap/>
                  <w:vAlign w:val="center"/>
                </w:tcPr>
                <w:p w14:paraId="75C1F94A">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中</w:t>
                  </w:r>
                </w:p>
              </w:tc>
              <w:tc>
                <w:tcPr>
                  <w:tcW w:w="895" w:type="dxa"/>
                  <w:noWrap/>
                  <w:vAlign w:val="center"/>
                </w:tcPr>
                <w:p w14:paraId="6394F662">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易</w:t>
                  </w:r>
                </w:p>
              </w:tc>
              <w:tc>
                <w:tcPr>
                  <w:tcW w:w="3020" w:type="dxa"/>
                  <w:noWrap/>
                  <w:vAlign w:val="center"/>
                </w:tcPr>
                <w:p w14:paraId="7E98249F">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等效黏土防渗层</w:t>
                  </w:r>
                  <w:r>
                    <w:rPr>
                      <w:rFonts w:ascii="Times New Roman" w:hAnsi="Times New Roman" w:eastAsia="宋体" w:cs="宋体"/>
                      <w:color w:val="000000" w:themeColor="text1"/>
                      <w:kern w:val="0"/>
                      <w:sz w:val="21"/>
                      <w:szCs w:val="21"/>
                      <w:highlight w:val="none"/>
                      <w14:textFill>
                        <w14:solidFill>
                          <w14:schemeClr w14:val="tx1"/>
                        </w14:solidFill>
                      </w14:textFill>
                    </w:rPr>
                    <w:t>Mb</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1.5</w:t>
                  </w:r>
                  <w:r>
                    <w:rPr>
                      <w:rFonts w:ascii="Times New Roman" w:hAnsi="Times New Roman" w:eastAsia="宋体" w:cs="宋体"/>
                      <w:color w:val="000000" w:themeColor="text1"/>
                      <w:kern w:val="0"/>
                      <w:sz w:val="21"/>
                      <w:szCs w:val="21"/>
                      <w:highlight w:val="none"/>
                      <w14:textFill>
                        <w14:solidFill>
                          <w14:schemeClr w14:val="tx1"/>
                        </w14:solidFill>
                      </w14:textFill>
                    </w:rPr>
                    <w:t>m</w:t>
                  </w:r>
                  <w:r>
                    <w:rPr>
                      <w:rFonts w:hint="eastAsia" w:ascii="Times New Roman" w:hAnsi="Times New Roman" w:eastAsia="宋体" w:cs="宋体"/>
                      <w:color w:val="000000" w:themeColor="text1"/>
                      <w:kern w:val="0"/>
                      <w:sz w:val="21"/>
                      <w:szCs w:val="21"/>
                      <w:highlight w:val="none"/>
                      <w14:textFill>
                        <w14:solidFill>
                          <w14:schemeClr w14:val="tx1"/>
                        </w14:solidFill>
                      </w14:textFill>
                    </w:rPr>
                    <w:t>，渗透系数</w:t>
                  </w:r>
                  <w:r>
                    <w:rPr>
                      <w:rFonts w:ascii="Times New Roman" w:hAnsi="Times New Roman" w:eastAsia="宋体" w:cs="宋体"/>
                      <w:color w:val="000000" w:themeColor="text1"/>
                      <w:kern w:val="0"/>
                      <w:sz w:val="21"/>
                      <w:szCs w:val="21"/>
                      <w:highlight w:val="none"/>
                      <w14:textFill>
                        <w14:solidFill>
                          <w14:schemeClr w14:val="tx1"/>
                        </w14:solidFill>
                      </w14:textFill>
                    </w:rPr>
                    <w:t>K</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ascii="Times New Roman" w:hAnsi="Times New Roman" w:eastAsia="宋体" w:cs="宋体"/>
                      <w:color w:val="000000" w:themeColor="text1"/>
                      <w:kern w:val="0"/>
                      <w:sz w:val="21"/>
                      <w:szCs w:val="21"/>
                      <w:highlight w:val="none"/>
                      <w14:textFill>
                        <w14:solidFill>
                          <w14:schemeClr w14:val="tx1"/>
                        </w14:solidFill>
                      </w14:textFill>
                    </w:rPr>
                    <w:t>1×</w:t>
                  </w:r>
                  <w:r>
                    <w:rPr>
                      <w:rFonts w:ascii="Times New Roman" w:hAnsi="Times New Roman" w:eastAsia="宋体" w:cs="宋体"/>
                      <w:color w:val="000000" w:themeColor="text1"/>
                      <w:kern w:val="0"/>
                      <w:sz w:val="21"/>
                      <w:szCs w:val="21"/>
                      <w:highlight w:val="none"/>
                      <w14:textFill>
                        <w14:solidFill>
                          <w14:schemeClr w14:val="tx1"/>
                        </w14:solidFill>
                      </w14:textFill>
                    </w:rPr>
                    <w:t>10</w:t>
                  </w:r>
                  <w:r>
                    <w:rPr>
                      <w:rFonts w:ascii="Times New Roman" w:hAnsi="Times New Roman" w:eastAsia="宋体" w:cs="宋体"/>
                      <w:color w:val="000000" w:themeColor="text1"/>
                      <w:kern w:val="0"/>
                      <w:sz w:val="21"/>
                      <w:szCs w:val="21"/>
                      <w:highlight w:val="none"/>
                      <w:vertAlign w:val="superscript"/>
                      <w14:textFill>
                        <w14:solidFill>
                          <w14:schemeClr w14:val="tx1"/>
                        </w14:solidFill>
                      </w14:textFill>
                    </w:rPr>
                    <w:t>-7</w:t>
                  </w:r>
                  <w:r>
                    <w:rPr>
                      <w:rFonts w:ascii="Times New Roman" w:hAnsi="Times New Roman" w:eastAsia="宋体" w:cs="宋体"/>
                      <w:color w:val="000000" w:themeColor="text1"/>
                      <w:kern w:val="0"/>
                      <w:sz w:val="21"/>
                      <w:szCs w:val="21"/>
                      <w:highlight w:val="none"/>
                      <w14:textFill>
                        <w14:solidFill>
                          <w14:schemeClr w14:val="tx1"/>
                        </w14:solidFill>
                      </w14:textFill>
                    </w:rPr>
                    <w:t>cm/s</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r>
                    <w:rPr>
                      <w:rFonts w:ascii="Times New Roman" w:hAnsi="Times New Roman" w:eastAsia="宋体" w:cs="宋体"/>
                      <w:color w:val="000000" w:themeColor="text1"/>
                      <w:kern w:val="0"/>
                      <w:sz w:val="21"/>
                      <w:szCs w:val="21"/>
                      <w:highlight w:val="none"/>
                      <w14:textFill>
                        <w14:solidFill>
                          <w14:schemeClr w14:val="tx1"/>
                        </w14:solidFill>
                      </w14:textFill>
                    </w:rPr>
                    <w:t>环氧胶泥面层，钢筋混凝土地面</w:t>
                  </w:r>
                </w:p>
              </w:tc>
            </w:tr>
            <w:tr w14:paraId="4E165A6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94" w:type="dxa"/>
                  <w:noWrap/>
                  <w:vAlign w:val="center"/>
                </w:tcPr>
                <w:p w14:paraId="279BB193">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简单防渗区</w:t>
                  </w:r>
                </w:p>
              </w:tc>
              <w:tc>
                <w:tcPr>
                  <w:tcW w:w="1184" w:type="dxa"/>
                  <w:noWrap/>
                  <w:vAlign w:val="center"/>
                </w:tcPr>
                <w:p w14:paraId="5BE7F2FB">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厂区内过道</w:t>
                  </w:r>
                </w:p>
              </w:tc>
              <w:tc>
                <w:tcPr>
                  <w:tcW w:w="829" w:type="dxa"/>
                  <w:noWrap/>
                  <w:vAlign w:val="center"/>
                </w:tcPr>
                <w:p w14:paraId="0D6AAB7F">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中</w:t>
                  </w:r>
                </w:p>
              </w:tc>
              <w:tc>
                <w:tcPr>
                  <w:tcW w:w="895" w:type="dxa"/>
                  <w:noWrap/>
                  <w:vAlign w:val="center"/>
                </w:tcPr>
                <w:p w14:paraId="42C7C6CC">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易</w:t>
                  </w:r>
                </w:p>
              </w:tc>
              <w:tc>
                <w:tcPr>
                  <w:tcW w:w="3020" w:type="dxa"/>
                  <w:noWrap/>
                  <w:vAlign w:val="center"/>
                </w:tcPr>
                <w:p w14:paraId="68DB5E20">
                  <w:pPr>
                    <w:snapToGrid w:val="0"/>
                    <w:jc w:val="center"/>
                    <w:rPr>
                      <w:rFonts w:ascii="Times New Roman" w:hAnsi="Times New Roman" w:eastAsia="宋体" w:cs="宋体"/>
                      <w:color w:val="000000" w:themeColor="text1"/>
                      <w:kern w:val="0"/>
                      <w:sz w:val="21"/>
                      <w:szCs w:val="21"/>
                      <w:highlight w:val="none"/>
                      <w14:textFill>
                        <w14:solidFill>
                          <w14:schemeClr w14:val="tx1"/>
                        </w14:solidFill>
                      </w14:textFill>
                    </w:rPr>
                  </w:pPr>
                  <w:r>
                    <w:rPr>
                      <w:rFonts w:ascii="Times New Roman" w:hAnsi="Times New Roman" w:eastAsia="宋体" w:cs="宋体"/>
                      <w:color w:val="000000" w:themeColor="text1"/>
                      <w:kern w:val="0"/>
                      <w:sz w:val="21"/>
                      <w:szCs w:val="21"/>
                      <w:highlight w:val="none"/>
                      <w14:textFill>
                        <w14:solidFill>
                          <w14:schemeClr w14:val="tx1"/>
                        </w14:solidFill>
                      </w14:textFill>
                    </w:rPr>
                    <w:t>一般地面硬化，钢筋混凝土地面</w:t>
                  </w:r>
                </w:p>
              </w:tc>
            </w:tr>
          </w:tbl>
          <w:p w14:paraId="0EA8FDC8">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6、生态</w:t>
            </w:r>
          </w:p>
          <w:p w14:paraId="0A9A55D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本项目用地范围内不涉及生态环境保护目标，因此无需开展生态评价</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58EAEAB9">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7、环境风险</w:t>
            </w:r>
          </w:p>
          <w:p w14:paraId="3738F40B">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（1）评价依据</w:t>
            </w:r>
          </w:p>
          <w:p w14:paraId="11ECC81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对照</w:t>
            </w:r>
            <w:r>
              <w:rPr>
                <w:rFonts w:hint="eastAsia" w:ascii="Times New Roman" w:hAnsi="Times New Roman" w:eastAsia="宋体" w:cs="宋体"/>
                <w:color w:val="000000" w:themeColor="text1"/>
                <w:sz w:val="21"/>
                <w:szCs w:val="21"/>
                <w:highlight w:val="none"/>
                <w14:textFill>
                  <w14:solidFill>
                    <w14:schemeClr w14:val="tx1"/>
                  </w14:solidFill>
                </w14:textFill>
              </w:rPr>
              <w:t>《建设项目环境风险评价技术导则》（HJ169-2018）附录B</w:t>
            </w:r>
            <w:r>
              <w:rPr>
                <w:rFonts w:ascii="Times New Roman" w:hAnsi="Times New Roman" w:eastAsia="宋体" w:cs="宋体"/>
                <w:color w:val="000000" w:themeColor="text1"/>
                <w:sz w:val="21"/>
                <w:szCs w:val="21"/>
                <w:highlight w:val="none"/>
                <w14:textFill>
                  <w14:solidFill>
                    <w14:schemeClr w14:val="tx1"/>
                  </w14:solidFill>
                </w14:textFill>
              </w:rPr>
              <w:t>，本项目涉及的风险物质识别见下表。</w:t>
            </w:r>
          </w:p>
          <w:p w14:paraId="34CCF2E3">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25</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涉及的危险</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物质</w:t>
            </w:r>
            <w:r>
              <w:rPr>
                <w:rFonts w:ascii="Times New Roman" w:hAnsi="Times New Roman" w:eastAsia="宋体" w:cs="宋体"/>
                <w:b/>
                <w:bCs/>
                <w:color w:val="000000" w:themeColor="text1"/>
                <w:spacing w:val="-4"/>
                <w:sz w:val="21"/>
                <w:szCs w:val="21"/>
                <w:highlight w:val="none"/>
                <w14:textFill>
                  <w14:solidFill>
                    <w14:schemeClr w14:val="tx1"/>
                  </w14:solidFill>
                </w14:textFill>
              </w:rPr>
              <w:t>最大</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存在量</w:t>
            </w:r>
            <w:r>
              <w:rPr>
                <w:rFonts w:ascii="Times New Roman" w:hAnsi="Times New Roman" w:eastAsia="宋体" w:cs="宋体"/>
                <w:b/>
                <w:bCs/>
                <w:color w:val="000000" w:themeColor="text1"/>
                <w:spacing w:val="-4"/>
                <w:sz w:val="21"/>
                <w:szCs w:val="21"/>
                <w:highlight w:val="none"/>
                <w14:textFill>
                  <w14:solidFill>
                    <w14:schemeClr w14:val="tx1"/>
                  </w14:solidFill>
                </w14:textFill>
              </w:rPr>
              <w:t>及储存方式</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061"/>
              <w:gridCol w:w="1338"/>
              <w:gridCol w:w="1730"/>
              <w:gridCol w:w="2064"/>
              <w:gridCol w:w="2066"/>
            </w:tblGrid>
            <w:tr w14:paraId="1B60D0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42" w:type="pct"/>
                  <w:vAlign w:val="center"/>
                </w:tcPr>
                <w:p w14:paraId="51AC1CD3">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序号</w:t>
                  </w:r>
                </w:p>
              </w:tc>
              <w:tc>
                <w:tcPr>
                  <w:tcW w:w="810" w:type="pct"/>
                  <w:vAlign w:val="center"/>
                </w:tcPr>
                <w:p w14:paraId="6C958781">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危险物质名称</w:t>
                  </w:r>
                </w:p>
              </w:tc>
              <w:tc>
                <w:tcPr>
                  <w:tcW w:w="1047" w:type="pct"/>
                  <w:vAlign w:val="center"/>
                </w:tcPr>
                <w:p w14:paraId="08D5CF42">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最大存在总量/t</w:t>
                  </w:r>
                </w:p>
              </w:tc>
              <w:tc>
                <w:tcPr>
                  <w:tcW w:w="1249" w:type="pct"/>
                  <w:vAlign w:val="center"/>
                </w:tcPr>
                <w:p w14:paraId="137722D1">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存在方式</w:t>
                  </w:r>
                </w:p>
              </w:tc>
              <w:tc>
                <w:tcPr>
                  <w:tcW w:w="1250" w:type="pct"/>
                  <w:vAlign w:val="center"/>
                </w:tcPr>
                <w:p w14:paraId="334A1D51">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存在位置</w:t>
                  </w:r>
                </w:p>
              </w:tc>
            </w:tr>
            <w:tr w14:paraId="371008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42" w:type="pct"/>
                  <w:vAlign w:val="center"/>
                </w:tcPr>
                <w:p w14:paraId="31D25E2C">
                  <w:pPr>
                    <w:tabs>
                      <w:tab w:val="left" w:pos="960"/>
                    </w:tabs>
                    <w:snapToGrid w:val="0"/>
                    <w:jc w:val="cente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1</w:t>
                  </w:r>
                </w:p>
              </w:tc>
              <w:tc>
                <w:tcPr>
                  <w:tcW w:w="810" w:type="pct"/>
                  <w:shd w:val="clear" w:color="auto" w:fill="auto"/>
                  <w:vAlign w:val="center"/>
                </w:tcPr>
                <w:p w14:paraId="6ABA655E">
                  <w:pPr>
                    <w:snapToGrid w:val="0"/>
                    <w:jc w:val="center"/>
                    <w:rPr>
                      <w:rFonts w:hint="default"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检疫废物</w:t>
                  </w:r>
                </w:p>
              </w:tc>
              <w:tc>
                <w:tcPr>
                  <w:tcW w:w="1047" w:type="pct"/>
                  <w:shd w:val="clear" w:color="auto" w:fill="auto"/>
                  <w:vAlign w:val="center"/>
                </w:tcPr>
                <w:p w14:paraId="2F20A426">
                  <w:pPr>
                    <w:tabs>
                      <w:tab w:val="left" w:pos="960"/>
                    </w:tabs>
                    <w:snapToGrid w:val="0"/>
                    <w:jc w:val="center"/>
                    <w:rPr>
                      <w:rFonts w:hint="default"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0.05</w:t>
                  </w:r>
                </w:p>
              </w:tc>
              <w:tc>
                <w:tcPr>
                  <w:tcW w:w="1249" w:type="pct"/>
                  <w:shd w:val="clear" w:color="auto" w:fill="auto"/>
                  <w:vAlign w:val="center"/>
                </w:tcPr>
                <w:p w14:paraId="27ADD155">
                  <w:pPr>
                    <w:tabs>
                      <w:tab w:val="left" w:pos="960"/>
                    </w:tabs>
                    <w:snapToGrid w:val="0"/>
                    <w:jc w:val="center"/>
                    <w:rPr>
                      <w:rFonts w:hint="default"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cs="宋体"/>
                      <w:color w:val="000000" w:themeColor="text1"/>
                      <w:kern w:val="0"/>
                      <w:sz w:val="21"/>
                      <w:szCs w:val="21"/>
                      <w:highlight w:val="none"/>
                      <w:lang w:val="en-US" w:eastAsia="zh-CN"/>
                      <w14:textFill>
                        <w14:solidFill>
                          <w14:schemeClr w14:val="tx1"/>
                        </w14:solidFill>
                      </w14:textFill>
                    </w:rPr>
                    <w:t>袋装</w:t>
                  </w:r>
                </w:p>
              </w:tc>
              <w:tc>
                <w:tcPr>
                  <w:tcW w:w="1250" w:type="pct"/>
                  <w:shd w:val="clear" w:color="auto" w:fill="auto"/>
                  <w:vAlign w:val="center"/>
                </w:tcPr>
                <w:p w14:paraId="676FD193">
                  <w:pPr>
                    <w:tabs>
                      <w:tab w:val="left" w:pos="960"/>
                    </w:tabs>
                    <w:snapToGrid w:val="0"/>
                    <w:jc w:val="center"/>
                    <w:rPr>
                      <w:rFonts w:hint="eastAsia"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危险废物暂存间</w:t>
                  </w:r>
                </w:p>
              </w:tc>
            </w:tr>
          </w:tbl>
          <w:p w14:paraId="482E91BD">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根据《建设项目环境风险评价技术导则》（HJ169-2018）对危险物质数量与临界量比值（Q）的定义，计算所涉及的每种危险物质在厂界内的最大存在总量与其在附录B中对应临界量的比值Q。</w:t>
            </w:r>
          </w:p>
          <w:p w14:paraId="2D9A0F0C">
            <w:pPr>
              <w:spacing w:line="360" w:lineRule="auto"/>
              <w:jc w:val="center"/>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drawing>
                <wp:inline distT="0" distB="0" distL="0" distR="0">
                  <wp:extent cx="2059305" cy="51689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6" cstate="print"/>
                          <a:srcRect/>
                          <a:stretch>
                            <a:fillRect/>
                          </a:stretch>
                        </pic:blipFill>
                        <pic:spPr>
                          <a:xfrm>
                            <a:off x="0" y="0"/>
                            <a:ext cx="2059305" cy="516890"/>
                          </a:xfrm>
                          <a:prstGeom prst="rect">
                            <a:avLst/>
                          </a:prstGeom>
                          <a:noFill/>
                          <a:ln w="9525">
                            <a:noFill/>
                            <a:miter lim="800000"/>
                            <a:headEnd/>
                            <a:tailEnd/>
                          </a:ln>
                        </pic:spPr>
                      </pic:pic>
                    </a:graphicData>
                  </a:graphic>
                </wp:inline>
              </w:drawing>
            </w:r>
          </w:p>
          <w:p w14:paraId="33C184BD">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本项目厂区较小，且生产单元与储存单元距离较近，因此把整个厂区作为一个单元分析，生产单元和储存单元涉及的危险物质最大</w:t>
            </w:r>
            <w:r>
              <w:rPr>
                <w:rFonts w:hint="eastAsia" w:ascii="Times New Roman" w:hAnsi="Times New Roman" w:eastAsia="宋体" w:cs="宋体"/>
                <w:color w:val="000000" w:themeColor="text1"/>
                <w:sz w:val="21"/>
                <w:szCs w:val="21"/>
                <w:highlight w:val="none"/>
                <w14:textFill>
                  <w14:solidFill>
                    <w14:schemeClr w14:val="tx1"/>
                  </w14:solidFill>
                </w14:textFill>
              </w:rPr>
              <w:t>存在总</w:t>
            </w:r>
            <w:r>
              <w:rPr>
                <w:rFonts w:ascii="Times New Roman" w:hAnsi="Times New Roman" w:eastAsia="宋体" w:cs="宋体"/>
                <w:color w:val="000000" w:themeColor="text1"/>
                <w:sz w:val="21"/>
                <w:szCs w:val="21"/>
                <w:highlight w:val="none"/>
                <w14:textFill>
                  <w14:solidFill>
                    <w14:schemeClr w14:val="tx1"/>
                  </w14:solidFill>
                </w14:textFill>
              </w:rPr>
              <w:t>量及临界量见下表。</w:t>
            </w:r>
          </w:p>
          <w:p w14:paraId="5B2275D6">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4-2</w:t>
            </w:r>
            <w:r>
              <w:rPr>
                <w:rFonts w:hint="eastAsia" w:cs="宋体"/>
                <w:b/>
                <w:bCs/>
                <w:color w:val="000000" w:themeColor="text1"/>
                <w:spacing w:val="-4"/>
                <w:sz w:val="21"/>
                <w:szCs w:val="21"/>
                <w:highlight w:val="none"/>
                <w:lang w:val="en-US" w:eastAsia="zh-CN"/>
                <w14:textFill>
                  <w14:solidFill>
                    <w14:schemeClr w14:val="tx1"/>
                  </w14:solidFill>
                </w14:textFill>
              </w:rPr>
              <w:t>6</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危险物质使用量及临界量</w:t>
            </w:r>
          </w:p>
          <w:tbl>
            <w:tblPr>
              <w:tblStyle w:val="24"/>
              <w:tblW w:w="4995"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08"/>
              <w:gridCol w:w="1360"/>
              <w:gridCol w:w="758"/>
              <w:gridCol w:w="1788"/>
              <w:gridCol w:w="2491"/>
              <w:gridCol w:w="1446"/>
            </w:tblGrid>
            <w:tr w14:paraId="092275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48" w:type="pct"/>
                  <w:vAlign w:val="center"/>
                </w:tcPr>
                <w:p w14:paraId="0401D8C7">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序号</w:t>
                  </w:r>
                </w:p>
              </w:tc>
              <w:tc>
                <w:tcPr>
                  <w:tcW w:w="824" w:type="pct"/>
                  <w:vAlign w:val="center"/>
                </w:tcPr>
                <w:p w14:paraId="0921BBF0">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危险物质名称</w:t>
                  </w:r>
                </w:p>
              </w:tc>
              <w:tc>
                <w:tcPr>
                  <w:tcW w:w="459" w:type="pct"/>
                  <w:vAlign w:val="center"/>
                </w:tcPr>
                <w:p w14:paraId="244CB756">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CAS号</w:t>
                  </w:r>
                </w:p>
              </w:tc>
              <w:tc>
                <w:tcPr>
                  <w:tcW w:w="1083" w:type="pct"/>
                  <w:vAlign w:val="center"/>
                </w:tcPr>
                <w:p w14:paraId="36C80465">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最大存在总量q</w:t>
                  </w:r>
                  <w:r>
                    <w:rPr>
                      <w:rFonts w:hint="eastAsia" w:ascii="Times New Roman" w:hAnsi="Times New Roman" w:eastAsia="宋体" w:cs="宋体"/>
                      <w:b/>
                      <w:bCs/>
                      <w:color w:val="000000" w:themeColor="text1"/>
                      <w:spacing w:val="-4"/>
                      <w:sz w:val="21"/>
                      <w:szCs w:val="21"/>
                      <w:highlight w:val="none"/>
                      <w:vertAlign w:val="subscript"/>
                      <w14:textFill>
                        <w14:solidFill>
                          <w14:schemeClr w14:val="tx1"/>
                        </w14:solidFill>
                      </w14:textFill>
                    </w:rPr>
                    <w:t>n</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/t</w:t>
                  </w:r>
                </w:p>
              </w:tc>
              <w:tc>
                <w:tcPr>
                  <w:tcW w:w="1508" w:type="pct"/>
                  <w:vAlign w:val="center"/>
                </w:tcPr>
                <w:p w14:paraId="030FF53D">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临界量Q</w:t>
                  </w:r>
                  <w:r>
                    <w:rPr>
                      <w:rFonts w:hint="eastAsia" w:ascii="Times New Roman" w:hAnsi="Times New Roman" w:eastAsia="宋体" w:cs="宋体"/>
                      <w:b/>
                      <w:bCs/>
                      <w:color w:val="000000" w:themeColor="text1"/>
                      <w:spacing w:val="-4"/>
                      <w:sz w:val="21"/>
                      <w:szCs w:val="21"/>
                      <w:highlight w:val="none"/>
                      <w:vertAlign w:val="subscript"/>
                      <w14:textFill>
                        <w14:solidFill>
                          <w14:schemeClr w14:val="tx1"/>
                        </w14:solidFill>
                      </w14:textFill>
                    </w:rPr>
                    <w:t>n</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/t</w:t>
                  </w:r>
                </w:p>
              </w:tc>
              <w:tc>
                <w:tcPr>
                  <w:tcW w:w="876" w:type="pct"/>
                  <w:vAlign w:val="center"/>
                </w:tcPr>
                <w:p w14:paraId="3890A278">
                  <w:pPr>
                    <w:tabs>
                      <w:tab w:val="left" w:pos="960"/>
                    </w:tabs>
                    <w:snapToGrid w:val="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危险物质Q值</w:t>
                  </w:r>
                </w:p>
              </w:tc>
            </w:tr>
            <w:tr w14:paraId="63759A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48" w:type="pct"/>
                  <w:shd w:val="clear" w:color="auto" w:fill="auto"/>
                  <w:vAlign w:val="center"/>
                </w:tcPr>
                <w:p w14:paraId="17CDAEA2">
                  <w:pPr>
                    <w:tabs>
                      <w:tab w:val="left" w:pos="960"/>
                    </w:tabs>
                    <w:snapToGrid w:val="0"/>
                    <w:jc w:val="center"/>
                    <w:rPr>
                      <w:rFonts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1</w:t>
                  </w:r>
                </w:p>
              </w:tc>
              <w:tc>
                <w:tcPr>
                  <w:tcW w:w="824" w:type="pct"/>
                  <w:shd w:val="clear" w:color="auto" w:fill="auto"/>
                  <w:vAlign w:val="center"/>
                </w:tcPr>
                <w:p w14:paraId="239E24CC">
                  <w:pPr>
                    <w:snapToGrid w:val="0"/>
                    <w:jc w:val="center"/>
                    <w:rPr>
                      <w:rFonts w:hint="eastAsia"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检疫废物</w:t>
                  </w:r>
                </w:p>
              </w:tc>
              <w:tc>
                <w:tcPr>
                  <w:tcW w:w="459" w:type="pct"/>
                  <w:vAlign w:val="center"/>
                </w:tcPr>
                <w:p w14:paraId="2EB323EF">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pacing w:val="-4"/>
                      <w:sz w:val="21"/>
                      <w:szCs w:val="21"/>
                      <w:highlight w:val="none"/>
                      <w:lang w:val="en-US" w:eastAsia="zh-CN"/>
                      <w14:textFill>
                        <w14:solidFill>
                          <w14:schemeClr w14:val="tx1"/>
                        </w14:solidFill>
                      </w14:textFill>
                    </w:rPr>
                    <w:t>/</w:t>
                  </w:r>
                </w:p>
              </w:tc>
              <w:tc>
                <w:tcPr>
                  <w:tcW w:w="1083" w:type="pct"/>
                  <w:shd w:val="clear" w:color="auto" w:fill="auto"/>
                  <w:vAlign w:val="center"/>
                </w:tcPr>
                <w:p w14:paraId="5F3A2FBA">
                  <w:pPr>
                    <w:tabs>
                      <w:tab w:val="left" w:pos="960"/>
                    </w:tabs>
                    <w:snapToGrid w:val="0"/>
                    <w:jc w:val="center"/>
                    <w:rPr>
                      <w:rFonts w:hint="default" w:ascii="Times New Roman" w:hAnsi="Times New Roman" w:eastAsia="宋体" w:cs="宋体"/>
                      <w:color w:val="000000" w:themeColor="text1"/>
                      <w:spacing w:val="-4"/>
                      <w:kern w:val="2"/>
                      <w:sz w:val="21"/>
                      <w:szCs w:val="21"/>
                      <w:highlight w:val="none"/>
                      <w:lang w:val="en-US" w:eastAsia="zh-CN" w:bidi="ar-SA"/>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0.05</w:t>
                  </w:r>
                </w:p>
              </w:tc>
              <w:tc>
                <w:tcPr>
                  <w:tcW w:w="1508" w:type="pct"/>
                  <w:vAlign w:val="center"/>
                </w:tcPr>
                <w:p w14:paraId="7680B87F">
                  <w:pPr>
                    <w:tabs>
                      <w:tab w:val="left" w:pos="960"/>
                    </w:tabs>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50</w:t>
                  </w:r>
                </w:p>
              </w:tc>
              <w:tc>
                <w:tcPr>
                  <w:tcW w:w="876" w:type="pct"/>
                  <w:vAlign w:val="center"/>
                </w:tcPr>
                <w:p w14:paraId="72F780EC">
                  <w:pPr>
                    <w:tabs>
                      <w:tab w:val="left" w:pos="960"/>
                    </w:tabs>
                    <w:snapToGrid w:val="0"/>
                    <w:jc w:val="center"/>
                    <w:rPr>
                      <w:rFonts w:hint="default" w:ascii="Times New Roman" w:hAnsi="Times New Roman" w:eastAsia="宋体" w:cs="宋体"/>
                      <w:color w:val="000000" w:themeColor="text1"/>
                      <w:spacing w:val="-4"/>
                      <w:sz w:val="21"/>
                      <w:szCs w:val="21"/>
                      <w:highlight w:val="none"/>
                      <w:lang w:val="en-US" w:eastAsia="zh-CN"/>
                      <w14:textFill>
                        <w14:solidFill>
                          <w14:schemeClr w14:val="tx1"/>
                        </w14:solidFill>
                      </w14:textFill>
                    </w:rPr>
                  </w:pPr>
                  <w:r>
                    <w:rPr>
                      <w:rFonts w:hint="eastAsia" w:cs="宋体"/>
                      <w:color w:val="000000" w:themeColor="text1"/>
                      <w:spacing w:val="-4"/>
                      <w:sz w:val="21"/>
                      <w:szCs w:val="21"/>
                      <w:highlight w:val="none"/>
                      <w:lang w:val="en-US" w:eastAsia="zh-CN"/>
                      <w14:textFill>
                        <w14:solidFill>
                          <w14:schemeClr w14:val="tx1"/>
                        </w14:solidFill>
                      </w14:textFill>
                    </w:rPr>
                    <w:t>0.001</w:t>
                  </w:r>
                </w:p>
              </w:tc>
            </w:tr>
            <w:tr w14:paraId="061DA8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123" w:type="pct"/>
                  <w:gridSpan w:val="5"/>
                  <w:vAlign w:val="center"/>
                </w:tcPr>
                <w:p w14:paraId="261C9345">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Cs/>
                      <w:color w:val="000000" w:themeColor="text1"/>
                      <w:spacing w:val="-4"/>
                      <w:sz w:val="21"/>
                      <w:szCs w:val="21"/>
                      <w:highlight w:val="none"/>
                      <w14:textFill>
                        <w14:solidFill>
                          <w14:schemeClr w14:val="tx1"/>
                        </w14:solidFill>
                      </w14:textFill>
                    </w:rPr>
                    <w:t>项目Q值Σ</w:t>
                  </w:r>
                </w:p>
              </w:tc>
              <w:tc>
                <w:tcPr>
                  <w:tcW w:w="876" w:type="pct"/>
                  <w:vAlign w:val="center"/>
                </w:tcPr>
                <w:p w14:paraId="442E2589">
                  <w:pPr>
                    <w:tabs>
                      <w:tab w:val="left" w:pos="960"/>
                    </w:tabs>
                    <w:snapToGrid w:val="0"/>
                    <w:jc w:val="center"/>
                    <w:rPr>
                      <w:rFonts w:hint="default" w:ascii="Times New Roman" w:hAnsi="Times New Roman" w:eastAsia="宋体" w:cs="宋体"/>
                      <w:bCs/>
                      <w:color w:val="000000" w:themeColor="text1"/>
                      <w:spacing w:val="-4"/>
                      <w:sz w:val="21"/>
                      <w:szCs w:val="21"/>
                      <w:highlight w:val="none"/>
                      <w:lang w:val="en-US" w:eastAsia="zh-CN"/>
                      <w14:textFill>
                        <w14:solidFill>
                          <w14:schemeClr w14:val="tx1"/>
                        </w14:solidFill>
                      </w14:textFill>
                    </w:rPr>
                  </w:pPr>
                  <w:r>
                    <w:rPr>
                      <w:rFonts w:hint="eastAsia" w:cs="宋体"/>
                      <w:bCs/>
                      <w:color w:val="000000" w:themeColor="text1"/>
                      <w:spacing w:val="-4"/>
                      <w:sz w:val="21"/>
                      <w:szCs w:val="21"/>
                      <w:highlight w:val="none"/>
                      <w:lang w:val="en-US" w:eastAsia="zh-CN"/>
                      <w14:textFill>
                        <w14:solidFill>
                          <w14:schemeClr w14:val="tx1"/>
                        </w14:solidFill>
                      </w14:textFill>
                    </w:rPr>
                    <w:t>0.001</w:t>
                  </w:r>
                </w:p>
              </w:tc>
            </w:tr>
          </w:tbl>
          <w:p w14:paraId="3F59A62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Q＜1，判定本项目环境风险潜势为</w:t>
            </w:r>
            <w:r>
              <w:rPr>
                <w:rFonts w:hint="eastAsia" w:ascii="Times New Roman" w:hAnsi="Times New Roman" w:eastAsia="宋体" w:cs="宋体"/>
                <w:color w:val="000000" w:themeColor="text1"/>
                <w:sz w:val="21"/>
                <w:szCs w:val="21"/>
                <w:highlight w:val="none"/>
                <w14:textFill>
                  <w14:solidFill>
                    <w14:schemeClr w14:val="tx1"/>
                  </w14:solidFill>
                </w14:textFill>
              </w:rPr>
              <w:t>Ⅰ</w:t>
            </w:r>
            <w:r>
              <w:rPr>
                <w:rFonts w:ascii="Times New Roman" w:hAnsi="Times New Roman" w:eastAsia="宋体" w:cs="宋体"/>
                <w:color w:val="000000" w:themeColor="text1"/>
                <w:sz w:val="21"/>
                <w:szCs w:val="21"/>
                <w:highlight w:val="none"/>
                <w14:textFill>
                  <w14:solidFill>
                    <w14:schemeClr w14:val="tx1"/>
                  </w14:solidFill>
                </w14:textFill>
              </w:rPr>
              <w:t>，根据评价等级划分依据，本项目评价工作等级为简单分析。</w:t>
            </w:r>
          </w:p>
          <w:p w14:paraId="3F832D6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（2）环境敏感目标概况</w:t>
            </w:r>
          </w:p>
          <w:p w14:paraId="03F1EDBB">
            <w:pPr>
              <w:spacing w:line="360" w:lineRule="auto"/>
              <w:ind w:firstLine="404" w:firstLineChars="200"/>
              <w:rPr>
                <w:rFonts w:ascii="Times New Roman" w:hAnsi="Times New Roman" w:eastAsia="宋体" w:cs="宋体"/>
                <w:color w:val="000000" w:themeColor="text1"/>
                <w:kern w:val="0"/>
                <w:sz w:val="21"/>
                <w:szCs w:val="21"/>
                <w:highlight w:val="none"/>
                <w14:textFill>
                  <w14:solidFill>
                    <w14:schemeClr w14:val="tx1"/>
                  </w14:solidFill>
                </w14:textFill>
              </w:rPr>
            </w:pPr>
            <w:r>
              <w:rPr>
                <w:rFonts w:hint="eastAsia" w:ascii="Times New Roman" w:hAnsi="Times New Roman" w:eastAsia="宋体" w:cs="宋体"/>
                <w:color w:val="000000" w:themeColor="text1"/>
                <w:spacing w:val="-4"/>
                <w:sz w:val="21"/>
                <w:szCs w:val="21"/>
                <w:highlight w:val="none"/>
                <w14:textFill>
                  <w14:solidFill>
                    <w14:schemeClr w14:val="tx1"/>
                  </w14:solidFill>
                </w14:textFill>
              </w:rPr>
              <w:t>厂界外500米范围内环境保护目标见表3.2-1</w:t>
            </w:r>
            <w:r>
              <w:rPr>
                <w:rFonts w:hint="eastAsia" w:ascii="Times New Roman" w:hAnsi="Times New Roman" w:eastAsia="宋体" w:cs="宋体"/>
                <w:color w:val="000000" w:themeColor="text1"/>
                <w:kern w:val="0"/>
                <w:sz w:val="21"/>
                <w:szCs w:val="21"/>
                <w:highlight w:val="none"/>
                <w14:textFill>
                  <w14:solidFill>
                    <w14:schemeClr w14:val="tx1"/>
                  </w14:solidFill>
                </w14:textFill>
              </w:rPr>
              <w:t>。</w:t>
            </w:r>
          </w:p>
          <w:p w14:paraId="18A0D845">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（3）环境风险识别</w:t>
            </w:r>
          </w:p>
          <w:p w14:paraId="42193785">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疫情应急处置</w:t>
            </w:r>
          </w:p>
          <w:p w14:paraId="16D68CD6">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发现疑似重大动物疫病的，立即按照《国家突发重大动物疫情应急预案》的规定和程序，开展重大动物疫病处置工作</w:t>
            </w:r>
          </w:p>
          <w:p w14:paraId="567374BD">
            <w:pPr>
              <w:spacing w:line="360" w:lineRule="auto"/>
              <w:ind w:firstLine="422" w:firstLineChars="200"/>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疑似疫情的应急处置</w:t>
            </w:r>
            <w:r>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t>：</w:t>
            </w:r>
          </w:p>
          <w:p w14:paraId="3978AEA5">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①</w:t>
            </w:r>
            <w:r>
              <w:rPr>
                <w:rFonts w:hint="eastAsia" w:ascii="Times New Roman" w:hAnsi="Times New Roman" w:eastAsia="宋体" w:cs="宋体"/>
                <w:color w:val="000000" w:themeColor="text1"/>
                <w:sz w:val="21"/>
                <w:szCs w:val="21"/>
                <w:highlight w:val="none"/>
                <w14:textFill>
                  <w14:solidFill>
                    <w14:schemeClr w14:val="tx1"/>
                  </w14:solidFill>
                </w14:textFill>
              </w:rPr>
              <w:t>对发病场所实施隔离、监控，禁止动物及动物产品、饲料垫料、污水等有关物品移动，并对其内外环境进行严格消毒。必要时，采取封锁、扑杀等措施。</w:t>
            </w:r>
          </w:p>
          <w:p w14:paraId="124F029C">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②</w:t>
            </w:r>
            <w:r>
              <w:rPr>
                <w:rFonts w:hint="eastAsia" w:ascii="Times New Roman" w:hAnsi="Times New Roman" w:eastAsia="宋体" w:cs="宋体"/>
                <w:color w:val="000000" w:themeColor="text1"/>
                <w:sz w:val="21"/>
                <w:szCs w:val="21"/>
                <w:highlight w:val="none"/>
                <w14:textFill>
                  <w14:solidFill>
                    <w14:schemeClr w14:val="tx1"/>
                  </w14:solidFill>
                </w14:textFill>
              </w:rPr>
              <w:t>流行病学调查。对疫情发生重大动物疫病的动物、相关产品来源及运输工具进行追溯性调查，分析疫情来源，进行跟踪调查，分析疫情扩散风险。必要时，对原产地动物或接触动物群进行隔离观察。</w:t>
            </w:r>
          </w:p>
          <w:p w14:paraId="7AEADDC7">
            <w:pPr>
              <w:spacing w:line="360" w:lineRule="auto"/>
              <w:ind w:firstLine="422" w:firstLineChars="200"/>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b/>
                <w:bCs/>
                <w:color w:val="000000" w:themeColor="text1"/>
                <w:sz w:val="21"/>
                <w:szCs w:val="21"/>
                <w:highlight w:val="none"/>
                <w14:textFill>
                  <w14:solidFill>
                    <w14:schemeClr w14:val="tx1"/>
                  </w14:solidFill>
                </w14:textFill>
              </w:rPr>
              <w:t>确诊疫情的应急处置</w:t>
            </w:r>
            <w:r>
              <w:rPr>
                <w:rFonts w:hint="eastAsia" w:ascii="Times New Roman" w:hAnsi="Times New Roman" w:eastAsia="宋体" w:cs="宋体"/>
                <w:b/>
                <w:bCs/>
                <w:color w:val="000000" w:themeColor="text1"/>
                <w:sz w:val="21"/>
                <w:szCs w:val="21"/>
                <w:highlight w:val="none"/>
                <w:lang w:eastAsia="zh-CN"/>
                <w14:textFill>
                  <w14:solidFill>
                    <w14:schemeClr w14:val="tx1"/>
                  </w14:solidFill>
                </w14:textFill>
              </w:rPr>
              <w:t>：</w:t>
            </w:r>
          </w:p>
          <w:p w14:paraId="6E21FD6C">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①</w:t>
            </w:r>
            <w:r>
              <w:rPr>
                <w:rFonts w:hint="eastAsia" w:ascii="Times New Roman" w:hAnsi="Times New Roman" w:eastAsia="宋体" w:cs="宋体"/>
                <w:color w:val="000000" w:themeColor="text1"/>
                <w:sz w:val="21"/>
                <w:szCs w:val="21"/>
                <w:highlight w:val="none"/>
                <w14:textFill>
                  <w14:solidFill>
                    <w14:schemeClr w14:val="tx1"/>
                  </w14:solidFill>
                </w14:textFill>
              </w:rPr>
              <w:t>划定疫点、疫区和受威胁区</w:t>
            </w:r>
          </w:p>
          <w:p w14:paraId="3C65A8D4">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由畜牧兽医局划定疫点、疫区、受威胁区疫点</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指患病动物所在的地点。一般是指患病动物所在的养殖场或其他有关屠宰、经营单位</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本评价为屠宰场。</w:t>
            </w:r>
          </w:p>
          <w:p w14:paraId="5DC3BEBA">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疫区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由疫点边缘向外延伸3公里的区域划为疫区。疫区划分时，应注意考虑当地的饲养环境和天然屏障</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如河流、山脉等</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3DB6D492">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受威胁区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由疫区边缘向外延伸5公里的区域划为受威胁区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3F621ED6">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②</w:t>
            </w:r>
            <w:r>
              <w:rPr>
                <w:rFonts w:hint="eastAsia" w:ascii="Times New Roman" w:hAnsi="Times New Roman" w:eastAsia="宋体" w:cs="宋体"/>
                <w:color w:val="000000" w:themeColor="text1"/>
                <w:sz w:val="21"/>
                <w:szCs w:val="21"/>
                <w:highlight w:val="none"/>
                <w14:textFill>
                  <w14:solidFill>
                    <w14:schemeClr w14:val="tx1"/>
                  </w14:solidFill>
                </w14:textFill>
              </w:rPr>
              <w:t>封锁</w:t>
            </w:r>
          </w:p>
          <w:p w14:paraId="34C1B9F7">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由畜牧兽医局报请人民政府决定对屠宰场所在疫区实行封锁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人民政府在接到封锁报告后，应在24小时内发布封锁令，对疫区进行封锁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在疫区周围设置警示标志，在出入疫区的交通路口设置动物检疫消毒站，对出入的车辆和有关物品进行消毒。必要时，经</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常州</w:t>
            </w:r>
            <w:r>
              <w:rPr>
                <w:rFonts w:hint="eastAsia" w:ascii="Times New Roman" w:hAnsi="Times New Roman" w:eastAsia="宋体" w:cs="宋体"/>
                <w:color w:val="000000" w:themeColor="text1"/>
                <w:sz w:val="21"/>
                <w:szCs w:val="21"/>
                <w:highlight w:val="none"/>
                <w14:textFill>
                  <w14:solidFill>
                    <w14:schemeClr w14:val="tx1"/>
                  </w14:solidFill>
                </w14:textFill>
              </w:rPr>
              <w:t>市人民政府批准，可设立临时监督检查站，执行对动物及其产品的监督检查任务。</w:t>
            </w:r>
          </w:p>
          <w:p w14:paraId="7FC389DB">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③</w:t>
            </w:r>
            <w:r>
              <w:rPr>
                <w:rFonts w:hint="eastAsia" w:ascii="Times New Roman" w:hAnsi="Times New Roman" w:eastAsia="宋体" w:cs="宋体"/>
                <w:color w:val="000000" w:themeColor="text1"/>
                <w:sz w:val="21"/>
                <w:szCs w:val="21"/>
                <w:highlight w:val="none"/>
                <w14:textFill>
                  <w14:solidFill>
                    <w14:schemeClr w14:val="tx1"/>
                  </w14:solidFill>
                </w14:textFill>
              </w:rPr>
              <w:t>疫点内应采取的措施</w:t>
            </w:r>
          </w:p>
          <w:p w14:paraId="508B4B6D">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扑杀屠宰场内所有的牛，销毁所有病牛及其产品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7C067AD7">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对牛排泄物、被污染饲料、垫料、污水等进行无害化处理</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3B213C44">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对被污染的物品、交通工具、用具、场地进行彻底消毒</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2DC6211D">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出入人员、车辆和相关设施要进行消毒</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1FA88270">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禁止无关</w:t>
            </w:r>
            <w:r>
              <w:rPr>
                <w:rFonts w:hint="eastAsia" w:ascii="Times New Roman" w:hAnsi="Times New Roman" w:eastAsia="宋体" w:cs="宋体"/>
                <w:color w:val="000000" w:themeColor="text1"/>
                <w:sz w:val="21"/>
                <w:szCs w:val="21"/>
                <w:highlight w:val="none"/>
                <w14:textFill>
                  <w14:solidFill>
                    <w14:schemeClr w14:val="tx1"/>
                  </w14:solidFill>
                </w14:textFill>
              </w:rPr>
              <w:t>人员与动物密切接触</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68D419D4">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④</w:t>
            </w:r>
            <w:r>
              <w:rPr>
                <w:rFonts w:hint="eastAsia" w:ascii="Times New Roman" w:hAnsi="Times New Roman" w:eastAsia="宋体" w:cs="宋体"/>
                <w:color w:val="000000" w:themeColor="text1"/>
                <w:sz w:val="21"/>
                <w:szCs w:val="21"/>
                <w:highlight w:val="none"/>
                <w14:textFill>
                  <w14:solidFill>
                    <w14:schemeClr w14:val="tx1"/>
                  </w14:solidFill>
                </w14:textFill>
              </w:rPr>
              <w:t>疫区内应采取的措施</w:t>
            </w:r>
          </w:p>
          <w:p w14:paraId="6DC445D0">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必要时，经专家评估，可扑杀疫区内所有易感动物，并进行无害化处理，同时销毁相应的动物产品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784C9DBB">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禁止动物进出疫区及动物及产品运出疫区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453DF405">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对动物排泄物、被污染饲料、垫料、污水等进行无害化处理</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7E403012">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对所有与动物接触过的物品、交通工具、用具、圈舍场地进行彻底消毒</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002DBBCB">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禁止无关人员与动物密切接触</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35D44FBE">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必要时可进行紧急免疫。</w:t>
            </w:r>
          </w:p>
          <w:p w14:paraId="05E2A377">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⑤</w:t>
            </w:r>
            <w:r>
              <w:rPr>
                <w:rFonts w:hint="eastAsia" w:ascii="Times New Roman" w:hAnsi="Times New Roman" w:eastAsia="宋体" w:cs="宋体"/>
                <w:color w:val="000000" w:themeColor="text1"/>
                <w:sz w:val="21"/>
                <w:szCs w:val="21"/>
                <w:highlight w:val="none"/>
                <w14:textFill>
                  <w14:solidFill>
                    <w14:schemeClr w14:val="tx1"/>
                  </w14:solidFill>
                </w14:textFill>
              </w:rPr>
              <w:t>受威胁区内应采取的措施</w:t>
            </w:r>
          </w:p>
          <w:p w14:paraId="2EA6B773">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对所有动物开展疫情监测，掌握疫情动态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3FC5E422">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关闭疫点及周边5公里区域内所有动物交易市场和牛羊定点屠宰场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6D2FDD07">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开展流行病学调查、疫源分析与追踪调查。追踪疫点内在发病期间及发病前7天内售出的所有动物及其产品</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04DC8706">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防止无关人员与动物近距离接触</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p w14:paraId="2C48108E">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必要时进行紧急免疫。</w:t>
            </w:r>
          </w:p>
          <w:p w14:paraId="777C7669">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⑥</w:t>
            </w:r>
            <w:r>
              <w:rPr>
                <w:rFonts w:hint="eastAsia" w:ascii="Times New Roman" w:hAnsi="Times New Roman" w:eastAsia="宋体" w:cs="宋体"/>
                <w:color w:val="000000" w:themeColor="text1"/>
                <w:sz w:val="21"/>
                <w:szCs w:val="21"/>
                <w:highlight w:val="none"/>
                <w14:textFill>
                  <w14:solidFill>
                    <w14:schemeClr w14:val="tx1"/>
                  </w14:solidFill>
                </w14:textFill>
              </w:rPr>
              <w:t>解除封锁</w:t>
            </w:r>
          </w:p>
          <w:p w14:paraId="21FFBFB6">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解除封锁的条件疫点、疫区内所有动物及其产品按规定处理完毕21天以上，监测未出现新的传染源</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hint="eastAsia" w:ascii="Times New Roman" w:hAnsi="Times New Roman" w:eastAsia="宋体" w:cs="宋体"/>
                <w:color w:val="000000" w:themeColor="text1"/>
                <w:sz w:val="21"/>
                <w:szCs w:val="21"/>
                <w:highlight w:val="none"/>
                <w14:textFill>
                  <w14:solidFill>
                    <w14:schemeClr w14:val="tx1"/>
                  </w14:solidFill>
                </w14:textFill>
              </w:rPr>
              <w:t>在动物卫生监督所的监督指导下，完成相关场所和物品终末消毒。</w:t>
            </w:r>
          </w:p>
          <w:p w14:paraId="7AEF6547">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解除封锁的程序经</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常州</w:t>
            </w:r>
            <w:r>
              <w:rPr>
                <w:rFonts w:hint="eastAsia" w:ascii="Times New Roman" w:hAnsi="Times New Roman" w:eastAsia="宋体" w:cs="宋体"/>
                <w:color w:val="000000" w:themeColor="text1"/>
                <w:sz w:val="21"/>
                <w:szCs w:val="21"/>
                <w:highlight w:val="none"/>
                <w14:textFill>
                  <w14:solidFill>
                    <w14:schemeClr w14:val="tx1"/>
                  </w14:solidFill>
                </w14:textFill>
              </w:rPr>
              <w:t>市动物卫生监督所审验合格，由畜牧兽医局向原发布封锁令地人民政府申请发布解除封锁令，取消所采取的疫情处置措施。</w:t>
            </w:r>
          </w:p>
          <w:p w14:paraId="10DA706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对处置疫情的全过程必须做好完整的记录，并归档。</w:t>
            </w:r>
          </w:p>
          <w:p w14:paraId="5326C214">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（6）分析结论</w:t>
            </w:r>
          </w:p>
          <w:p w14:paraId="0DCB9D86">
            <w:pPr>
              <w:spacing w:line="360" w:lineRule="auto"/>
              <w:ind w:firstLine="420" w:firstLineChars="20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综上，本项目风险潜势为I，环境风险影响较小，通过采取风险防治措施，可有效降低事故发生概率，对外环境造成环境可接受。因此，本项目的环境风险可防控。</w:t>
            </w:r>
          </w:p>
          <w:p w14:paraId="602FD2EC">
            <w:pPr>
              <w:tabs>
                <w:tab w:val="left" w:pos="960"/>
              </w:tabs>
              <w:spacing w:beforeLines="50"/>
              <w:jc w:val="center"/>
              <w:rPr>
                <w:rFonts w:ascii="Times New Roman" w:hAnsi="Times New Roman" w:eastAsia="宋体" w:cs="宋体"/>
                <w:b/>
                <w:bCs/>
                <w:color w:val="000000" w:themeColor="text1"/>
                <w:spacing w:val="-4"/>
                <w:sz w:val="21"/>
                <w:szCs w:val="21"/>
                <w:highlight w:val="none"/>
                <w14:textFill>
                  <w14:solidFill>
                    <w14:schemeClr w14:val="tx1"/>
                  </w14:solidFill>
                </w14:textFill>
              </w:rPr>
            </w:pPr>
            <w:r>
              <w:rPr>
                <w:rFonts w:ascii="Times New Roman" w:hAnsi="Times New Roman" w:eastAsia="宋体" w:cs="宋体"/>
                <w:b/>
                <w:bCs/>
                <w:color w:val="000000" w:themeColor="text1"/>
                <w:spacing w:val="-4"/>
                <w:sz w:val="21"/>
                <w:szCs w:val="21"/>
                <w:highlight w:val="none"/>
                <w14:textFill>
                  <w14:solidFill>
                    <w14:schemeClr w14:val="tx1"/>
                  </w14:solidFill>
                </w14:textFill>
              </w:rPr>
              <w:t>表</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4-</w:t>
            </w:r>
            <w:r>
              <w:rPr>
                <w:rFonts w:hint="eastAsia" w:cs="宋体"/>
                <w:b/>
                <w:bCs/>
                <w:color w:val="000000" w:themeColor="text1"/>
                <w:spacing w:val="-4"/>
                <w:sz w:val="21"/>
                <w:szCs w:val="21"/>
                <w:highlight w:val="none"/>
                <w:lang w:val="en-US" w:eastAsia="zh-CN"/>
                <w14:textFill>
                  <w14:solidFill>
                    <w14:schemeClr w14:val="tx1"/>
                  </w14:solidFill>
                </w14:textFill>
              </w:rPr>
              <w:t>27</w:t>
            </w:r>
            <w:r>
              <w:rPr>
                <w:rFonts w:hint="eastAsia" w:ascii="Times New Roman" w:hAnsi="Times New Roman" w:eastAsia="宋体" w:cs="宋体"/>
                <w:b/>
                <w:bCs/>
                <w:color w:val="000000" w:themeColor="text1"/>
                <w:spacing w:val="-4"/>
                <w:sz w:val="21"/>
                <w:szCs w:val="21"/>
                <w:highlight w:val="none"/>
                <w14:textFill>
                  <w14:solidFill>
                    <w14:schemeClr w14:val="tx1"/>
                  </w14:solidFill>
                </w14:textFill>
              </w:rPr>
              <w:t xml:space="preserve">  </w:t>
            </w:r>
            <w:r>
              <w:rPr>
                <w:rFonts w:ascii="Times New Roman" w:hAnsi="Times New Roman" w:eastAsia="宋体" w:cs="宋体"/>
                <w:b/>
                <w:bCs/>
                <w:color w:val="000000" w:themeColor="text1"/>
                <w:spacing w:val="-4"/>
                <w:sz w:val="21"/>
                <w:szCs w:val="21"/>
                <w:highlight w:val="none"/>
                <w14:textFill>
                  <w14:solidFill>
                    <w14:schemeClr w14:val="tx1"/>
                  </w14:solidFill>
                </w14:textFill>
              </w:rPr>
              <w:t>环境风险简单分析内容表</w:t>
            </w:r>
          </w:p>
          <w:tbl>
            <w:tblPr>
              <w:tblStyle w:val="24"/>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166"/>
              <w:gridCol w:w="1007"/>
              <w:gridCol w:w="1008"/>
              <w:gridCol w:w="1013"/>
              <w:gridCol w:w="861"/>
              <w:gridCol w:w="2204"/>
            </w:tblGrid>
            <w:tr w14:paraId="044498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01D503C6">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建设项目名称</w:t>
                  </w:r>
                </w:p>
              </w:tc>
              <w:tc>
                <w:tcPr>
                  <w:tcW w:w="3687" w:type="pct"/>
                  <w:gridSpan w:val="5"/>
                  <w:vAlign w:val="center"/>
                </w:tcPr>
                <w:p w14:paraId="675B179D">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cs="宋体"/>
                      <w:color w:val="000000" w:themeColor="text1"/>
                      <w:sz w:val="21"/>
                      <w:szCs w:val="21"/>
                      <w:highlight w:val="none"/>
                      <w:lang w:eastAsia="zh-CN"/>
                      <w14:textFill>
                        <w14:solidFill>
                          <w14:schemeClr w14:val="tx1"/>
                        </w14:solidFill>
                      </w14:textFill>
                    </w:rPr>
                    <w:t>扩建年产牛肉卤制品1400吨和牛肉副产品1900吨</w:t>
                  </w:r>
                  <w:r>
                    <w:rPr>
                      <w:rFonts w:hint="eastAsia" w:ascii="Times New Roman" w:hAnsi="Times New Roman" w:eastAsia="宋体" w:cs="宋体"/>
                      <w:color w:val="000000" w:themeColor="text1"/>
                      <w:sz w:val="21"/>
                      <w:szCs w:val="21"/>
                      <w:highlight w:val="none"/>
                      <w14:textFill>
                        <w14:solidFill>
                          <w14:schemeClr w14:val="tx1"/>
                        </w14:solidFill>
                      </w14:textFill>
                    </w:rPr>
                    <w:t>项目</w:t>
                  </w:r>
                </w:p>
              </w:tc>
            </w:tr>
            <w:tr w14:paraId="226F3E9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162F3608">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建设地点</w:t>
                  </w:r>
                </w:p>
              </w:tc>
              <w:tc>
                <w:tcPr>
                  <w:tcW w:w="610" w:type="pct"/>
                  <w:vAlign w:val="center"/>
                </w:tcPr>
                <w:p w14:paraId="4703D640">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ascii="Times New Roman" w:hAnsi="Times New Roman" w:eastAsia="宋体" w:cs="宋体"/>
                      <w:bCs/>
                      <w:color w:val="000000" w:themeColor="text1"/>
                      <w:spacing w:val="-4"/>
                      <w:sz w:val="21"/>
                      <w:szCs w:val="21"/>
                      <w:highlight w:val="none"/>
                      <w14:textFill>
                        <w14:solidFill>
                          <w14:schemeClr w14:val="tx1"/>
                        </w14:solidFill>
                      </w14:textFill>
                    </w:rPr>
                    <w:t>（江苏）省</w:t>
                  </w:r>
                </w:p>
              </w:tc>
              <w:tc>
                <w:tcPr>
                  <w:tcW w:w="610" w:type="pct"/>
                  <w:vAlign w:val="center"/>
                </w:tcPr>
                <w:p w14:paraId="7E3C3E56">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w:t>
                  </w:r>
                  <w:r>
                    <w:rPr>
                      <w:rFonts w:hint="eastAsia" w:ascii="Times New Roman" w:hAnsi="Times New Roman" w:eastAsia="宋体" w:cs="宋体"/>
                      <w:color w:val="000000" w:themeColor="text1"/>
                      <w:spacing w:val="-4"/>
                      <w:sz w:val="21"/>
                      <w:szCs w:val="21"/>
                      <w:highlight w:val="none"/>
                      <w14:textFill>
                        <w14:solidFill>
                          <w14:schemeClr w14:val="tx1"/>
                        </w14:solidFill>
                      </w14:textFill>
                    </w:rPr>
                    <w:t>常州</w:t>
                  </w:r>
                  <w:r>
                    <w:rPr>
                      <w:rFonts w:ascii="Times New Roman" w:hAnsi="Times New Roman" w:eastAsia="宋体" w:cs="宋体"/>
                      <w:color w:val="000000" w:themeColor="text1"/>
                      <w:spacing w:val="-4"/>
                      <w:sz w:val="21"/>
                      <w:szCs w:val="21"/>
                      <w:highlight w:val="none"/>
                      <w14:textFill>
                        <w14:solidFill>
                          <w14:schemeClr w14:val="tx1"/>
                        </w14:solidFill>
                      </w14:textFill>
                    </w:rPr>
                    <w:t>）市</w:t>
                  </w:r>
                </w:p>
              </w:tc>
              <w:tc>
                <w:tcPr>
                  <w:tcW w:w="613" w:type="pct"/>
                  <w:vAlign w:val="center"/>
                </w:tcPr>
                <w:p w14:paraId="12821AE1">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w:t>
                  </w:r>
                  <w:r>
                    <w:rPr>
                      <w:rFonts w:hint="eastAsia" w:cs="宋体"/>
                      <w:color w:val="000000" w:themeColor="text1"/>
                      <w:spacing w:val="-4"/>
                      <w:sz w:val="21"/>
                      <w:szCs w:val="21"/>
                      <w:highlight w:val="none"/>
                      <w:lang w:val="en-US" w:eastAsia="zh-CN"/>
                      <w14:textFill>
                        <w14:solidFill>
                          <w14:schemeClr w14:val="tx1"/>
                        </w14:solidFill>
                      </w14:textFill>
                    </w:rPr>
                    <w:t>金坛</w:t>
                  </w:r>
                  <w:r>
                    <w:rPr>
                      <w:rFonts w:ascii="Times New Roman" w:hAnsi="Times New Roman" w:eastAsia="宋体" w:cs="宋体"/>
                      <w:color w:val="000000" w:themeColor="text1"/>
                      <w:spacing w:val="-4"/>
                      <w:sz w:val="21"/>
                      <w:szCs w:val="21"/>
                      <w:highlight w:val="none"/>
                      <w14:textFill>
                        <w14:solidFill>
                          <w14:schemeClr w14:val="tx1"/>
                        </w14:solidFill>
                      </w14:textFill>
                    </w:rPr>
                    <w:t>）区</w:t>
                  </w:r>
                </w:p>
              </w:tc>
              <w:tc>
                <w:tcPr>
                  <w:tcW w:w="521" w:type="pct"/>
                  <w:vAlign w:val="center"/>
                </w:tcPr>
                <w:p w14:paraId="1EE3FDA1">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（/）县</w:t>
                  </w:r>
                </w:p>
              </w:tc>
              <w:tc>
                <w:tcPr>
                  <w:tcW w:w="1333" w:type="pct"/>
                  <w:vAlign w:val="center"/>
                </w:tcPr>
                <w:p w14:paraId="50E51EA4">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指前镇社头集镇社兴东路</w:t>
                  </w:r>
                </w:p>
              </w:tc>
            </w:tr>
            <w:tr w14:paraId="7CE3AF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4661D455">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地理坐标</w:t>
                  </w:r>
                </w:p>
              </w:tc>
              <w:tc>
                <w:tcPr>
                  <w:tcW w:w="610" w:type="pct"/>
                  <w:vAlign w:val="center"/>
                </w:tcPr>
                <w:p w14:paraId="00014430">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ascii="Times New Roman" w:hAnsi="Times New Roman" w:eastAsia="宋体" w:cs="宋体"/>
                      <w:bCs/>
                      <w:color w:val="000000" w:themeColor="text1"/>
                      <w:spacing w:val="-4"/>
                      <w:sz w:val="21"/>
                      <w:szCs w:val="21"/>
                      <w:highlight w:val="none"/>
                      <w14:textFill>
                        <w14:solidFill>
                          <w14:schemeClr w14:val="tx1"/>
                        </w14:solidFill>
                      </w14:textFill>
                    </w:rPr>
                    <w:t>经度</w:t>
                  </w:r>
                </w:p>
              </w:tc>
              <w:tc>
                <w:tcPr>
                  <w:tcW w:w="1223" w:type="pct"/>
                  <w:gridSpan w:val="2"/>
                  <w:vAlign w:val="center"/>
                </w:tcPr>
                <w:p w14:paraId="47E645C6">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E</w:t>
                  </w:r>
                  <w:r>
                    <w:rPr>
                      <w:rFonts w:hint="eastAsia" w:cs="宋体"/>
                      <w:color w:val="000000" w:themeColor="text1"/>
                      <w:sz w:val="21"/>
                      <w:szCs w:val="21"/>
                      <w:highlight w:val="none"/>
                      <w:lang w:val="en-US" w:eastAsia="zh-CN"/>
                      <w14:textFill>
                        <w14:solidFill>
                          <w14:schemeClr w14:val="tx1"/>
                        </w14:solidFill>
                      </w14:textFill>
                    </w:rPr>
                    <w:t>119</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28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25.117</w:t>
                  </w:r>
                  <w:r>
                    <w:rPr>
                      <w:rFonts w:ascii="Times New Roman" w:hAnsi="Times New Roman" w:eastAsia="宋体" w:cs="宋体"/>
                      <w:color w:val="000000" w:themeColor="text1"/>
                      <w:sz w:val="21"/>
                      <w:szCs w:val="21"/>
                      <w:highlight w:val="none"/>
                      <w14:textFill>
                        <w14:solidFill>
                          <w14:schemeClr w14:val="tx1"/>
                        </w14:solidFill>
                      </w14:textFill>
                    </w:rPr>
                    <w:t>"</w:t>
                  </w:r>
                </w:p>
              </w:tc>
              <w:tc>
                <w:tcPr>
                  <w:tcW w:w="521" w:type="pct"/>
                  <w:vAlign w:val="center"/>
                </w:tcPr>
                <w:p w14:paraId="1B3CFED6">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纬度</w:t>
                  </w:r>
                </w:p>
              </w:tc>
              <w:tc>
                <w:tcPr>
                  <w:tcW w:w="1333" w:type="pct"/>
                  <w:vAlign w:val="center"/>
                </w:tcPr>
                <w:p w14:paraId="10F98A74">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N3</w:t>
                  </w:r>
                  <w:r>
                    <w:rPr>
                      <w:rFonts w:hint="eastAsia" w:ascii="Times New Roman" w:hAnsi="Times New Roman" w:eastAsia="宋体" w:cs="宋体"/>
                      <w:color w:val="000000" w:themeColor="text1"/>
                      <w:sz w:val="21"/>
                      <w:szCs w:val="21"/>
                      <w:highlight w:val="none"/>
                      <w14:textFill>
                        <w14:solidFill>
                          <w14:schemeClr w14:val="tx1"/>
                        </w14:solidFill>
                      </w14:textFill>
                    </w:rPr>
                    <w:t>1</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38</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47.941</w:t>
                  </w:r>
                  <w:r>
                    <w:rPr>
                      <w:rFonts w:ascii="Times New Roman" w:hAnsi="Times New Roman" w:eastAsia="宋体" w:cs="宋体"/>
                      <w:color w:val="000000" w:themeColor="text1"/>
                      <w:sz w:val="21"/>
                      <w:szCs w:val="21"/>
                      <w:highlight w:val="none"/>
                      <w14:textFill>
                        <w14:solidFill>
                          <w14:schemeClr w14:val="tx1"/>
                        </w14:solidFill>
                      </w14:textFill>
                    </w:rPr>
                    <w:t>"</w:t>
                  </w:r>
                </w:p>
              </w:tc>
            </w:tr>
            <w:tr w14:paraId="073927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636F76D0">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主要危险物质及分布</w:t>
                  </w:r>
                </w:p>
              </w:tc>
              <w:tc>
                <w:tcPr>
                  <w:tcW w:w="3687" w:type="pct"/>
                  <w:gridSpan w:val="5"/>
                  <w:vAlign w:val="center"/>
                </w:tcPr>
                <w:p w14:paraId="757F2760">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本项目主要危险物质为</w:t>
                  </w:r>
                  <w:r>
                    <w:rPr>
                      <w:rFonts w:hint="eastAsia" w:cs="宋体"/>
                      <w:color w:val="000000" w:themeColor="text1"/>
                      <w:spacing w:val="-4"/>
                      <w:sz w:val="21"/>
                      <w:szCs w:val="21"/>
                      <w:highlight w:val="none"/>
                      <w:lang w:val="en-US" w:eastAsia="zh-CN"/>
                      <w14:textFill>
                        <w14:solidFill>
                          <w14:schemeClr w14:val="tx1"/>
                        </w14:solidFill>
                      </w14:textFill>
                    </w:rPr>
                    <w:t>检疫废物</w:t>
                  </w:r>
                  <w:r>
                    <w:rPr>
                      <w:rFonts w:ascii="Times New Roman" w:hAnsi="Times New Roman" w:eastAsia="宋体" w:cs="宋体"/>
                      <w:color w:val="000000" w:themeColor="text1"/>
                      <w:spacing w:val="-4"/>
                      <w:sz w:val="21"/>
                      <w:szCs w:val="21"/>
                      <w:highlight w:val="none"/>
                      <w14:textFill>
                        <w14:solidFill>
                          <w14:schemeClr w14:val="tx1"/>
                        </w14:solidFill>
                      </w14:textFill>
                    </w:rPr>
                    <w:t>等，暂存于规范化设置的</w:t>
                  </w:r>
                  <w:r>
                    <w:rPr>
                      <w:rFonts w:hint="eastAsia" w:ascii="Times New Roman" w:hAnsi="Times New Roman" w:eastAsia="宋体" w:cs="宋体"/>
                      <w:color w:val="000000" w:themeColor="text1"/>
                      <w:spacing w:val="-4"/>
                      <w:sz w:val="21"/>
                      <w:szCs w:val="21"/>
                      <w:highlight w:val="none"/>
                      <w14:textFill>
                        <w14:solidFill>
                          <w14:schemeClr w14:val="tx1"/>
                        </w14:solidFill>
                      </w14:textFill>
                    </w:rPr>
                    <w:t>仓库</w:t>
                  </w:r>
                </w:p>
              </w:tc>
            </w:tr>
            <w:tr w14:paraId="683501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007E861D">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环境影响途径及危害后果（大气、地表水、地下水等）</w:t>
                  </w:r>
                </w:p>
              </w:tc>
              <w:tc>
                <w:tcPr>
                  <w:tcW w:w="3687" w:type="pct"/>
                  <w:gridSpan w:val="5"/>
                  <w:vAlign w:val="center"/>
                </w:tcPr>
                <w:p w14:paraId="02453B46">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ascii="Times New Roman" w:hAnsi="Times New Roman" w:eastAsia="宋体" w:cs="宋体"/>
                      <w:bCs/>
                      <w:color w:val="000000" w:themeColor="text1"/>
                      <w:spacing w:val="-4"/>
                      <w:sz w:val="21"/>
                      <w:szCs w:val="21"/>
                      <w:highlight w:val="none"/>
                      <w14:textFill>
                        <w14:solidFill>
                          <w14:schemeClr w14:val="tx1"/>
                        </w14:solidFill>
                      </w14:textFill>
                    </w:rPr>
                    <w:t>包装容器破损或倾倒使其泄漏，可能通过雨水冲刷和下渗影响土壤、地表水和地下水</w:t>
                  </w:r>
                </w:p>
              </w:tc>
            </w:tr>
            <w:tr w14:paraId="6C3DBA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12" w:type="pct"/>
                  <w:vAlign w:val="center"/>
                </w:tcPr>
                <w:p w14:paraId="0E69A144">
                  <w:pPr>
                    <w:snapToGrid w:val="0"/>
                    <w:jc w:val="center"/>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风险防范措施要求</w:t>
                  </w:r>
                </w:p>
              </w:tc>
              <w:tc>
                <w:tcPr>
                  <w:tcW w:w="3687" w:type="pct"/>
                  <w:gridSpan w:val="5"/>
                  <w:vAlign w:val="center"/>
                </w:tcPr>
                <w:p w14:paraId="022B807F">
                  <w:pPr>
                    <w:tabs>
                      <w:tab w:val="left" w:pos="960"/>
                    </w:tabs>
                    <w:snapToGrid w:val="0"/>
                    <w:jc w:val="center"/>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本项目</w:t>
                  </w:r>
                  <w:r>
                    <w:rPr>
                      <w:rFonts w:ascii="Times New Roman" w:hAnsi="Times New Roman" w:eastAsia="宋体" w:cs="宋体"/>
                      <w:color w:val="000000" w:themeColor="text1"/>
                      <w:sz w:val="21"/>
                      <w:szCs w:val="21"/>
                      <w:highlight w:val="none"/>
                      <w14:textFill>
                        <w14:solidFill>
                          <w14:schemeClr w14:val="tx1"/>
                        </w14:solidFill>
                      </w14:textFill>
                    </w:rPr>
                    <w:t>按</w:t>
                  </w:r>
                  <w:r>
                    <w:rPr>
                      <w:rFonts w:hint="eastAsia" w:ascii="Times New Roman" w:hAnsi="Times New Roman" w:eastAsia="宋体" w:cs="宋体"/>
                      <w:color w:val="000000" w:themeColor="text1"/>
                      <w:sz w:val="21"/>
                      <w:szCs w:val="21"/>
                      <w:highlight w:val="none"/>
                      <w14:textFill>
                        <w14:solidFill>
                          <w14:schemeClr w14:val="tx1"/>
                        </w14:solidFill>
                      </w14:textFill>
                    </w:rPr>
                    <w:t>原料</w:t>
                  </w:r>
                  <w:r>
                    <w:rPr>
                      <w:rFonts w:ascii="Times New Roman" w:hAnsi="Times New Roman" w:eastAsia="宋体" w:cs="宋体"/>
                      <w:color w:val="000000" w:themeColor="text1"/>
                      <w:sz w:val="21"/>
                      <w:szCs w:val="21"/>
                      <w:highlight w:val="none"/>
                      <w14:textFill>
                        <w14:solidFill>
                          <w14:schemeClr w14:val="tx1"/>
                        </w14:solidFill>
                      </w14:textFill>
                    </w:rPr>
                    <w:t>的特性设置仓库，禁忌类物料、消防方法不同的物料严格按照有关仓储的安全要求分区、分类、隔离、隔开、分离储存，并实行定置管理，确保通风、温度、湿度、防日晒等仓储条件良好，符合《易燃易爆性商品储</w:t>
                  </w:r>
                  <w:r>
                    <w:rPr>
                      <w:rFonts w:hint="eastAsia" w:ascii="Times New Roman" w:hAnsi="Times New Roman" w:eastAsia="宋体" w:cs="宋体"/>
                      <w:color w:val="000000" w:themeColor="text1"/>
                      <w:sz w:val="21"/>
                      <w:szCs w:val="21"/>
                      <w:highlight w:val="none"/>
                      <w14:textFill>
                        <w14:solidFill>
                          <w14:schemeClr w14:val="tx1"/>
                        </w14:solidFill>
                      </w14:textFill>
                    </w:rPr>
                    <w:t>存</w:t>
                  </w:r>
                  <w:r>
                    <w:rPr>
                      <w:rFonts w:ascii="Times New Roman" w:hAnsi="Times New Roman" w:eastAsia="宋体" w:cs="宋体"/>
                      <w:color w:val="000000" w:themeColor="text1"/>
                      <w:sz w:val="21"/>
                      <w:szCs w:val="21"/>
                      <w:highlight w:val="none"/>
                      <w14:textFill>
                        <w14:solidFill>
                          <w14:schemeClr w14:val="tx1"/>
                        </w14:solidFill>
                      </w14:textFill>
                    </w:rPr>
                    <w:t>养护技术条件》（GB17914-2013）</w:t>
                  </w:r>
                </w:p>
              </w:tc>
            </w:tr>
            <w:tr w14:paraId="575D63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6"/>
                  <w:vAlign w:val="center"/>
                </w:tcPr>
                <w:p w14:paraId="63DB1B77">
                  <w:pPr>
                    <w:tabs>
                      <w:tab w:val="left" w:pos="960"/>
                    </w:tabs>
                    <w:snapToGrid w:val="0"/>
                    <w:jc w:val="left"/>
                    <w:rPr>
                      <w:rFonts w:ascii="Times New Roman" w:hAnsi="Times New Roman" w:eastAsia="宋体" w:cs="宋体"/>
                      <w:color w:val="000000" w:themeColor="text1"/>
                      <w:spacing w:val="-4"/>
                      <w:sz w:val="21"/>
                      <w:szCs w:val="21"/>
                      <w:highlight w:val="none"/>
                      <w14:textFill>
                        <w14:solidFill>
                          <w14:schemeClr w14:val="tx1"/>
                        </w14:solidFill>
                      </w14:textFill>
                    </w:rPr>
                  </w:pPr>
                  <w:r>
                    <w:rPr>
                      <w:rFonts w:ascii="Times New Roman" w:hAnsi="Times New Roman" w:eastAsia="宋体" w:cs="宋体"/>
                      <w:color w:val="000000" w:themeColor="text1"/>
                      <w:spacing w:val="-4"/>
                      <w:sz w:val="21"/>
                      <w:szCs w:val="21"/>
                      <w:highlight w:val="none"/>
                      <w14:textFill>
                        <w14:solidFill>
                          <w14:schemeClr w14:val="tx1"/>
                        </w14:solidFill>
                      </w14:textFill>
                    </w:rPr>
                    <w:t>填表说明（列出项目相关信息及评价说明）：</w:t>
                  </w:r>
                </w:p>
                <w:p w14:paraId="1747843A">
                  <w:pPr>
                    <w:tabs>
                      <w:tab w:val="left" w:pos="960"/>
                    </w:tabs>
                    <w:snapToGrid w:val="0"/>
                    <w:ind w:firstLine="404" w:firstLineChars="200"/>
                    <w:jc w:val="left"/>
                    <w:rPr>
                      <w:rFonts w:ascii="Times New Roman" w:hAnsi="Times New Roman" w:eastAsia="宋体" w:cs="宋体"/>
                      <w:bCs/>
                      <w:color w:val="000000" w:themeColor="text1"/>
                      <w:spacing w:val="-4"/>
                      <w:sz w:val="21"/>
                      <w:szCs w:val="21"/>
                      <w:highlight w:val="none"/>
                      <w14:textFill>
                        <w14:solidFill>
                          <w14:schemeClr w14:val="tx1"/>
                        </w14:solidFill>
                      </w14:textFill>
                    </w:rPr>
                  </w:pPr>
                  <w:r>
                    <w:rPr>
                      <w:rFonts w:hint="eastAsia" w:ascii="Times New Roman" w:hAnsi="Times New Roman" w:eastAsia="宋体" w:cs="宋体"/>
                      <w:bCs/>
                      <w:color w:val="000000" w:themeColor="text1"/>
                      <w:spacing w:val="-4"/>
                      <w:sz w:val="21"/>
                      <w:szCs w:val="21"/>
                      <w:highlight w:val="none"/>
                      <w14:textFill>
                        <w14:solidFill>
                          <w14:schemeClr w14:val="tx1"/>
                        </w14:solidFill>
                      </w14:textFill>
                    </w:rPr>
                    <w:t>本项目</w:t>
                  </w:r>
                  <w:r>
                    <w:rPr>
                      <w:rFonts w:hint="eastAsia" w:cs="宋体"/>
                      <w:color w:val="000000" w:themeColor="text1"/>
                      <w:spacing w:val="-4"/>
                      <w:sz w:val="21"/>
                      <w:szCs w:val="21"/>
                      <w:highlight w:val="none"/>
                      <w:lang w:val="en-US" w:eastAsia="zh-CN"/>
                      <w14:textFill>
                        <w14:solidFill>
                          <w14:schemeClr w14:val="tx1"/>
                        </w14:solidFill>
                      </w14:textFill>
                    </w:rPr>
                    <w:t>检疫废物</w:t>
                  </w:r>
                  <w:r>
                    <w:rPr>
                      <w:rFonts w:hint="eastAsia" w:ascii="Times New Roman" w:hAnsi="Times New Roman" w:eastAsia="宋体" w:cs="宋体"/>
                      <w:color w:val="000000" w:themeColor="text1"/>
                      <w:spacing w:val="-4"/>
                      <w:sz w:val="21"/>
                      <w:szCs w:val="21"/>
                      <w:highlight w:val="none"/>
                      <w14:textFill>
                        <w14:solidFill>
                          <w14:schemeClr w14:val="tx1"/>
                        </w14:solidFill>
                      </w14:textFill>
                    </w:rPr>
                    <w:t>等</w:t>
                  </w:r>
                  <w:r>
                    <w:rPr>
                      <w:rFonts w:hint="eastAsia" w:ascii="Times New Roman" w:hAnsi="Times New Roman" w:eastAsia="宋体" w:cs="宋体"/>
                      <w:bCs/>
                      <w:color w:val="000000" w:themeColor="text1"/>
                      <w:spacing w:val="-4"/>
                      <w:sz w:val="21"/>
                      <w:szCs w:val="21"/>
                      <w:highlight w:val="none"/>
                      <w14:textFill>
                        <w14:solidFill>
                          <w14:schemeClr w14:val="tx1"/>
                        </w14:solidFill>
                      </w14:textFill>
                    </w:rPr>
                    <w:t>存在一定的危险性，由于Q＜1，判定本项目环境风险潜势为Ⅰ，根据评价等级划分依据，本项目评价工作等级为简单分析。本项目采取完善的危险废物管理制度，项目建设、运行过程中环境风险可</w:t>
                  </w:r>
                  <w:r>
                    <w:rPr>
                      <w:rFonts w:hint="eastAsia" w:cs="宋体"/>
                      <w:bCs/>
                      <w:color w:val="000000" w:themeColor="text1"/>
                      <w:spacing w:val="-4"/>
                      <w:sz w:val="21"/>
                      <w:szCs w:val="21"/>
                      <w:highlight w:val="none"/>
                      <w:lang w:val="en-US" w:eastAsia="zh-CN"/>
                      <w14:textFill>
                        <w14:solidFill>
                          <w14:schemeClr w14:val="tx1"/>
                        </w14:solidFill>
                      </w14:textFill>
                    </w:rPr>
                    <w:t>防控</w:t>
                  </w:r>
                  <w:r>
                    <w:rPr>
                      <w:rFonts w:hint="eastAsia" w:ascii="Times New Roman" w:hAnsi="Times New Roman" w:eastAsia="宋体" w:cs="宋体"/>
                      <w:bCs/>
                      <w:color w:val="000000" w:themeColor="text1"/>
                      <w:spacing w:val="-4"/>
                      <w:sz w:val="21"/>
                      <w:szCs w:val="21"/>
                      <w:highlight w:val="none"/>
                      <w14:textFill>
                        <w14:solidFill>
                          <w14:schemeClr w14:val="tx1"/>
                        </w14:solidFill>
                      </w14:textFill>
                    </w:rPr>
                    <w:t>。</w:t>
                  </w:r>
                </w:p>
              </w:tc>
            </w:tr>
          </w:tbl>
          <w:p w14:paraId="33363A3A">
            <w:pPr>
              <w:spacing w:line="360" w:lineRule="auto"/>
              <w:ind w:firstLine="422" w:firstLineChars="200"/>
              <w:rPr>
                <w:rFonts w:ascii="Times New Roman" w:hAnsi="Times New Roman" w:eastAsia="宋体" w:cs="宋体"/>
                <w:b/>
                <w:color w:val="000000" w:themeColor="text1"/>
                <w:sz w:val="21"/>
                <w:szCs w:val="21"/>
                <w:highlight w:val="none"/>
                <w14:textFill>
                  <w14:solidFill>
                    <w14:schemeClr w14:val="tx1"/>
                  </w14:solidFill>
                </w14:textFill>
              </w:rPr>
            </w:pPr>
            <w:r>
              <w:rPr>
                <w:rFonts w:hint="eastAsia" w:ascii="Times New Roman" w:hAnsi="Times New Roman" w:eastAsia="宋体" w:cs="宋体"/>
                <w:b/>
                <w:color w:val="000000" w:themeColor="text1"/>
                <w:sz w:val="21"/>
                <w:szCs w:val="21"/>
                <w:highlight w:val="none"/>
                <w14:textFill>
                  <w14:solidFill>
                    <w14:schemeClr w14:val="tx1"/>
                  </w14:solidFill>
                </w14:textFill>
              </w:rPr>
              <w:t>8、电磁辐射</w:t>
            </w:r>
          </w:p>
          <w:p w14:paraId="6C62D0FE">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本项目不涉及电磁辐射影响，因此无需开展电磁辐射评价</w:t>
            </w:r>
            <w:r>
              <w:rPr>
                <w:rFonts w:hint="eastAsia" w:ascii="Times New Roman" w:hAnsi="Times New Roman" w:eastAsia="宋体" w:cs="宋体"/>
                <w:color w:val="000000" w:themeColor="text1"/>
                <w:sz w:val="21"/>
                <w:szCs w:val="21"/>
                <w:highlight w:val="none"/>
                <w14:textFill>
                  <w14:solidFill>
                    <w14:schemeClr w14:val="tx1"/>
                  </w14:solidFill>
                </w14:textFill>
              </w:rPr>
              <w:t>。</w:t>
            </w:r>
          </w:p>
          <w:p w14:paraId="6BA9830F">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0D6C7C88">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4E57D8FC">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30D68B64">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772DA965">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3BB744BB">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37B075B6">
            <w:pPr>
              <w:spacing w:line="360" w:lineRule="auto"/>
              <w:ind w:firstLine="420" w:firstLineChars="200"/>
              <w:rPr>
                <w:rFonts w:hint="eastAsia" w:ascii="Times New Roman" w:hAnsi="Times New Roman" w:eastAsia="宋体" w:cs="宋体"/>
                <w:color w:val="000000" w:themeColor="text1"/>
                <w:sz w:val="21"/>
                <w:szCs w:val="21"/>
                <w:highlight w:val="none"/>
                <w14:textFill>
                  <w14:solidFill>
                    <w14:schemeClr w14:val="tx1"/>
                  </w14:solidFill>
                </w14:textFill>
              </w:rPr>
            </w:pPr>
          </w:p>
          <w:p w14:paraId="16C2652A">
            <w:pPr>
              <w:spacing w:line="360" w:lineRule="auto"/>
              <w:ind w:firstLine="422" w:firstLineChars="200"/>
              <w:rPr>
                <w:rFonts w:hint="eastAsia" w:ascii="Times New Roman" w:hAnsi="Times New Roman" w:eastAsia="宋体" w:cs="宋体"/>
                <w:b/>
                <w:color w:val="000000" w:themeColor="text1"/>
                <w:sz w:val="21"/>
                <w:szCs w:val="21"/>
                <w:highlight w:val="none"/>
                <w:lang w:val="en-US" w:eastAsia="zh-CN"/>
                <w14:textFill>
                  <w14:solidFill>
                    <w14:schemeClr w14:val="tx1"/>
                  </w14:solidFill>
                </w14:textFill>
              </w:rPr>
            </w:pPr>
          </w:p>
        </w:tc>
      </w:tr>
    </w:tbl>
    <w:p w14:paraId="1BAF5F2B">
      <w:pPr>
        <w:adjustRightInd w:val="0"/>
        <w:snapToGrid w:val="0"/>
        <w:spacing w:line="360" w:lineRule="auto"/>
        <w:rPr>
          <w:rFonts w:ascii="Times New Roman" w:hAnsi="Times New Roman" w:eastAsia="宋体" w:cs="宋体"/>
          <w:b/>
          <w:color w:val="000000" w:themeColor="text1"/>
          <w:kern w:val="0"/>
          <w:sz w:val="28"/>
          <w:szCs w:val="28"/>
          <w:highlight w:val="none"/>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14:paraId="12601805">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pPr>
      <w:bookmarkStart w:id="9" w:name="_Toc32703"/>
      <w:r>
        <w:rPr>
          <w:rFonts w:hint="eastAsia" w:ascii="Times New Roman" w:hAnsi="Times New Roman" w:eastAsia="宋体" w:cs="宋体"/>
          <w:snapToGrid w:val="0"/>
          <w:color w:val="000000" w:themeColor="text1"/>
          <w:sz w:val="30"/>
          <w:szCs w:val="30"/>
          <w:highlight w:val="none"/>
          <w14:textFill>
            <w14:solidFill>
              <w14:schemeClr w14:val="tx1"/>
            </w14:solidFill>
          </w14:textFill>
        </w:rPr>
        <w:t>五、</w:t>
      </w:r>
      <w:bookmarkStart w:id="10" w:name="_Hlk54167917"/>
      <w:r>
        <w:rPr>
          <w:rFonts w:hint="eastAsia" w:ascii="Times New Roman" w:hAnsi="Times New Roman" w:eastAsia="宋体" w:cs="宋体"/>
          <w:snapToGrid w:val="0"/>
          <w:color w:val="000000" w:themeColor="text1"/>
          <w:sz w:val="30"/>
          <w:szCs w:val="30"/>
          <w:highlight w:val="none"/>
          <w14:textFill>
            <w14:solidFill>
              <w14:schemeClr w14:val="tx1"/>
            </w14:solidFill>
          </w14:textFill>
        </w:rPr>
        <w:t>环境保护措施监督检查清单</w:t>
      </w:r>
      <w:bookmarkEnd w:id="9"/>
      <w:bookmarkEnd w:id="10"/>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78"/>
        <w:gridCol w:w="1318"/>
        <w:gridCol w:w="1520"/>
        <w:gridCol w:w="1530"/>
        <w:gridCol w:w="2654"/>
      </w:tblGrid>
      <w:tr w14:paraId="6EC7D2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tcBorders>
              <w:tl2br w:val="single" w:color="auto" w:sz="4" w:space="0"/>
            </w:tcBorders>
          </w:tcPr>
          <w:p w14:paraId="62F8FFE2">
            <w:pPr>
              <w:snapToGrid w:val="0"/>
              <w:ind w:firstLine="84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内容</w:t>
            </w:r>
          </w:p>
          <w:p w14:paraId="515F043E">
            <w:pPr>
              <w:snapToGrid w:val="0"/>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要素</w:t>
            </w:r>
          </w:p>
        </w:tc>
        <w:tc>
          <w:tcPr>
            <w:tcW w:w="1318" w:type="dxa"/>
            <w:vAlign w:val="center"/>
          </w:tcPr>
          <w:p w14:paraId="08F025C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排放口（编号、名称）/污染源</w:t>
            </w:r>
          </w:p>
        </w:tc>
        <w:tc>
          <w:tcPr>
            <w:tcW w:w="1520" w:type="dxa"/>
            <w:vAlign w:val="center"/>
          </w:tcPr>
          <w:p w14:paraId="5D2EB239">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污染物项目</w:t>
            </w:r>
          </w:p>
        </w:tc>
        <w:tc>
          <w:tcPr>
            <w:tcW w:w="1530" w:type="dxa"/>
            <w:vAlign w:val="center"/>
          </w:tcPr>
          <w:p w14:paraId="59650863">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环境保护措施</w:t>
            </w:r>
          </w:p>
        </w:tc>
        <w:tc>
          <w:tcPr>
            <w:tcW w:w="2654" w:type="dxa"/>
            <w:vAlign w:val="center"/>
          </w:tcPr>
          <w:p w14:paraId="5E594141">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执行标准</w:t>
            </w:r>
          </w:p>
        </w:tc>
      </w:tr>
      <w:tr w14:paraId="1F77F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Merge w:val="restart"/>
            <w:vAlign w:val="center"/>
          </w:tcPr>
          <w:p w14:paraId="599AAE75">
            <w:pPr>
              <w:snapToGrid w:val="0"/>
              <w:jc w:val="cente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大气环境</w:t>
            </w:r>
          </w:p>
        </w:tc>
        <w:tc>
          <w:tcPr>
            <w:tcW w:w="1318" w:type="dxa"/>
            <w:shd w:val="clear" w:color="auto" w:fill="auto"/>
            <w:vAlign w:val="center"/>
          </w:tcPr>
          <w:p w14:paraId="2C7E104A">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FQ-</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1</w:t>
            </w:r>
          </w:p>
        </w:tc>
        <w:tc>
          <w:tcPr>
            <w:tcW w:w="1520" w:type="dxa"/>
            <w:shd w:val="clear" w:color="auto" w:fill="auto"/>
            <w:vAlign w:val="center"/>
          </w:tcPr>
          <w:p w14:paraId="027860FE">
            <w:pPr>
              <w:tabs>
                <w:tab w:val="left" w:pos="960"/>
              </w:tabs>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氨、硫化氢、臭气浓度</w:t>
            </w:r>
          </w:p>
        </w:tc>
        <w:tc>
          <w:tcPr>
            <w:tcW w:w="1530" w:type="dxa"/>
            <w:shd w:val="clear" w:color="auto" w:fill="auto"/>
            <w:vAlign w:val="center"/>
          </w:tcPr>
          <w:p w14:paraId="343A708C">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生物除臭装置</w:t>
            </w:r>
          </w:p>
        </w:tc>
        <w:tc>
          <w:tcPr>
            <w:tcW w:w="2654" w:type="dxa"/>
            <w:shd w:val="clear" w:color="auto" w:fill="auto"/>
            <w:vAlign w:val="center"/>
          </w:tcPr>
          <w:p w14:paraId="7B039FBE">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《恶臭污染物排放标准》（GB14554-93）</w:t>
            </w: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表2</w:t>
            </w:r>
          </w:p>
        </w:tc>
      </w:tr>
      <w:tr w14:paraId="0BF4C3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Merge w:val="continue"/>
            <w:vAlign w:val="center"/>
          </w:tcPr>
          <w:p w14:paraId="2A30636E">
            <w:pPr>
              <w:snapToGrid w:val="0"/>
              <w:jc w:val="center"/>
              <w:rPr>
                <w:rFonts w:hint="eastAsia" w:ascii="Times New Roman" w:hAnsi="Times New Roman" w:eastAsia="宋体" w:cs="宋体"/>
                <w:color w:val="000000" w:themeColor="text1"/>
                <w:sz w:val="21"/>
                <w:szCs w:val="21"/>
                <w:highlight w:val="none"/>
                <w14:textFill>
                  <w14:solidFill>
                    <w14:schemeClr w14:val="tx1"/>
                  </w14:solidFill>
                </w14:textFill>
              </w:rPr>
            </w:pPr>
          </w:p>
        </w:tc>
        <w:tc>
          <w:tcPr>
            <w:tcW w:w="1318" w:type="dxa"/>
            <w:shd w:val="clear" w:color="auto" w:fill="auto"/>
            <w:vAlign w:val="center"/>
          </w:tcPr>
          <w:p w14:paraId="0653C8BC">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无组织</w:t>
            </w:r>
          </w:p>
        </w:tc>
        <w:tc>
          <w:tcPr>
            <w:tcW w:w="1520" w:type="dxa"/>
            <w:shd w:val="clear" w:color="auto" w:fill="auto"/>
            <w:vAlign w:val="center"/>
          </w:tcPr>
          <w:p w14:paraId="0DBC0122">
            <w:pPr>
              <w:tabs>
                <w:tab w:val="left" w:pos="960"/>
              </w:tabs>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氨、硫化氢、臭气浓度</w:t>
            </w:r>
          </w:p>
        </w:tc>
        <w:tc>
          <w:tcPr>
            <w:tcW w:w="1530" w:type="dxa"/>
            <w:shd w:val="clear" w:color="auto" w:fill="auto"/>
            <w:vAlign w:val="center"/>
          </w:tcPr>
          <w:p w14:paraId="2097BCDF">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喷洒环保型生物除臭剂、</w:t>
            </w:r>
            <w:r>
              <w:rPr>
                <w:rFonts w:hint="eastAsia" w:ascii="Times New Roman" w:hAnsi="Times New Roman" w:eastAsia="宋体" w:cs="宋体"/>
                <w:color w:val="000000" w:themeColor="text1"/>
                <w:sz w:val="21"/>
                <w:szCs w:val="21"/>
                <w:highlight w:val="none"/>
                <w14:textFill>
                  <w14:solidFill>
                    <w14:schemeClr w14:val="tx1"/>
                  </w14:solidFill>
                </w14:textFill>
              </w:rPr>
              <w:t>加强车间通风</w:t>
            </w:r>
          </w:p>
        </w:tc>
        <w:tc>
          <w:tcPr>
            <w:tcW w:w="2654" w:type="dxa"/>
            <w:shd w:val="clear" w:color="auto" w:fill="auto"/>
            <w:vAlign w:val="center"/>
          </w:tcPr>
          <w:p w14:paraId="1C944EB6">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《恶臭污染物排放标准》（GB14554-93）</w:t>
            </w:r>
            <w:r>
              <w:rPr>
                <w:rFonts w:hint="eastAsia" w:ascii="Times New Roman" w:hAnsi="Times New Roman" w:eastAsia="宋体" w:cs="Times New Roman"/>
                <w:b w:val="0"/>
                <w:bCs/>
                <w:smallCaps w:val="0"/>
                <w:color w:val="000000" w:themeColor="text1"/>
                <w:kern w:val="2"/>
                <w:sz w:val="21"/>
                <w:szCs w:val="21"/>
                <w:highlight w:val="none"/>
                <w:lang w:val="en-US" w:eastAsia="zh-CN" w:bidi="ar-SA"/>
                <w14:textFill>
                  <w14:solidFill>
                    <w14:schemeClr w14:val="tx1"/>
                  </w14:solidFill>
                </w14:textFill>
              </w:rPr>
              <w:t>表1二级现有</w:t>
            </w:r>
          </w:p>
        </w:tc>
      </w:tr>
      <w:tr w14:paraId="09E167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shd w:val="clear" w:color="auto" w:fill="auto"/>
            <w:vAlign w:val="center"/>
          </w:tcPr>
          <w:p w14:paraId="73CCC21B">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地表水环境</w:t>
            </w:r>
          </w:p>
        </w:tc>
        <w:tc>
          <w:tcPr>
            <w:tcW w:w="1318" w:type="dxa"/>
            <w:shd w:val="clear" w:color="auto" w:fill="auto"/>
            <w:vAlign w:val="center"/>
          </w:tcPr>
          <w:p w14:paraId="3D6F708E">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WS-1</w:t>
            </w:r>
          </w:p>
        </w:tc>
        <w:tc>
          <w:tcPr>
            <w:tcW w:w="1520" w:type="dxa"/>
            <w:shd w:val="clear" w:color="auto" w:fill="auto"/>
            <w:vAlign w:val="center"/>
          </w:tcPr>
          <w:p w14:paraId="4A36F718">
            <w:pPr>
              <w:tabs>
                <w:tab w:val="left" w:pos="2110"/>
              </w:tabs>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pH值</w:t>
            </w:r>
            <w:r>
              <w:rPr>
                <w:rFonts w:ascii="Times New Roman" w:hAnsi="Times New Roman" w:eastAsia="宋体" w:cs="宋体"/>
                <w:color w:val="000000" w:themeColor="text1"/>
                <w:sz w:val="21"/>
                <w:szCs w:val="21"/>
                <w:highlight w:val="none"/>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化学需氧量、五日生化需氧量、悬浮物、氨氮、动植物油、总磷、总氮</w:t>
            </w:r>
          </w:p>
        </w:tc>
        <w:tc>
          <w:tcPr>
            <w:tcW w:w="1530" w:type="dxa"/>
            <w:shd w:val="clear" w:color="auto" w:fill="auto"/>
            <w:vAlign w:val="center"/>
          </w:tcPr>
          <w:p w14:paraId="5F64E884">
            <w:pPr>
              <w:snapToGrid w:val="0"/>
              <w:jc w:val="center"/>
              <w:rPr>
                <w:rFonts w:hint="default"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生产废水经废水处理设施预</w:t>
            </w:r>
            <w:bookmarkStart w:id="12" w:name="_GoBack"/>
            <w:bookmarkEnd w:id="12"/>
            <w:r>
              <w:rPr>
                <w:rFonts w:hint="eastAsia" w:cs="宋体"/>
                <w:color w:val="000000" w:themeColor="text1"/>
                <w:sz w:val="21"/>
                <w:szCs w:val="21"/>
                <w:highlight w:val="none"/>
                <w:lang w:val="en-US" w:eastAsia="zh-CN"/>
                <w14:textFill>
                  <w14:solidFill>
                    <w14:schemeClr w14:val="tx1"/>
                  </w14:solidFill>
                </w14:textFill>
              </w:rPr>
              <w:t>处理</w:t>
            </w:r>
          </w:p>
        </w:tc>
        <w:tc>
          <w:tcPr>
            <w:tcW w:w="2654" w:type="dxa"/>
            <w:shd w:val="clear" w:color="auto" w:fill="auto"/>
            <w:vAlign w:val="center"/>
          </w:tcPr>
          <w:p w14:paraId="686011DA">
            <w:pPr>
              <w:snapToGrid w:val="0"/>
              <w:jc w:val="center"/>
              <w:rPr>
                <w:rFonts w:hint="eastAsia" w:ascii="Times New Roman" w:hAnsi="Times New Roman" w:eastAsia="宋体" w:cs="Times New Roman"/>
                <w:bCs/>
                <w:smallCaps w:val="0"/>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《污水排入城镇下水道水质标准》（</w:t>
            </w:r>
            <w:r>
              <w:rPr>
                <w:rFonts w:ascii="Times New Roman" w:hAnsi="Times New Roman" w:eastAsia="宋体" w:cs="宋体"/>
                <w:color w:val="000000" w:themeColor="text1"/>
                <w:kern w:val="0"/>
                <w:sz w:val="21"/>
                <w:szCs w:val="21"/>
                <w:highlight w:val="none"/>
                <w14:textFill>
                  <w14:solidFill>
                    <w14:schemeClr w14:val="tx1"/>
                  </w14:solidFill>
                </w14:textFill>
              </w:rPr>
              <w:t>GB/T31962-2015</w:t>
            </w:r>
            <w:r>
              <w:rPr>
                <w:rFonts w:hint="eastAsia" w:ascii="Times New Roman" w:hAnsi="Times New Roman" w:eastAsia="宋体" w:cs="宋体"/>
                <w:color w:val="000000" w:themeColor="text1"/>
                <w:kern w:val="0"/>
                <w:sz w:val="21"/>
                <w:szCs w:val="21"/>
                <w:highlight w:val="none"/>
                <w14:textFill>
                  <w14:solidFill>
                    <w14:schemeClr w14:val="tx1"/>
                  </w14:solidFill>
                </w14:textFill>
              </w:rPr>
              <w:t>）表</w:t>
            </w:r>
            <w:r>
              <w:rPr>
                <w:rFonts w:ascii="Times New Roman" w:hAnsi="Times New Roman" w:eastAsia="宋体" w:cs="宋体"/>
                <w:color w:val="000000" w:themeColor="text1"/>
                <w:kern w:val="0"/>
                <w:sz w:val="21"/>
                <w:szCs w:val="21"/>
                <w:highlight w:val="none"/>
                <w14:textFill>
                  <w14:solidFill>
                    <w14:schemeClr w14:val="tx1"/>
                  </w14:solidFill>
                </w14:textFill>
              </w:rPr>
              <w:t>1</w:t>
            </w:r>
            <w:r>
              <w:rPr>
                <w:rFonts w:hint="eastAsia" w:ascii="Times New Roman" w:hAnsi="Times New Roman" w:eastAsia="宋体" w:cs="宋体"/>
                <w:color w:val="000000" w:themeColor="text1"/>
                <w:kern w:val="0"/>
                <w:sz w:val="21"/>
                <w:szCs w:val="21"/>
                <w:highlight w:val="none"/>
                <w14:textFill>
                  <w14:solidFill>
                    <w14:schemeClr w14:val="tx1"/>
                  </w14:solidFill>
                </w14:textFill>
              </w:rPr>
              <w:t>中B等级标准</w:t>
            </w:r>
          </w:p>
        </w:tc>
      </w:tr>
      <w:tr w14:paraId="76DF24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6F3C49E0">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声环境</w:t>
            </w:r>
          </w:p>
        </w:tc>
        <w:tc>
          <w:tcPr>
            <w:tcW w:w="7022" w:type="dxa"/>
            <w:gridSpan w:val="4"/>
            <w:vAlign w:val="center"/>
          </w:tcPr>
          <w:p w14:paraId="3ED35C5D">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通过车间隔声、距离衰减，采取噪声防治措施后，东、南、西、北厂界昼间噪声预测值满足《工业企业厂界环境噪声排放标准》（GB12348—2008）</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2类</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标准。</w:t>
            </w:r>
          </w:p>
        </w:tc>
      </w:tr>
      <w:tr w14:paraId="7F44A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3DC03120">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电磁辐射</w:t>
            </w:r>
          </w:p>
        </w:tc>
        <w:tc>
          <w:tcPr>
            <w:tcW w:w="7022" w:type="dxa"/>
            <w:gridSpan w:val="4"/>
            <w:vAlign w:val="center"/>
          </w:tcPr>
          <w:p w14:paraId="01E67E5E">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p>
        </w:tc>
      </w:tr>
      <w:tr w14:paraId="5A390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2A56280B">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固体废物</w:t>
            </w:r>
          </w:p>
        </w:tc>
        <w:tc>
          <w:tcPr>
            <w:tcW w:w="7022" w:type="dxa"/>
            <w:gridSpan w:val="4"/>
            <w:vAlign w:val="center"/>
          </w:tcPr>
          <w:p w14:paraId="6901CCC7">
            <w:pPr>
              <w:spacing w:line="360" w:lineRule="auto"/>
              <w:ind w:firstLine="420" w:firstLineChars="200"/>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ascii="Times New Roman" w:hAnsi="Times New Roman" w:eastAsia="宋体" w:cs="宋体"/>
                <w:color w:val="000000" w:themeColor="text1"/>
                <w:sz w:val="21"/>
                <w:szCs w:val="21"/>
                <w:highlight w:val="none"/>
                <w14:textFill>
                  <w14:solidFill>
                    <w14:schemeClr w14:val="tx1"/>
                  </w14:solidFill>
                </w14:textFill>
              </w:rPr>
              <w:t>本项目对固体废物进行分类收集、贮存。</w:t>
            </w:r>
            <w:r>
              <w:rPr>
                <w:rFonts w:hint="eastAsia" w:cs="宋体"/>
                <w:color w:val="000000" w:themeColor="text1"/>
                <w:sz w:val="21"/>
                <w:szCs w:val="21"/>
                <w:highlight w:val="none"/>
                <w:lang w:val="en-US" w:eastAsia="zh-CN"/>
                <w14:textFill>
                  <w14:solidFill>
                    <w14:schemeClr w14:val="tx1"/>
                  </w14:solidFill>
                </w14:textFill>
              </w:rPr>
              <w:t>病死牛、不合格胴体、三腺、待宰圈牛粪便、胃容物、废弃内脏、废肉渣碎肉骨由</w:t>
            </w:r>
            <w:r>
              <w:rPr>
                <w:rFonts w:hint="eastAsia" w:ascii="Times New Roman" w:hAnsi="Times New Roman" w:eastAsia="宋体" w:cs="宋体"/>
                <w:color w:val="000000" w:themeColor="text1"/>
                <w:kern w:val="0"/>
                <w:sz w:val="21"/>
                <w:szCs w:val="21"/>
                <w:highlight w:val="none"/>
                <w14:textFill>
                  <w14:solidFill>
                    <w14:schemeClr w14:val="tx1"/>
                  </w14:solidFill>
                </w14:textFill>
              </w:rPr>
              <w:t>常州市宏宝生物科技有限公司</w:t>
            </w:r>
            <w:r>
              <w:rPr>
                <w:rFonts w:hint="eastAsia" w:cs="宋体"/>
                <w:color w:val="000000" w:themeColor="text1"/>
                <w:kern w:val="0"/>
                <w:sz w:val="21"/>
                <w:szCs w:val="21"/>
                <w:highlight w:val="none"/>
                <w:lang w:val="en-US" w:eastAsia="zh-CN"/>
                <w14:textFill>
                  <w14:solidFill>
                    <w14:schemeClr w14:val="tx1"/>
                  </w14:solidFill>
                </w14:textFill>
              </w:rPr>
              <w:t>无害化处置</w:t>
            </w:r>
            <w:r>
              <w:rPr>
                <w:rFonts w:hint="eastAsia" w:cs="宋体"/>
                <w:color w:val="000000" w:themeColor="text1"/>
                <w:sz w:val="21"/>
                <w:szCs w:val="21"/>
                <w:highlight w:val="none"/>
                <w:lang w:val="en-US" w:eastAsia="zh-CN"/>
                <w14:textFill>
                  <w14:solidFill>
                    <w14:schemeClr w14:val="tx1"/>
                  </w14:solidFill>
                </w14:textFill>
              </w:rPr>
              <w:t>，污水处理污泥由水泥厂协同处置或垃圾焚烧厂焚烧处理，废卤料由环卫清运</w:t>
            </w:r>
            <w:r>
              <w:rPr>
                <w:rFonts w:ascii="Times New Roman" w:hAnsi="Times New Roman" w:eastAsia="宋体" w:cs="宋体"/>
                <w:color w:val="000000" w:themeColor="text1"/>
                <w:sz w:val="21"/>
                <w:szCs w:val="21"/>
                <w:highlight w:val="none"/>
                <w14:textFill>
                  <w14:solidFill>
                    <w14:schemeClr w14:val="tx1"/>
                  </w14:solidFill>
                </w14:textFill>
              </w:rPr>
              <w:t>。项目运营期产生的固体废弃物均得到了有效</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地</w:t>
            </w:r>
            <w:r>
              <w:rPr>
                <w:rFonts w:ascii="Times New Roman" w:hAnsi="Times New Roman" w:eastAsia="宋体" w:cs="宋体"/>
                <w:color w:val="000000" w:themeColor="text1"/>
                <w:sz w:val="21"/>
                <w:szCs w:val="21"/>
                <w:highlight w:val="none"/>
                <w14:textFill>
                  <w14:solidFill>
                    <w14:schemeClr w14:val="tx1"/>
                  </w14:solidFill>
                </w14:textFill>
              </w:rPr>
              <w:t>处理处置</w:t>
            </w:r>
            <w:r>
              <w:rPr>
                <w:rFonts w:hint="eastAsia" w:cs="宋体"/>
                <w:color w:val="000000" w:themeColor="text1"/>
                <w:sz w:val="21"/>
                <w:szCs w:val="21"/>
                <w:highlight w:val="none"/>
                <w:lang w:eastAsia="zh-CN"/>
                <w14:textFill>
                  <w14:solidFill>
                    <w14:schemeClr w14:val="tx1"/>
                  </w14:solidFill>
                </w14:textFill>
              </w:rPr>
              <w:t>；</w:t>
            </w:r>
            <w:r>
              <w:rPr>
                <w:rFonts w:hint="eastAsia"/>
                <w:smallCaps w:val="0"/>
                <w:color w:val="000000" w:themeColor="text1"/>
                <w:sz w:val="21"/>
                <w:szCs w:val="21"/>
                <w:lang w:val="en-US" w:eastAsia="zh-CN"/>
                <w14:textFill>
                  <w14:solidFill>
                    <w14:schemeClr w14:val="tx1"/>
                  </w14:solidFill>
                </w14:textFill>
              </w:rPr>
              <w:t>检疫废物委托有资质单位处置。</w:t>
            </w:r>
            <w:r>
              <w:rPr>
                <w:rFonts w:ascii="Times New Roman" w:hAnsi="Times New Roman" w:eastAsia="宋体" w:cs="宋体"/>
                <w:color w:val="000000" w:themeColor="text1"/>
                <w:sz w:val="21"/>
                <w:szCs w:val="21"/>
                <w:highlight w:val="none"/>
                <w14:textFill>
                  <w14:solidFill>
                    <w14:schemeClr w14:val="tx1"/>
                  </w14:solidFill>
                </w14:textFill>
              </w:rPr>
              <w:t>固废处置率达到100%，不会对外环境造成二次污染。</w:t>
            </w:r>
          </w:p>
        </w:tc>
      </w:tr>
      <w:tr w14:paraId="56870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71D9FFBC">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土壤及地下水</w:t>
            </w:r>
          </w:p>
          <w:p w14:paraId="65D36182">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污染防治措施</w:t>
            </w:r>
          </w:p>
        </w:tc>
        <w:tc>
          <w:tcPr>
            <w:tcW w:w="7022" w:type="dxa"/>
            <w:gridSpan w:val="4"/>
            <w:vAlign w:val="center"/>
          </w:tcPr>
          <w:p w14:paraId="725C6C3F">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危险废物暂存间</w:t>
            </w:r>
            <w:r>
              <w:rPr>
                <w:rFonts w:hint="eastAsia" w:cs="宋体"/>
                <w:color w:val="000000" w:themeColor="text1"/>
                <w:sz w:val="21"/>
                <w:szCs w:val="21"/>
                <w:highlight w:val="none"/>
                <w:lang w:val="en-US" w:eastAsia="zh-CN"/>
                <w14:textFill>
                  <w14:solidFill>
                    <w14:schemeClr w14:val="tx1"/>
                  </w14:solidFill>
                </w14:textFill>
              </w:rPr>
              <w:t>以及污水处理站</w:t>
            </w:r>
            <w:r>
              <w:rPr>
                <w:rFonts w:ascii="Times New Roman" w:hAnsi="Times New Roman" w:eastAsia="宋体" w:cs="宋体"/>
                <w:color w:val="000000" w:themeColor="text1"/>
                <w:sz w:val="21"/>
                <w:szCs w:val="21"/>
                <w:highlight w:val="none"/>
                <w14:textFill>
                  <w14:solidFill>
                    <w14:schemeClr w14:val="tx1"/>
                  </w14:solidFill>
                </w14:textFill>
              </w:rPr>
              <w:t>为重点防渗区</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w:t>
            </w:r>
            <w:r>
              <w:rPr>
                <w:rFonts w:ascii="Times New Roman" w:hAnsi="Times New Roman" w:eastAsia="宋体" w:cs="宋体"/>
                <w:color w:val="000000" w:themeColor="text1"/>
                <w:sz w:val="21"/>
                <w:szCs w:val="21"/>
                <w:highlight w:val="none"/>
                <w14:textFill>
                  <w14:solidFill>
                    <w14:schemeClr w14:val="tx1"/>
                  </w14:solidFill>
                </w14:textFill>
              </w:rPr>
              <w:t>生产车间、办公用房为一般防渗区。从设计、管理中防止和减少污染物料的跑、冒、滴、漏而采取的各种措施，主要措施包括工艺、管道、设备、土建、给排水、总图布置等防止污染物泄漏的措施。运行期严格管理，加强巡检，及时发现液态物料泄漏；一旦出现泄漏及时处理，检查检修设备，将泄漏的环境风险事故降到最低。固废堆场在做好地面防渗、耐腐蚀处理的同时，需设置隔离设施以及防风、防晒和防雨设施。</w:t>
            </w:r>
          </w:p>
        </w:tc>
      </w:tr>
      <w:tr w14:paraId="498F09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1822B145">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生态保护措施</w:t>
            </w:r>
          </w:p>
        </w:tc>
        <w:tc>
          <w:tcPr>
            <w:tcW w:w="7022" w:type="dxa"/>
            <w:gridSpan w:val="4"/>
            <w:vAlign w:val="center"/>
          </w:tcPr>
          <w:p w14:paraId="3129FA24">
            <w:pPr>
              <w:snapToGrid w:val="0"/>
              <w:jc w:val="center"/>
              <w:rPr>
                <w:rFonts w:ascii="Times New Roman" w:hAnsi="Times New Roman" w:eastAsia="宋体" w:cs="宋体"/>
                <w:color w:val="000000" w:themeColor="text1"/>
                <w:sz w:val="21"/>
                <w:szCs w:val="21"/>
                <w:highlight w:val="none"/>
                <w14:textFill>
                  <w14:solidFill>
                    <w14:schemeClr w14:val="tx1"/>
                  </w14:solidFill>
                </w14:textFill>
              </w:rPr>
            </w:pPr>
            <w:r>
              <w:rPr>
                <w:rFonts w:hint="eastAsia" w:ascii="Times New Roman" w:hAnsi="Times New Roman" w:eastAsia="宋体" w:cs="宋体"/>
                <w:color w:val="000000" w:themeColor="text1"/>
                <w:sz w:val="21"/>
                <w:szCs w:val="21"/>
                <w:highlight w:val="none"/>
                <w14:textFill>
                  <w14:solidFill>
                    <w14:schemeClr w14:val="tx1"/>
                  </w14:solidFill>
                </w14:textFill>
              </w:rPr>
              <w:t>/</w:t>
            </w:r>
          </w:p>
        </w:tc>
      </w:tr>
      <w:tr w14:paraId="06100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351DC317">
            <w:pPr>
              <w:snapToGrid w:val="0"/>
              <w:jc w:val="center"/>
              <w:rPr>
                <w:rFonts w:ascii="Times New Roman" w:hAnsi="Times New Roman" w:eastAsia="宋体" w:cs="宋体"/>
                <w:color w:val="000000" w:themeColor="text1"/>
                <w:spacing w:val="-8"/>
                <w:sz w:val="21"/>
                <w:szCs w:val="21"/>
                <w:highlight w:val="none"/>
                <w14:textFill>
                  <w14:solidFill>
                    <w14:schemeClr w14:val="tx1"/>
                  </w14:solidFill>
                </w14:textFill>
              </w:rPr>
            </w:pPr>
            <w:r>
              <w:rPr>
                <w:rFonts w:hint="eastAsia" w:ascii="Times New Roman" w:hAnsi="Times New Roman" w:eastAsia="宋体" w:cs="宋体"/>
                <w:color w:val="000000" w:themeColor="text1"/>
                <w:spacing w:val="-8"/>
                <w:sz w:val="21"/>
                <w:szCs w:val="21"/>
                <w:highlight w:val="none"/>
                <w14:textFill>
                  <w14:solidFill>
                    <w14:schemeClr w14:val="tx1"/>
                  </w14:solidFill>
                </w14:textFill>
              </w:rPr>
              <w:t>环境风险</w:t>
            </w:r>
          </w:p>
          <w:p w14:paraId="385E22BF">
            <w:pPr>
              <w:snapToGrid w:val="0"/>
              <w:jc w:val="center"/>
              <w:rPr>
                <w:rFonts w:ascii="Times New Roman" w:hAnsi="Times New Roman" w:eastAsia="宋体" w:cs="宋体"/>
                <w:color w:val="000000" w:themeColor="text1"/>
                <w:spacing w:val="-8"/>
                <w:sz w:val="21"/>
                <w:szCs w:val="21"/>
                <w:highlight w:val="none"/>
                <w14:textFill>
                  <w14:solidFill>
                    <w14:schemeClr w14:val="tx1"/>
                  </w14:solidFill>
                </w14:textFill>
              </w:rPr>
            </w:pPr>
            <w:r>
              <w:rPr>
                <w:rFonts w:hint="eastAsia" w:ascii="Times New Roman" w:hAnsi="Times New Roman" w:eastAsia="宋体" w:cs="宋体"/>
                <w:color w:val="000000" w:themeColor="text1"/>
                <w:spacing w:val="-8"/>
                <w:sz w:val="21"/>
                <w:szCs w:val="21"/>
                <w:highlight w:val="none"/>
                <w14:textFill>
                  <w14:solidFill>
                    <w14:schemeClr w14:val="tx1"/>
                  </w14:solidFill>
                </w14:textFill>
              </w:rPr>
              <w:t>防范措施</w:t>
            </w:r>
          </w:p>
        </w:tc>
        <w:tc>
          <w:tcPr>
            <w:tcW w:w="7022" w:type="dxa"/>
            <w:gridSpan w:val="4"/>
            <w:vAlign w:val="center"/>
          </w:tcPr>
          <w:p w14:paraId="2A78EA01">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从生产管理、原辅料贮存、工艺技术设计、消防及火灾报警系统等方面制定相应的环境风险防范措施，配备相应的消防措施，如灭火器等。规范各类原辅料贮存，定期检查，谨防泄漏。原辅材料存放地应阴凉，车间内不得有热源，严禁明火，夏季应有降温措施。</w:t>
            </w:r>
          </w:p>
        </w:tc>
      </w:tr>
      <w:tr w14:paraId="6CA14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78" w:type="dxa"/>
            <w:vAlign w:val="center"/>
          </w:tcPr>
          <w:p w14:paraId="3305573B">
            <w:pPr>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其他环境</w:t>
            </w:r>
          </w:p>
          <w:p w14:paraId="155B03AE">
            <w:pPr>
              <w:snapToGrid w:val="0"/>
              <w:jc w:val="center"/>
              <w:rPr>
                <w:rFonts w:ascii="Times New Roman" w:hAnsi="Times New Roman" w:eastAsia="宋体" w:cs="宋体"/>
                <w:bCs/>
                <w:color w:val="000000" w:themeColor="text1"/>
                <w:sz w:val="21"/>
                <w:szCs w:val="21"/>
                <w:highlight w:val="none"/>
                <w14:textFill>
                  <w14:solidFill>
                    <w14:schemeClr w14:val="tx1"/>
                  </w14:solidFill>
                </w14:textFill>
              </w:rPr>
            </w:pPr>
            <w:r>
              <w:rPr>
                <w:rFonts w:hint="eastAsia" w:ascii="Times New Roman" w:hAnsi="Times New Roman" w:eastAsia="宋体" w:cs="宋体"/>
                <w:bCs/>
                <w:color w:val="000000" w:themeColor="text1"/>
                <w:sz w:val="21"/>
                <w:szCs w:val="21"/>
                <w:highlight w:val="none"/>
                <w14:textFill>
                  <w14:solidFill>
                    <w14:schemeClr w14:val="tx1"/>
                  </w14:solidFill>
                </w14:textFill>
              </w:rPr>
              <w:t>管理要求</w:t>
            </w:r>
          </w:p>
        </w:tc>
        <w:tc>
          <w:tcPr>
            <w:tcW w:w="7022" w:type="dxa"/>
            <w:gridSpan w:val="4"/>
            <w:vAlign w:val="center"/>
          </w:tcPr>
          <w:p w14:paraId="11BF713C">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eastAsia" w:ascii="Times New Roman" w:hAnsi="Times New Roman" w:eastAsia="宋体" w:cs="宋体"/>
                <w:color w:val="000000" w:themeColor="text1"/>
                <w:sz w:val="21"/>
                <w:szCs w:val="21"/>
                <w:highlight w:val="none"/>
                <w:lang w:eastAsia="zh-CN"/>
                <w14:textFill>
                  <w14:solidFill>
                    <w14:schemeClr w14:val="tx1"/>
                  </w14:solidFill>
                </w14:textFill>
              </w:rPr>
            </w:pP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建设项目需要配套的环境保护设施，必须与主体工程同时设计、同时施工、同时投产使用，建设项目竣工后、正式生产前，对配套建设的环境保护设施进行验收，编制验收报告并申领排污许可证。根据企业实际生产情况，需定期对废气排放口、废水接管口各污染物浓度、厂界噪声进行监测。本项目无需设置大气环境防护距离，建设单位应在排放污染物之前按照《固定污染源排污许可分类管理名录》（2019年版）、《排污许可证申请与核发技术规范 总则》（HJ942-2018）等要求在全国排污许可平台对排污许可证进行申请，做到持证排污、按证排污，本项目排污许可为</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简化</w:t>
            </w:r>
            <w:r>
              <w:rPr>
                <w:rFonts w:hint="eastAsia" w:ascii="Times New Roman" w:hAnsi="Times New Roman" w:eastAsia="宋体" w:cs="宋体"/>
                <w:color w:val="000000" w:themeColor="text1"/>
                <w:sz w:val="21"/>
                <w:szCs w:val="21"/>
                <w:highlight w:val="none"/>
                <w:lang w:eastAsia="zh-CN"/>
                <w14:textFill>
                  <w14:solidFill>
                    <w14:schemeClr w14:val="tx1"/>
                  </w14:solidFill>
                </w14:textFill>
              </w:rPr>
              <w:t>管理。</w:t>
            </w:r>
          </w:p>
        </w:tc>
      </w:tr>
    </w:tbl>
    <w:p w14:paraId="48F0A1EB">
      <w:pPr>
        <w:pStyle w:val="22"/>
        <w:widowControl w:val="0"/>
        <w:jc w:val="center"/>
        <w:outlineLvl w:val="0"/>
        <w:rPr>
          <w:rFonts w:ascii="Times New Roman" w:hAnsi="Times New Roman" w:eastAsia="宋体" w:cs="宋体"/>
          <w:snapToGrid w:val="0"/>
          <w:color w:val="000000" w:themeColor="text1"/>
          <w:sz w:val="30"/>
          <w:szCs w:val="30"/>
          <w:highlight w:val="none"/>
          <w14:textFill>
            <w14:solidFill>
              <w14:schemeClr w14:val="tx1"/>
            </w14:solidFill>
          </w14:textFill>
        </w:rPr>
      </w:pPr>
      <w:r>
        <w:rPr>
          <w:rFonts w:ascii="Times New Roman" w:hAnsi="Times New Roman" w:eastAsia="宋体" w:cs="宋体"/>
          <w:snapToGrid w:val="0"/>
          <w:color w:val="000000" w:themeColor="text1"/>
          <w:highlight w:val="none"/>
          <w14:textFill>
            <w14:solidFill>
              <w14:schemeClr w14:val="tx1"/>
            </w14:solidFill>
          </w14:textFill>
        </w:rPr>
        <w:br w:type="page"/>
      </w:r>
      <w:bookmarkStart w:id="11" w:name="_Toc31294"/>
      <w:r>
        <w:rPr>
          <w:rFonts w:hint="eastAsia" w:ascii="Times New Roman" w:hAnsi="Times New Roman" w:eastAsia="宋体" w:cs="宋体"/>
          <w:snapToGrid w:val="0"/>
          <w:color w:val="000000" w:themeColor="text1"/>
          <w:sz w:val="30"/>
          <w:szCs w:val="30"/>
          <w:highlight w:val="none"/>
          <w14:textFill>
            <w14:solidFill>
              <w14:schemeClr w14:val="tx1"/>
            </w14:solidFill>
          </w14:textFill>
        </w:rPr>
        <w:t>六、结论</w:t>
      </w:r>
      <w:bookmarkEnd w:id="11"/>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14:paraId="47B77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vAlign w:val="center"/>
          </w:tcPr>
          <w:p w14:paraId="2DC40013">
            <w:pPr>
              <w:pStyle w:val="10"/>
              <w:spacing w:after="0" w:line="360" w:lineRule="auto"/>
              <w:ind w:left="0" w:leftChars="0" w:firstLine="482"/>
              <w:jc w:val="left"/>
              <w:rPr>
                <w:rFonts w:ascii="Times New Roman" w:hAnsi="Times New Roman" w:eastAsia="宋体" w:cs="宋体"/>
                <w:color w:val="000000" w:themeColor="text1"/>
                <w:highlight w:val="none"/>
                <w14:textFill>
                  <w14:solidFill>
                    <w14:schemeClr w14:val="tx1"/>
                  </w14:solidFill>
                </w14:textFill>
              </w:rPr>
            </w:pPr>
            <w:r>
              <w:rPr>
                <w:rFonts w:hint="eastAsia" w:ascii="Times New Roman" w:hAnsi="Times New Roman" w:eastAsia="宋体"/>
                <w:b/>
                <w:smallCaps w:val="0"/>
                <w:color w:val="000000" w:themeColor="text1"/>
                <w:highlight w:val="none"/>
                <w14:textFill>
                  <w14:solidFill>
                    <w14:schemeClr w14:val="tx1"/>
                  </w14:solidFill>
                </w14:textFill>
              </w:rPr>
              <w:t>本项目符合国家及地方法律法规、产业政策、行业政策，选址合理，</w:t>
            </w:r>
            <w:r>
              <w:rPr>
                <w:rFonts w:hint="eastAsia"/>
                <w:b/>
                <w:smallCaps w:val="0"/>
                <w:color w:val="000000" w:themeColor="text1"/>
                <w:highlight w:val="none"/>
                <w:lang w:val="en-US" w:eastAsia="zh-CN"/>
                <w14:textFill>
                  <w14:solidFill>
                    <w14:schemeClr w14:val="tx1"/>
                  </w14:solidFill>
                </w14:textFill>
              </w:rPr>
              <w:t>符合法定规划，</w:t>
            </w:r>
            <w:r>
              <w:rPr>
                <w:rFonts w:hint="eastAsia" w:ascii="Times New Roman" w:hAnsi="Times New Roman" w:eastAsia="宋体"/>
                <w:b/>
                <w:smallCaps w:val="0"/>
                <w:color w:val="000000" w:themeColor="text1"/>
                <w:highlight w:val="none"/>
                <w14:textFill>
                  <w14:solidFill>
                    <w14:schemeClr w14:val="tx1"/>
                  </w14:solidFill>
                </w14:textFill>
              </w:rPr>
              <w:t>对周围环境影响较小。在遵守国家和地方有关环保法规并采取相应的环保措施后达标排放，不会造成区域环境质量下降，从环境保护角度论证，本项目在该地建设可行</w:t>
            </w:r>
            <w:r>
              <w:rPr>
                <w:rFonts w:hint="eastAsia" w:ascii="Times New Roman" w:hAnsi="Times New Roman" w:eastAsia="宋体" w:cs="宋体"/>
                <w:b/>
                <w:color w:val="000000" w:themeColor="text1"/>
                <w:highlight w:val="none"/>
                <w14:textFill>
                  <w14:solidFill>
                    <w14:schemeClr w14:val="tx1"/>
                  </w14:solidFill>
                </w14:textFill>
              </w:rPr>
              <w:t>。</w:t>
            </w:r>
          </w:p>
        </w:tc>
      </w:tr>
    </w:tbl>
    <w:p w14:paraId="4DE8E8E7">
      <w:pPr>
        <w:rPr>
          <w:rFonts w:ascii="Times New Roman" w:hAnsi="Times New Roman" w:eastAsia="宋体" w:cs="宋体"/>
          <w:color w:val="000000" w:themeColor="text1"/>
          <w:highlight w:val="none"/>
          <w14:textFill>
            <w14:solidFill>
              <w14:schemeClr w14:val="tx1"/>
            </w14:solidFill>
          </w14:textFill>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14:paraId="3686BB28">
      <w:pPr>
        <w:pStyle w:val="22"/>
        <w:widowControl w:val="0"/>
        <w:adjustRightInd w:val="0"/>
        <w:snapToGrid w:val="0"/>
        <w:spacing w:before="0" w:beforeAutospacing="0" w:after="0" w:afterAutospacing="0" w:line="360" w:lineRule="auto"/>
        <w:rPr>
          <w:rFonts w:ascii="Times New Roman" w:hAnsi="Times New Roman" w:eastAsia="宋体" w:cs="宋体"/>
          <w:snapToGrid w:val="0"/>
          <w:color w:val="000000" w:themeColor="text1"/>
          <w:sz w:val="32"/>
          <w:szCs w:val="32"/>
          <w:highlight w:val="none"/>
          <w14:textFill>
            <w14:solidFill>
              <w14:schemeClr w14:val="tx1"/>
            </w14:solidFill>
          </w14:textFill>
        </w:rPr>
      </w:pPr>
      <w:r>
        <w:rPr>
          <w:rFonts w:hint="eastAsia" w:ascii="Times New Roman" w:hAnsi="Times New Roman" w:eastAsia="宋体" w:cs="宋体"/>
          <w:snapToGrid w:val="0"/>
          <w:color w:val="000000" w:themeColor="text1"/>
          <w:sz w:val="32"/>
          <w:szCs w:val="32"/>
          <w:highlight w:val="none"/>
          <w14:textFill>
            <w14:solidFill>
              <w14:schemeClr w14:val="tx1"/>
            </w14:solidFill>
          </w14:textFill>
        </w:rPr>
        <w:t>附表</w:t>
      </w:r>
    </w:p>
    <w:p w14:paraId="39F49292">
      <w:pPr>
        <w:pStyle w:val="22"/>
        <w:widowControl w:val="0"/>
        <w:adjustRightInd w:val="0"/>
        <w:snapToGrid w:val="0"/>
        <w:spacing w:before="0" w:beforeAutospacing="0" w:after="0" w:afterAutospacing="0" w:line="360" w:lineRule="auto"/>
        <w:jc w:val="center"/>
        <w:rPr>
          <w:rFonts w:ascii="Times New Roman" w:hAnsi="Times New Roman" w:eastAsia="宋体" w:cs="宋体"/>
          <w:snapToGrid w:val="0"/>
          <w:color w:val="000000" w:themeColor="text1"/>
          <w:sz w:val="38"/>
          <w:szCs w:val="38"/>
          <w:highlight w:val="none"/>
          <w14:textFill>
            <w14:solidFill>
              <w14:schemeClr w14:val="tx1"/>
            </w14:solidFill>
          </w14:textFill>
        </w:rPr>
      </w:pPr>
      <w:r>
        <w:rPr>
          <w:rFonts w:hint="eastAsia" w:ascii="Times New Roman" w:hAnsi="Times New Roman" w:eastAsia="宋体" w:cs="宋体"/>
          <w:snapToGrid w:val="0"/>
          <w:color w:val="000000" w:themeColor="text1"/>
          <w:sz w:val="38"/>
          <w:szCs w:val="38"/>
          <w:highlight w:val="none"/>
          <w14:textFill>
            <w14:solidFill>
              <w14:schemeClr w14:val="tx1"/>
            </w14:solidFill>
          </w14:textFill>
        </w:rPr>
        <w:t>建设项目污染物排放量汇总表</w:t>
      </w:r>
    </w:p>
    <w:tbl>
      <w:tblPr>
        <w:tblStyle w:val="24"/>
        <w:tblW w:w="1378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12"/>
        <w:gridCol w:w="876"/>
        <w:gridCol w:w="1825"/>
        <w:gridCol w:w="1438"/>
        <w:gridCol w:w="1131"/>
        <w:gridCol w:w="1701"/>
        <w:gridCol w:w="1559"/>
        <w:gridCol w:w="1761"/>
        <w:gridCol w:w="1499"/>
        <w:gridCol w:w="1286"/>
      </w:tblGrid>
      <w:tr w14:paraId="4DC09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1588" w:type="dxa"/>
            <w:gridSpan w:val="2"/>
            <w:tcBorders>
              <w:tl2br w:val="single" w:color="auto" w:sz="4" w:space="0"/>
            </w:tcBorders>
            <w:tcMar>
              <w:left w:w="28" w:type="dxa"/>
              <w:right w:w="28" w:type="dxa"/>
            </w:tcMar>
            <w:vAlign w:val="center"/>
          </w:tcPr>
          <w:p w14:paraId="6F75FC1F">
            <w:pPr>
              <w:pStyle w:val="39"/>
              <w:adjustRightInd/>
              <w:spacing w:beforeLines="0" w:afterLines="0" w:line="240" w:lineRule="auto"/>
              <w:jc w:val="right"/>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项目</w:t>
            </w:r>
          </w:p>
          <w:p w14:paraId="14FC06D9">
            <w:pPr>
              <w:pStyle w:val="39"/>
              <w:adjustRightInd/>
              <w:spacing w:beforeLines="0" w:afterLines="0" w:line="240" w:lineRule="auto"/>
              <w:jc w:val="left"/>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分类</w:t>
            </w:r>
          </w:p>
        </w:tc>
        <w:tc>
          <w:tcPr>
            <w:tcW w:w="1825" w:type="dxa"/>
            <w:tcMar>
              <w:left w:w="28" w:type="dxa"/>
              <w:right w:w="28" w:type="dxa"/>
            </w:tcMar>
            <w:vAlign w:val="center"/>
          </w:tcPr>
          <w:p w14:paraId="16748286">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污染物名称</w:t>
            </w:r>
          </w:p>
        </w:tc>
        <w:tc>
          <w:tcPr>
            <w:tcW w:w="1438" w:type="dxa"/>
            <w:tcMar>
              <w:left w:w="28" w:type="dxa"/>
              <w:right w:w="28" w:type="dxa"/>
            </w:tcMar>
            <w:vAlign w:val="center"/>
          </w:tcPr>
          <w:p w14:paraId="4980CC46">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现有工程</w:t>
            </w:r>
          </w:p>
          <w:p w14:paraId="6FC14D4E">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排放量（固</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体</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废</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物</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产生量）</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1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①</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tc>
        <w:tc>
          <w:tcPr>
            <w:tcW w:w="1131" w:type="dxa"/>
            <w:tcMar>
              <w:left w:w="28" w:type="dxa"/>
              <w:right w:w="28" w:type="dxa"/>
            </w:tcMar>
            <w:vAlign w:val="center"/>
          </w:tcPr>
          <w:p w14:paraId="5DF4F51B">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现有工程</w:t>
            </w:r>
          </w:p>
          <w:p w14:paraId="190C532D">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许可排放量</w:t>
            </w:r>
          </w:p>
          <w:p w14:paraId="752AD596">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2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②</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tc>
        <w:tc>
          <w:tcPr>
            <w:tcW w:w="1701" w:type="dxa"/>
            <w:tcMar>
              <w:left w:w="28" w:type="dxa"/>
              <w:right w:w="28" w:type="dxa"/>
            </w:tcMar>
            <w:vAlign w:val="center"/>
          </w:tcPr>
          <w:p w14:paraId="60727A27">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在建工程</w:t>
            </w:r>
          </w:p>
          <w:p w14:paraId="57801B10">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排放量（固</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体</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废</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物</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产生量）</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3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③</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tc>
        <w:tc>
          <w:tcPr>
            <w:tcW w:w="1559" w:type="dxa"/>
            <w:tcMar>
              <w:left w:w="28" w:type="dxa"/>
              <w:right w:w="28" w:type="dxa"/>
            </w:tcMar>
            <w:vAlign w:val="center"/>
          </w:tcPr>
          <w:p w14:paraId="51002364">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本项目</w:t>
            </w:r>
          </w:p>
          <w:p w14:paraId="35E04CF7">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排放量（固</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体</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废</w:t>
            </w:r>
            <w:r>
              <w:rPr>
                <w:rFonts w:hint="eastAsia" w:ascii="Times New Roman" w:hAnsi="Times New Roman" w:eastAsia="宋体" w:cs="宋体"/>
                <w:snapToGrid w:val="0"/>
                <w:color w:val="000000" w:themeColor="text1"/>
                <w:spacing w:val="-6"/>
                <w:kern w:val="21"/>
                <w:szCs w:val="21"/>
                <w:highlight w:val="none"/>
                <w14:textFill>
                  <w14:solidFill>
                    <w14:schemeClr w14:val="tx1"/>
                  </w14:solidFill>
                </w14:textFill>
              </w:rPr>
              <w:t>物</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产生量）</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4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④</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tc>
        <w:tc>
          <w:tcPr>
            <w:tcW w:w="1761" w:type="dxa"/>
            <w:tcMar>
              <w:left w:w="28" w:type="dxa"/>
              <w:right w:w="28" w:type="dxa"/>
            </w:tcMar>
            <w:vAlign w:val="center"/>
          </w:tcPr>
          <w:p w14:paraId="1828D511">
            <w:pPr>
              <w:pStyle w:val="39"/>
              <w:adjustRightInd/>
              <w:spacing w:beforeLines="0" w:afterLines="0" w:line="240" w:lineRule="auto"/>
              <w:rPr>
                <w:rFonts w:ascii="Times New Roman" w:hAnsi="Times New Roman" w:eastAsia="宋体" w:cs="宋体"/>
                <w:snapToGrid w:val="0"/>
                <w:color w:val="000000" w:themeColor="text1"/>
                <w:spacing w:val="-1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以新带老削减量</w:t>
            </w:r>
          </w:p>
          <w:p w14:paraId="2770B1CA">
            <w:pPr>
              <w:pStyle w:val="39"/>
              <w:adjustRightInd/>
              <w:spacing w:beforeLines="0" w:afterLines="0" w:line="240" w:lineRule="auto"/>
              <w:rPr>
                <w:rFonts w:ascii="Times New Roman" w:hAnsi="Times New Roman" w:eastAsia="宋体" w:cs="宋体"/>
                <w:snapToGrid w:val="0"/>
                <w:color w:val="000000" w:themeColor="text1"/>
                <w:spacing w:val="-1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（新建项目不填）</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instrText xml:space="preserve"> = 5 \* GB3 \* MERGEFORMAT </w:instrTex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⑤</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end"/>
            </w:r>
          </w:p>
        </w:tc>
        <w:tc>
          <w:tcPr>
            <w:tcW w:w="1499" w:type="dxa"/>
            <w:tcMar>
              <w:left w:w="28" w:type="dxa"/>
              <w:right w:w="28" w:type="dxa"/>
            </w:tcMar>
            <w:vAlign w:val="center"/>
          </w:tcPr>
          <w:p w14:paraId="4F4C3D63">
            <w:pPr>
              <w:pStyle w:val="39"/>
              <w:adjustRightInd/>
              <w:spacing w:beforeLines="0" w:afterLines="0" w:line="240" w:lineRule="auto"/>
              <w:rPr>
                <w:rFonts w:ascii="Times New Roman" w:hAnsi="Times New Roman" w:eastAsia="宋体" w:cs="宋体"/>
                <w:snapToGrid w:val="0"/>
                <w:color w:val="000000" w:themeColor="text1"/>
                <w:spacing w:val="-1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本项目建成后</w:t>
            </w:r>
          </w:p>
          <w:p w14:paraId="4CC5D091">
            <w:pPr>
              <w:pStyle w:val="39"/>
              <w:adjustRightInd/>
              <w:spacing w:beforeLines="0" w:afterLines="0" w:line="240" w:lineRule="auto"/>
              <w:rPr>
                <w:rFonts w:ascii="Times New Roman" w:hAnsi="Times New Roman" w:eastAsia="宋体" w:cs="宋体"/>
                <w:snapToGrid w:val="0"/>
                <w:color w:val="000000" w:themeColor="text1"/>
                <w:spacing w:val="-16"/>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spacing w:val="-16"/>
                <w:kern w:val="21"/>
                <w:szCs w:val="21"/>
                <w:highlight w:val="none"/>
                <w14:textFill>
                  <w14:solidFill>
                    <w14:schemeClr w14:val="tx1"/>
                  </w14:solidFill>
                </w14:textFill>
              </w:rPr>
              <w:t>全厂</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排放量（固</w:t>
            </w:r>
            <w:r>
              <w:rPr>
                <w:rFonts w:hint="eastAsia" w:ascii="Times New Roman" w:hAnsi="Times New Roman" w:eastAsia="宋体" w:cs="宋体"/>
                <w:snapToGrid w:val="0"/>
                <w:color w:val="000000" w:themeColor="text1"/>
                <w:spacing w:val="-16"/>
                <w:kern w:val="21"/>
                <w:szCs w:val="21"/>
                <w:highlight w:val="none"/>
                <w14:textFill>
                  <w14:solidFill>
                    <w14:schemeClr w14:val="tx1"/>
                  </w14:solidFill>
                </w14:textFill>
              </w:rPr>
              <w:t>体</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废</w:t>
            </w:r>
            <w:r>
              <w:rPr>
                <w:rFonts w:hint="eastAsia" w:ascii="Times New Roman" w:hAnsi="Times New Roman" w:eastAsia="宋体" w:cs="宋体"/>
                <w:snapToGrid w:val="0"/>
                <w:color w:val="000000" w:themeColor="text1"/>
                <w:spacing w:val="-16"/>
                <w:kern w:val="21"/>
                <w:szCs w:val="21"/>
                <w:highlight w:val="none"/>
                <w14:textFill>
                  <w14:solidFill>
                    <w14:schemeClr w14:val="tx1"/>
                  </w14:solidFill>
                </w14:textFill>
              </w:rPr>
              <w:t>物</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产生量）</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instrText xml:space="preserve"> = 6 \* GB3 \* MERGEFORMAT </w:instrTex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⑥</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end"/>
            </w:r>
          </w:p>
        </w:tc>
        <w:tc>
          <w:tcPr>
            <w:tcW w:w="1286" w:type="dxa"/>
            <w:tcMar>
              <w:left w:w="28" w:type="dxa"/>
              <w:right w:w="28" w:type="dxa"/>
            </w:tcMar>
            <w:vAlign w:val="center"/>
          </w:tcPr>
          <w:p w14:paraId="53E3DC51">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变化量</w:t>
            </w:r>
          </w:p>
          <w:p w14:paraId="1DC1EECF">
            <w:pPr>
              <w:pStyle w:val="39"/>
              <w:adjustRightInd/>
              <w:spacing w:beforeLines="0" w:afterLines="0" w:line="240" w:lineRule="auto"/>
              <w:rPr>
                <w:rFonts w:ascii="Times New Roman" w:hAnsi="Times New Roman" w:eastAsia="宋体" w:cs="宋体"/>
                <w:snapToGrid w:val="0"/>
                <w:color w:val="000000" w:themeColor="text1"/>
                <w:spacing w:val="-6"/>
                <w:kern w:val="21"/>
                <w:szCs w:val="21"/>
                <w:highlight w:val="none"/>
                <w14:textFill>
                  <w14:solidFill>
                    <w14:schemeClr w14:val="tx1"/>
                  </w14:solidFill>
                </w14:textFill>
              </w:rPr>
            </w:pP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7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kern w:val="2"/>
                <w:szCs w:val="21"/>
                <w:highlight w:val="none"/>
                <w14:textFill>
                  <w14:solidFill>
                    <w14:schemeClr w14:val="tx1"/>
                  </w14:solidFill>
                </w14:textFill>
              </w:rPr>
              <w:t>⑦</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tc>
      </w:tr>
      <w:tr w14:paraId="21721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restart"/>
            <w:vAlign w:val="center"/>
          </w:tcPr>
          <w:p w14:paraId="106FD6BE">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废气</w:t>
            </w:r>
          </w:p>
        </w:tc>
        <w:tc>
          <w:tcPr>
            <w:tcW w:w="876" w:type="dxa"/>
            <w:vMerge w:val="restart"/>
            <w:vAlign w:val="center"/>
          </w:tcPr>
          <w:p w14:paraId="1688C8E2">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r>
              <w:rPr>
                <w:rFonts w:ascii="Times New Roman" w:hAnsi="Times New Roman" w:eastAsia="宋体" w:cs="宋体"/>
                <w:snapToGrid w:val="0"/>
                <w:color w:val="000000" w:themeColor="text1"/>
                <w:kern w:val="21"/>
                <w:szCs w:val="21"/>
                <w:highlight w:val="none"/>
                <w14:textFill>
                  <w14:solidFill>
                    <w14:schemeClr w14:val="tx1"/>
                  </w14:solidFill>
                </w14:textFill>
              </w:rPr>
              <w:t>有组织</w:t>
            </w:r>
          </w:p>
        </w:tc>
        <w:tc>
          <w:tcPr>
            <w:tcW w:w="1825" w:type="dxa"/>
            <w:shd w:val="clear" w:color="auto" w:fill="auto"/>
            <w:vAlign w:val="center"/>
          </w:tcPr>
          <w:p w14:paraId="5759FA56">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氨</w:t>
            </w:r>
          </w:p>
        </w:tc>
        <w:tc>
          <w:tcPr>
            <w:tcW w:w="1438" w:type="dxa"/>
            <w:shd w:val="clear" w:color="auto" w:fill="auto"/>
            <w:vAlign w:val="center"/>
          </w:tcPr>
          <w:p w14:paraId="095005D8">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131" w:type="dxa"/>
            <w:shd w:val="clear" w:color="auto" w:fill="auto"/>
            <w:vAlign w:val="center"/>
          </w:tcPr>
          <w:p w14:paraId="40E752CC">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701" w:type="dxa"/>
            <w:vAlign w:val="center"/>
          </w:tcPr>
          <w:p w14:paraId="545DD07B">
            <w:pPr>
              <w:pStyle w:val="39"/>
              <w:adjustRightInd/>
              <w:spacing w:beforeLines="0" w:afterLines="0" w:line="240" w:lineRule="auto"/>
              <w:jc w:val="center"/>
              <w:rPr>
                <w:rFonts w:ascii="Times New Roman" w:hAnsi="Times New Roman" w:eastAsia="宋体" w:cs="宋体"/>
                <w:snapToGrid w:val="0"/>
                <w:color w:val="000000" w:themeColor="text1"/>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0</w:t>
            </w:r>
          </w:p>
        </w:tc>
        <w:tc>
          <w:tcPr>
            <w:tcW w:w="1559" w:type="dxa"/>
            <w:shd w:val="clear" w:color="auto" w:fill="auto"/>
            <w:vAlign w:val="center"/>
          </w:tcPr>
          <w:p w14:paraId="6F28979E">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c>
          <w:tcPr>
            <w:tcW w:w="1761" w:type="dxa"/>
            <w:shd w:val="clear" w:color="auto" w:fill="auto"/>
            <w:vAlign w:val="center"/>
          </w:tcPr>
          <w:p w14:paraId="7FC709F5">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4DC42401">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c>
          <w:tcPr>
            <w:tcW w:w="1286" w:type="dxa"/>
            <w:shd w:val="clear" w:color="auto" w:fill="auto"/>
            <w:vAlign w:val="center"/>
          </w:tcPr>
          <w:p w14:paraId="39D91A47">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+0.138</w:t>
            </w:r>
          </w:p>
        </w:tc>
      </w:tr>
      <w:tr w14:paraId="17B4B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68F4DF04">
            <w:pPr>
              <w:pStyle w:val="39"/>
              <w:adjustRightInd/>
              <w:spacing w:beforeLines="0" w:afterLines="0" w:line="240" w:lineRule="auto"/>
              <w:rPr>
                <w:rFonts w:hint="eastAsia"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3C119722">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2433CBE8">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硫化氢</w:t>
            </w:r>
          </w:p>
        </w:tc>
        <w:tc>
          <w:tcPr>
            <w:tcW w:w="1438" w:type="dxa"/>
            <w:shd w:val="clear" w:color="auto" w:fill="auto"/>
            <w:vAlign w:val="center"/>
          </w:tcPr>
          <w:p w14:paraId="043222EE">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131" w:type="dxa"/>
            <w:shd w:val="clear" w:color="auto" w:fill="auto"/>
            <w:vAlign w:val="center"/>
          </w:tcPr>
          <w:p w14:paraId="62F4D851">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701" w:type="dxa"/>
            <w:vAlign w:val="center"/>
          </w:tcPr>
          <w:p w14:paraId="4323EAF2">
            <w:pPr>
              <w:pStyle w:val="39"/>
              <w:adjustRightInd/>
              <w:spacing w:beforeLines="0" w:afterLines="0" w:line="240" w:lineRule="auto"/>
              <w:jc w:val="center"/>
              <w:rPr>
                <w:rFonts w:hint="eastAsia" w:ascii="Times New Roman" w:hAnsi="Times New Roman" w:eastAsia="宋体" w:cs="宋体"/>
                <w:snapToGrid w:val="0"/>
                <w:color w:val="000000" w:themeColor="text1"/>
                <w:kern w:val="21"/>
                <w:szCs w:val="21"/>
                <w:highlight w:val="none"/>
                <w:lang w:val="en-US" w:eastAsia="zh-CN"/>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0</w:t>
            </w:r>
          </w:p>
        </w:tc>
        <w:tc>
          <w:tcPr>
            <w:tcW w:w="1559" w:type="dxa"/>
            <w:shd w:val="clear" w:color="auto" w:fill="auto"/>
            <w:vAlign w:val="center"/>
          </w:tcPr>
          <w:p w14:paraId="73EEC5F5">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c>
          <w:tcPr>
            <w:tcW w:w="1761" w:type="dxa"/>
            <w:shd w:val="clear" w:color="auto" w:fill="auto"/>
            <w:vAlign w:val="center"/>
          </w:tcPr>
          <w:p w14:paraId="2A4DF8CA">
            <w:pPr>
              <w:snapToGrid w:val="0"/>
              <w:jc w:val="center"/>
              <w:rPr>
                <w:rFonts w:hint="default" w:ascii="Times New Roman" w:hAnsi="Times New Roman" w:eastAsia="宋体"/>
                <w:smallCaps w:val="0"/>
                <w:color w:val="000000" w:themeColor="text1"/>
                <w:kern w:val="0"/>
                <w:szCs w:val="21"/>
                <w:highlight w:val="none"/>
                <w:lang w:val="en-US" w:eastAsia="zh-CN"/>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w:t>
            </w:r>
          </w:p>
        </w:tc>
        <w:tc>
          <w:tcPr>
            <w:tcW w:w="1499" w:type="dxa"/>
            <w:shd w:val="clear" w:color="auto" w:fill="auto"/>
            <w:vAlign w:val="center"/>
          </w:tcPr>
          <w:p w14:paraId="694FED4B">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c>
          <w:tcPr>
            <w:tcW w:w="1286" w:type="dxa"/>
            <w:shd w:val="clear" w:color="auto" w:fill="auto"/>
            <w:vAlign w:val="center"/>
          </w:tcPr>
          <w:p w14:paraId="6B86EB7B">
            <w:pPr>
              <w:snapToGrid w:val="0"/>
              <w:jc w:val="center"/>
              <w:rPr>
                <w:rFonts w:hint="eastAsia"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+0.0123</w:t>
            </w:r>
          </w:p>
        </w:tc>
      </w:tr>
      <w:tr w14:paraId="6221CF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4A589F7D">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restart"/>
            <w:vAlign w:val="center"/>
          </w:tcPr>
          <w:p w14:paraId="1D898E47">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r>
              <w:rPr>
                <w:rFonts w:ascii="Times New Roman" w:hAnsi="Times New Roman" w:eastAsia="宋体" w:cs="宋体"/>
                <w:snapToGrid w:val="0"/>
                <w:color w:val="000000" w:themeColor="text1"/>
                <w:kern w:val="21"/>
                <w:szCs w:val="21"/>
                <w:highlight w:val="none"/>
                <w14:textFill>
                  <w14:solidFill>
                    <w14:schemeClr w14:val="tx1"/>
                  </w14:solidFill>
                </w14:textFill>
              </w:rPr>
              <w:t>无组织</w:t>
            </w:r>
          </w:p>
        </w:tc>
        <w:tc>
          <w:tcPr>
            <w:tcW w:w="1825" w:type="dxa"/>
            <w:shd w:val="clear" w:color="auto" w:fill="auto"/>
            <w:vAlign w:val="center"/>
          </w:tcPr>
          <w:p w14:paraId="53880028">
            <w:pPr>
              <w:snapToGrid w:val="0"/>
              <w:jc w:val="center"/>
              <w:rPr>
                <w:rFonts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氨</w:t>
            </w:r>
          </w:p>
        </w:tc>
        <w:tc>
          <w:tcPr>
            <w:tcW w:w="1438" w:type="dxa"/>
            <w:shd w:val="clear" w:color="auto" w:fill="auto"/>
            <w:vAlign w:val="center"/>
          </w:tcPr>
          <w:p w14:paraId="501C3C8B">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0.0385</w:t>
            </w:r>
          </w:p>
        </w:tc>
        <w:tc>
          <w:tcPr>
            <w:tcW w:w="1131" w:type="dxa"/>
            <w:shd w:val="clear" w:color="auto" w:fill="auto"/>
            <w:vAlign w:val="center"/>
          </w:tcPr>
          <w:p w14:paraId="0A44C1F1">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701" w:type="dxa"/>
            <w:vAlign w:val="center"/>
          </w:tcPr>
          <w:p w14:paraId="5C3B9848">
            <w:pPr>
              <w:pStyle w:val="39"/>
              <w:adjustRightInd/>
              <w:spacing w:beforeLines="0" w:afterLines="0" w:line="240" w:lineRule="auto"/>
              <w:jc w:val="center"/>
              <w:rPr>
                <w:rFonts w:ascii="Times New Roman" w:hAnsi="Times New Roman" w:eastAsia="宋体" w:cs="宋体"/>
                <w:snapToGrid w:val="0"/>
                <w:color w:val="000000" w:themeColor="text1"/>
                <w:kern w:val="21"/>
                <w:szCs w:val="21"/>
                <w:highlight w:val="none"/>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0</w:t>
            </w:r>
          </w:p>
        </w:tc>
        <w:tc>
          <w:tcPr>
            <w:tcW w:w="1559" w:type="dxa"/>
            <w:shd w:val="clear" w:color="auto" w:fill="auto"/>
            <w:vAlign w:val="center"/>
          </w:tcPr>
          <w:p w14:paraId="51826CBC">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0.124</w:t>
            </w:r>
          </w:p>
        </w:tc>
        <w:tc>
          <w:tcPr>
            <w:tcW w:w="1761" w:type="dxa"/>
            <w:shd w:val="clear" w:color="auto" w:fill="auto"/>
            <w:vAlign w:val="center"/>
          </w:tcPr>
          <w:p w14:paraId="42574DEB">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0.0385</w:t>
            </w:r>
          </w:p>
        </w:tc>
        <w:tc>
          <w:tcPr>
            <w:tcW w:w="1499" w:type="dxa"/>
            <w:shd w:val="clear" w:color="auto" w:fill="auto"/>
            <w:vAlign w:val="center"/>
          </w:tcPr>
          <w:p w14:paraId="391CE193">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0.124</w:t>
            </w:r>
          </w:p>
        </w:tc>
        <w:tc>
          <w:tcPr>
            <w:tcW w:w="1286" w:type="dxa"/>
            <w:shd w:val="clear" w:color="auto" w:fill="auto"/>
            <w:vAlign w:val="center"/>
          </w:tcPr>
          <w:p w14:paraId="15DBBED5">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+0.0855</w:t>
            </w:r>
          </w:p>
        </w:tc>
      </w:tr>
      <w:tr w14:paraId="057A0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47525C75">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660AC3F6">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20D9AE94">
            <w:pPr>
              <w:snapToGrid w:val="0"/>
              <w:jc w:val="center"/>
              <w:rPr>
                <w:rFonts w:hint="default" w:ascii="Times New Roman" w:hAnsi="Times New Roman" w:eastAsia="宋体" w:cs="Times New Roman"/>
                <w:smallCaps w:val="0"/>
                <w:color w:val="000000" w:themeColor="text1"/>
                <w:kern w:val="0"/>
                <w:sz w:val="21"/>
                <w:szCs w:val="21"/>
                <w:highlight w:val="none"/>
                <w:lang w:val="en-US" w:eastAsia="zh-CN" w:bidi="ar-SA"/>
                <w14:textFill>
                  <w14:solidFill>
                    <w14:schemeClr w14:val="tx1"/>
                  </w14:solidFill>
                </w14:textFill>
              </w:rPr>
            </w:pPr>
            <w:r>
              <w:rPr>
                <w:rFonts w:hint="eastAsia"/>
                <w:smallCaps w:val="0"/>
                <w:color w:val="000000" w:themeColor="text1"/>
                <w:kern w:val="0"/>
                <w:szCs w:val="21"/>
                <w:highlight w:val="none"/>
                <w:lang w:val="en-US" w:eastAsia="zh-CN"/>
                <w14:textFill>
                  <w14:solidFill>
                    <w14:schemeClr w14:val="tx1"/>
                  </w14:solidFill>
                </w14:textFill>
              </w:rPr>
              <w:t>硫化氢</w:t>
            </w:r>
          </w:p>
        </w:tc>
        <w:tc>
          <w:tcPr>
            <w:tcW w:w="1438" w:type="dxa"/>
            <w:shd w:val="clear" w:color="auto" w:fill="auto"/>
            <w:vAlign w:val="center"/>
          </w:tcPr>
          <w:p w14:paraId="695ED79D">
            <w:pPr>
              <w:snapToGrid w:val="0"/>
              <w:jc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0.0033</w:t>
            </w:r>
          </w:p>
        </w:tc>
        <w:tc>
          <w:tcPr>
            <w:tcW w:w="1131" w:type="dxa"/>
            <w:shd w:val="clear" w:color="auto" w:fill="auto"/>
            <w:vAlign w:val="center"/>
          </w:tcPr>
          <w:p w14:paraId="5CA10FCA">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w:t>
            </w:r>
          </w:p>
        </w:tc>
        <w:tc>
          <w:tcPr>
            <w:tcW w:w="1701" w:type="dxa"/>
            <w:vAlign w:val="center"/>
          </w:tcPr>
          <w:p w14:paraId="5518F0FA">
            <w:pPr>
              <w:pStyle w:val="39"/>
              <w:adjustRightInd/>
              <w:spacing w:beforeLines="0" w:afterLines="0" w:line="240" w:lineRule="auto"/>
              <w:jc w:val="center"/>
              <w:rPr>
                <w:rFonts w:hint="eastAsia" w:ascii="Times New Roman" w:hAnsi="Times New Roman" w:eastAsia="宋体" w:cs="宋体"/>
                <w:snapToGrid w:val="0"/>
                <w:color w:val="000000" w:themeColor="text1"/>
                <w:kern w:val="21"/>
                <w:szCs w:val="21"/>
                <w:highlight w:val="none"/>
                <w:lang w:val="en-US" w:eastAsia="zh-CN"/>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0</w:t>
            </w:r>
          </w:p>
        </w:tc>
        <w:tc>
          <w:tcPr>
            <w:tcW w:w="1559" w:type="dxa"/>
            <w:shd w:val="clear" w:color="auto" w:fill="auto"/>
            <w:vAlign w:val="center"/>
          </w:tcPr>
          <w:p w14:paraId="5C68F40D">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0.0113</w:t>
            </w:r>
          </w:p>
        </w:tc>
        <w:tc>
          <w:tcPr>
            <w:tcW w:w="1761" w:type="dxa"/>
            <w:shd w:val="clear" w:color="auto" w:fill="auto"/>
            <w:vAlign w:val="center"/>
          </w:tcPr>
          <w:p w14:paraId="155B3DC8">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0.0033</w:t>
            </w:r>
          </w:p>
        </w:tc>
        <w:tc>
          <w:tcPr>
            <w:tcW w:w="1499" w:type="dxa"/>
            <w:shd w:val="clear" w:color="auto" w:fill="auto"/>
            <w:vAlign w:val="center"/>
          </w:tcPr>
          <w:p w14:paraId="5AD4BACF">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0.0113</w:t>
            </w:r>
          </w:p>
        </w:tc>
        <w:tc>
          <w:tcPr>
            <w:tcW w:w="1286" w:type="dxa"/>
            <w:shd w:val="clear" w:color="auto" w:fill="auto"/>
            <w:vAlign w:val="center"/>
          </w:tcPr>
          <w:p w14:paraId="434A8DA1">
            <w:pPr>
              <w:snapToGrid w:val="0"/>
              <w:jc w:val="center"/>
              <w:rPr>
                <w:rFonts w:hint="default"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olor w:val="000000" w:themeColor="text1"/>
                <w:kern w:val="0"/>
                <w:szCs w:val="21"/>
                <w:highlight w:val="none"/>
                <w:lang w:val="en-US" w:eastAsia="zh-CN"/>
                <w14:textFill>
                  <w14:solidFill>
                    <w14:schemeClr w14:val="tx1"/>
                  </w14:solidFill>
                </w14:textFill>
              </w:rPr>
              <w:t>+0.008</w:t>
            </w:r>
          </w:p>
        </w:tc>
      </w:tr>
      <w:tr w14:paraId="19DDD5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4C4DF687">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restart"/>
            <w:vAlign w:val="center"/>
          </w:tcPr>
          <w:p w14:paraId="13A4BB44">
            <w:pPr>
              <w:pStyle w:val="39"/>
              <w:adjustRightInd/>
              <w:spacing w:beforeLines="0" w:afterLines="0" w:line="240" w:lineRule="auto"/>
              <w:rPr>
                <w:rFonts w:hint="default" w:ascii="Times New Roman" w:hAnsi="Times New Roman" w:eastAsia="宋体" w:cs="宋体"/>
                <w:snapToGrid w:val="0"/>
                <w:color w:val="000000" w:themeColor="text1"/>
                <w:kern w:val="21"/>
                <w:szCs w:val="21"/>
                <w:highlight w:val="none"/>
                <w:lang w:val="en-US" w:eastAsia="zh-CN"/>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综合废水</w:t>
            </w:r>
          </w:p>
        </w:tc>
        <w:tc>
          <w:tcPr>
            <w:tcW w:w="1825" w:type="dxa"/>
            <w:shd w:val="clear" w:color="auto" w:fill="auto"/>
            <w:vAlign w:val="center"/>
          </w:tcPr>
          <w:p w14:paraId="35B2F6E3">
            <w:pPr>
              <w:snapToGrid w:val="0"/>
              <w:jc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olor w:val="000000" w:themeColor="text1"/>
                <w:szCs w:val="21"/>
                <w:highlight w:val="none"/>
                <w14:textFill>
                  <w14:solidFill>
                    <w14:schemeClr w14:val="tx1"/>
                  </w14:solidFill>
                </w14:textFill>
              </w:rPr>
              <w:t>废水量</w:t>
            </w:r>
          </w:p>
        </w:tc>
        <w:tc>
          <w:tcPr>
            <w:tcW w:w="1438" w:type="dxa"/>
            <w:shd w:val="clear" w:color="auto" w:fill="auto"/>
            <w:vAlign w:val="center"/>
          </w:tcPr>
          <w:p w14:paraId="0EC9CE9D">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68</w:t>
            </w:r>
          </w:p>
        </w:tc>
        <w:tc>
          <w:tcPr>
            <w:tcW w:w="1131" w:type="dxa"/>
            <w:shd w:val="clear" w:color="auto" w:fill="auto"/>
            <w:vAlign w:val="center"/>
          </w:tcPr>
          <w:p w14:paraId="72B4BD75">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7E9C6C49">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62BFC515">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c>
          <w:tcPr>
            <w:tcW w:w="1761" w:type="dxa"/>
            <w:shd w:val="clear" w:color="auto" w:fill="auto"/>
            <w:vAlign w:val="center"/>
          </w:tcPr>
          <w:p w14:paraId="01E096D3">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367A84A9">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c>
          <w:tcPr>
            <w:tcW w:w="1286" w:type="dxa"/>
            <w:shd w:val="clear" w:color="auto" w:fill="auto"/>
            <w:vAlign w:val="center"/>
          </w:tcPr>
          <w:p w14:paraId="7A6DD948">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s="Times New Roman"/>
                <w:i w:val="0"/>
                <w:iCs w:val="0"/>
                <w:color w:val="000000" w:themeColor="text1"/>
                <w:kern w:val="0"/>
                <w:sz w:val="21"/>
                <w:szCs w:val="21"/>
                <w:u w:val="none"/>
                <w:lang w:val="en-US" w:eastAsia="zh-CN" w:bidi="ar"/>
                <w14:textFill>
                  <w14:solidFill>
                    <w14:schemeClr w14:val="tx1"/>
                  </w14:solidFill>
                </w14:textFill>
              </w:rPr>
              <w:t>7924.8</w:t>
            </w:r>
          </w:p>
        </w:tc>
      </w:tr>
      <w:tr w14:paraId="25027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218412AB">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18F10A98">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3863A311">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COD</w:t>
            </w:r>
          </w:p>
        </w:tc>
        <w:tc>
          <w:tcPr>
            <w:tcW w:w="1438" w:type="dxa"/>
            <w:shd w:val="clear" w:color="auto" w:fill="auto"/>
            <w:vAlign w:val="center"/>
          </w:tcPr>
          <w:p w14:paraId="7794F36B">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0.0272</w:t>
            </w:r>
          </w:p>
        </w:tc>
        <w:tc>
          <w:tcPr>
            <w:tcW w:w="1131" w:type="dxa"/>
            <w:shd w:val="clear" w:color="auto" w:fill="auto"/>
            <w:vAlign w:val="center"/>
          </w:tcPr>
          <w:p w14:paraId="40A6D548">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137C3F1A">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3836FE4B">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c>
          <w:tcPr>
            <w:tcW w:w="1761" w:type="dxa"/>
            <w:shd w:val="clear" w:color="auto" w:fill="auto"/>
            <w:vAlign w:val="center"/>
          </w:tcPr>
          <w:p w14:paraId="2E9C01AE">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74F879C1">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c>
          <w:tcPr>
            <w:tcW w:w="1286" w:type="dxa"/>
            <w:shd w:val="clear" w:color="auto" w:fill="auto"/>
            <w:vAlign w:val="center"/>
          </w:tcPr>
          <w:p w14:paraId="62CE0D18">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0.8272 </w:t>
            </w:r>
          </w:p>
        </w:tc>
      </w:tr>
      <w:tr w14:paraId="6C80E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024D078C">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68BA048E">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128C1639">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BOD</w:t>
            </w:r>
            <w:r>
              <w:rPr>
                <w:rFonts w:hint="eastAsia" w:cs="宋体"/>
                <w:color w:val="000000" w:themeColor="text1"/>
                <w:szCs w:val="21"/>
                <w:highlight w:val="none"/>
                <w:vertAlign w:val="subscript"/>
                <w:lang w:val="en-US" w:eastAsia="zh-CN"/>
                <w14:textFill>
                  <w14:solidFill>
                    <w14:schemeClr w14:val="tx1"/>
                  </w14:solidFill>
                </w14:textFill>
              </w:rPr>
              <w:t>5</w:t>
            </w:r>
          </w:p>
        </w:tc>
        <w:tc>
          <w:tcPr>
            <w:tcW w:w="1438" w:type="dxa"/>
            <w:shd w:val="clear" w:color="auto" w:fill="auto"/>
            <w:vAlign w:val="center"/>
          </w:tcPr>
          <w:p w14:paraId="415913B7">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0</w:t>
            </w:r>
          </w:p>
        </w:tc>
        <w:tc>
          <w:tcPr>
            <w:tcW w:w="1131" w:type="dxa"/>
            <w:shd w:val="clear" w:color="auto" w:fill="auto"/>
            <w:vAlign w:val="center"/>
          </w:tcPr>
          <w:p w14:paraId="56799E9A">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0DF29056">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0259B1E5">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c>
          <w:tcPr>
            <w:tcW w:w="1761" w:type="dxa"/>
            <w:shd w:val="clear" w:color="auto" w:fill="auto"/>
            <w:vAlign w:val="center"/>
          </w:tcPr>
          <w:p w14:paraId="3FCDCC2C">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238914B3">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c>
          <w:tcPr>
            <w:tcW w:w="1286" w:type="dxa"/>
            <w:shd w:val="clear" w:color="auto" w:fill="auto"/>
            <w:vAlign w:val="center"/>
          </w:tcPr>
          <w:p w14:paraId="258ACDBB">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0.3086 </w:t>
            </w:r>
          </w:p>
        </w:tc>
      </w:tr>
      <w:tr w14:paraId="7DC4FA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156B2B26">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0723007A">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768E1EDE">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SS</w:t>
            </w:r>
          </w:p>
        </w:tc>
        <w:tc>
          <w:tcPr>
            <w:tcW w:w="1438" w:type="dxa"/>
            <w:shd w:val="clear" w:color="auto" w:fill="auto"/>
            <w:vAlign w:val="center"/>
          </w:tcPr>
          <w:p w14:paraId="522AE9FD">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0.0204</w:t>
            </w:r>
          </w:p>
        </w:tc>
        <w:tc>
          <w:tcPr>
            <w:tcW w:w="1131" w:type="dxa"/>
            <w:shd w:val="clear" w:color="auto" w:fill="auto"/>
            <w:vAlign w:val="center"/>
          </w:tcPr>
          <w:p w14:paraId="5532F6C5">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3EAAB275">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56F6DE88">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c>
          <w:tcPr>
            <w:tcW w:w="1761" w:type="dxa"/>
            <w:shd w:val="clear" w:color="auto" w:fill="auto"/>
            <w:vAlign w:val="center"/>
          </w:tcPr>
          <w:p w14:paraId="675C4E2C">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3153EDFD">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c>
          <w:tcPr>
            <w:tcW w:w="1286" w:type="dxa"/>
            <w:shd w:val="clear" w:color="auto" w:fill="auto"/>
            <w:vAlign w:val="center"/>
          </w:tcPr>
          <w:p w14:paraId="1EA1859E">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0.1594 </w:t>
            </w:r>
          </w:p>
        </w:tc>
      </w:tr>
      <w:tr w14:paraId="1D926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13177024">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27EEC859">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2D1DD03B">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NH</w:t>
            </w:r>
            <w:r>
              <w:rPr>
                <w:rFonts w:ascii="Times New Roman" w:hAnsi="Times New Roman" w:eastAsia="宋体" w:cs="宋体"/>
                <w:color w:val="000000" w:themeColor="text1"/>
                <w:szCs w:val="21"/>
                <w:highlight w:val="none"/>
                <w:vertAlign w:val="subscript"/>
                <w14:textFill>
                  <w14:solidFill>
                    <w14:schemeClr w14:val="tx1"/>
                  </w14:solidFill>
                </w14:textFill>
              </w:rPr>
              <w:t>3</w:t>
            </w:r>
            <w:r>
              <w:rPr>
                <w:rFonts w:ascii="Times New Roman" w:hAnsi="Times New Roman" w:eastAsia="宋体" w:cs="宋体"/>
                <w:color w:val="000000" w:themeColor="text1"/>
                <w:szCs w:val="21"/>
                <w:highlight w:val="none"/>
                <w14:textFill>
                  <w14:solidFill>
                    <w14:schemeClr w14:val="tx1"/>
                  </w14:solidFill>
                </w14:textFill>
              </w:rPr>
              <w:t>-N</w:t>
            </w:r>
          </w:p>
        </w:tc>
        <w:tc>
          <w:tcPr>
            <w:tcW w:w="1438" w:type="dxa"/>
            <w:shd w:val="clear" w:color="auto" w:fill="auto"/>
            <w:vAlign w:val="center"/>
          </w:tcPr>
          <w:p w14:paraId="643CE4B9">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0.0027</w:t>
            </w:r>
          </w:p>
        </w:tc>
        <w:tc>
          <w:tcPr>
            <w:tcW w:w="1131" w:type="dxa"/>
            <w:shd w:val="clear" w:color="auto" w:fill="auto"/>
            <w:vAlign w:val="center"/>
          </w:tcPr>
          <w:p w14:paraId="722E3C5B">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1785F53A">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5475CD92">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c>
          <w:tcPr>
            <w:tcW w:w="1761" w:type="dxa"/>
            <w:shd w:val="clear" w:color="auto" w:fill="auto"/>
            <w:vAlign w:val="center"/>
          </w:tcPr>
          <w:p w14:paraId="60440847">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75180098">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c>
          <w:tcPr>
            <w:tcW w:w="1286" w:type="dxa"/>
            <w:shd w:val="clear" w:color="auto" w:fill="auto"/>
            <w:vAlign w:val="center"/>
          </w:tcPr>
          <w:p w14:paraId="3F2D3E1C">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0.0939 </w:t>
            </w:r>
          </w:p>
        </w:tc>
      </w:tr>
      <w:tr w14:paraId="2619D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182398D4">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41356976">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38E23AC3">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动植物油</w:t>
            </w:r>
          </w:p>
        </w:tc>
        <w:tc>
          <w:tcPr>
            <w:tcW w:w="1438" w:type="dxa"/>
            <w:shd w:val="clear" w:color="auto" w:fill="auto"/>
            <w:vAlign w:val="center"/>
          </w:tcPr>
          <w:p w14:paraId="445311C2">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cs="宋体"/>
                <w:color w:val="000000" w:themeColor="text1"/>
                <w:kern w:val="2"/>
                <w:sz w:val="21"/>
                <w:szCs w:val="21"/>
                <w:highlight w:val="none"/>
                <w:lang w:val="en-US" w:eastAsia="zh-CN" w:bidi="ar-SA"/>
                <w14:textFill>
                  <w14:solidFill>
                    <w14:schemeClr w14:val="tx1"/>
                  </w14:solidFill>
                </w14:textFill>
              </w:rPr>
              <w:t>0</w:t>
            </w:r>
          </w:p>
        </w:tc>
        <w:tc>
          <w:tcPr>
            <w:tcW w:w="1131" w:type="dxa"/>
            <w:shd w:val="clear" w:color="auto" w:fill="auto"/>
            <w:vAlign w:val="center"/>
          </w:tcPr>
          <w:p w14:paraId="2831D76D">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11148198">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2D91E8CD">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c>
          <w:tcPr>
            <w:tcW w:w="1761" w:type="dxa"/>
            <w:shd w:val="clear" w:color="auto" w:fill="auto"/>
            <w:vAlign w:val="center"/>
          </w:tcPr>
          <w:p w14:paraId="2E79DD6C">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7414D7DF">
            <w:pPr>
              <w:keepNext w:val="0"/>
              <w:keepLines w:val="0"/>
              <w:widowControl/>
              <w:suppressLineNumbers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c>
          <w:tcPr>
            <w:tcW w:w="1286" w:type="dxa"/>
            <w:shd w:val="clear" w:color="auto" w:fill="auto"/>
            <w:vAlign w:val="center"/>
          </w:tcPr>
          <w:p w14:paraId="3526E77E">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0.0229 </w:t>
            </w:r>
          </w:p>
        </w:tc>
      </w:tr>
      <w:tr w14:paraId="37B60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26DEBB6A">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74AEB68B">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05C54980">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TP</w:t>
            </w:r>
          </w:p>
        </w:tc>
        <w:tc>
          <w:tcPr>
            <w:tcW w:w="1438" w:type="dxa"/>
            <w:shd w:val="clear" w:color="auto" w:fill="auto"/>
            <w:vAlign w:val="center"/>
          </w:tcPr>
          <w:p w14:paraId="1AE14B93">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0.0003</w:t>
            </w:r>
          </w:p>
        </w:tc>
        <w:tc>
          <w:tcPr>
            <w:tcW w:w="1131" w:type="dxa"/>
            <w:shd w:val="clear" w:color="auto" w:fill="auto"/>
            <w:vAlign w:val="center"/>
          </w:tcPr>
          <w:p w14:paraId="52914592">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4948C4EB">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4AE3CEB8">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c>
          <w:tcPr>
            <w:tcW w:w="1761" w:type="dxa"/>
            <w:shd w:val="clear" w:color="auto" w:fill="auto"/>
            <w:vAlign w:val="center"/>
          </w:tcPr>
          <w:p w14:paraId="68A5F25C">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65B49C68">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c>
          <w:tcPr>
            <w:tcW w:w="1286" w:type="dxa"/>
            <w:shd w:val="clear" w:color="auto" w:fill="auto"/>
            <w:vAlign w:val="center"/>
          </w:tcPr>
          <w:p w14:paraId="22043594">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0.0096 </w:t>
            </w:r>
          </w:p>
        </w:tc>
      </w:tr>
      <w:tr w14:paraId="4B66B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712" w:type="dxa"/>
            <w:vMerge w:val="continue"/>
            <w:vAlign w:val="center"/>
          </w:tcPr>
          <w:p w14:paraId="0296BBBF">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876" w:type="dxa"/>
            <w:vMerge w:val="continue"/>
            <w:vAlign w:val="center"/>
          </w:tcPr>
          <w:p w14:paraId="5A3F874D">
            <w:pPr>
              <w:pStyle w:val="39"/>
              <w:adjustRightInd/>
              <w:spacing w:beforeLines="0" w:afterLines="0" w:line="240" w:lineRule="auto"/>
              <w:rPr>
                <w:rFonts w:ascii="Times New Roman" w:hAnsi="Times New Roman" w:eastAsia="宋体" w:cs="宋体"/>
                <w:snapToGrid w:val="0"/>
                <w:color w:val="000000" w:themeColor="text1"/>
                <w:kern w:val="21"/>
                <w:szCs w:val="21"/>
                <w:highlight w:val="none"/>
                <w14:textFill>
                  <w14:solidFill>
                    <w14:schemeClr w14:val="tx1"/>
                  </w14:solidFill>
                </w14:textFill>
              </w:rPr>
            </w:pPr>
          </w:p>
        </w:tc>
        <w:tc>
          <w:tcPr>
            <w:tcW w:w="1825" w:type="dxa"/>
            <w:shd w:val="clear" w:color="auto" w:fill="auto"/>
            <w:vAlign w:val="center"/>
          </w:tcPr>
          <w:p w14:paraId="5F2F89E4">
            <w:pPr>
              <w:snapToGrid w:val="0"/>
              <w:jc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ascii="Times New Roman" w:hAnsi="Times New Roman" w:eastAsia="宋体" w:cs="宋体"/>
                <w:color w:val="000000" w:themeColor="text1"/>
                <w:szCs w:val="21"/>
                <w:highlight w:val="none"/>
                <w14:textFill>
                  <w14:solidFill>
                    <w14:schemeClr w14:val="tx1"/>
                  </w14:solidFill>
                </w14:textFill>
              </w:rPr>
              <w:t>TN</w:t>
            </w:r>
          </w:p>
        </w:tc>
        <w:tc>
          <w:tcPr>
            <w:tcW w:w="1438" w:type="dxa"/>
            <w:shd w:val="clear" w:color="auto" w:fill="auto"/>
            <w:vAlign w:val="center"/>
          </w:tcPr>
          <w:p w14:paraId="2C379496">
            <w:pPr>
              <w:snapToGrid w:val="0"/>
              <w:jc w:val="center"/>
              <w:textAlignment w:val="center"/>
              <w:rPr>
                <w:rFonts w:hint="eastAsia" w:ascii="Times New Roman" w:hAnsi="Times New Roman" w:eastAsia="宋体" w:cs="宋体"/>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Cs w:val="21"/>
                <w:highlight w:val="none"/>
                <w:lang w:val="en-US" w:eastAsia="zh-CN"/>
                <w14:textFill>
                  <w14:solidFill>
                    <w14:schemeClr w14:val="tx1"/>
                  </w14:solidFill>
                </w14:textFill>
              </w:rPr>
              <w:t>0.0041</w:t>
            </w:r>
          </w:p>
        </w:tc>
        <w:tc>
          <w:tcPr>
            <w:tcW w:w="1131" w:type="dxa"/>
            <w:shd w:val="clear" w:color="auto" w:fill="auto"/>
            <w:vAlign w:val="center"/>
          </w:tcPr>
          <w:p w14:paraId="2853DAC8">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6AEDC606">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559" w:type="dxa"/>
            <w:shd w:val="clear" w:color="auto" w:fill="auto"/>
            <w:vAlign w:val="center"/>
          </w:tcPr>
          <w:p w14:paraId="27EA8D8D">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c>
          <w:tcPr>
            <w:tcW w:w="1761" w:type="dxa"/>
            <w:shd w:val="clear" w:color="auto" w:fill="auto"/>
            <w:vAlign w:val="center"/>
          </w:tcPr>
          <w:p w14:paraId="30B9F406">
            <w:pPr>
              <w:snapToGrid w:val="0"/>
              <w:jc w:val="center"/>
              <w:textAlignment w:val="center"/>
              <w:rPr>
                <w:rFonts w:hint="eastAsia" w:ascii="Times New Roman" w:hAnsi="Times New Roman" w:eastAsia="宋体" w:cs="Times New Roman"/>
                <w:color w:val="000000" w:themeColor="text1"/>
                <w:kern w:val="0"/>
                <w:sz w:val="21"/>
                <w:szCs w:val="21"/>
                <w:highlight w:val="none"/>
                <w:lang w:val="en-US" w:eastAsia="zh-CN" w:bidi="ar-SA"/>
                <w14:textFill>
                  <w14:solidFill>
                    <w14:schemeClr w14:val="tx1"/>
                  </w14:solidFill>
                </w14:textFill>
              </w:rPr>
            </w:pPr>
            <w:r>
              <w:rPr>
                <w:rFonts w:hint="eastAsia" w:cs="Times New Roman"/>
                <w:color w:val="000000" w:themeColor="text1"/>
                <w:kern w:val="0"/>
                <w:sz w:val="21"/>
                <w:szCs w:val="21"/>
                <w:highlight w:val="none"/>
                <w:lang w:val="en-US" w:eastAsia="zh-CN" w:bidi="ar-SA"/>
                <w14:textFill>
                  <w14:solidFill>
                    <w14:schemeClr w14:val="tx1"/>
                  </w14:solidFill>
                </w14:textFill>
              </w:rPr>
              <w:t>0</w:t>
            </w:r>
          </w:p>
        </w:tc>
        <w:tc>
          <w:tcPr>
            <w:tcW w:w="1499" w:type="dxa"/>
            <w:shd w:val="clear" w:color="auto" w:fill="auto"/>
            <w:vAlign w:val="center"/>
          </w:tcPr>
          <w:p w14:paraId="0FD6E27D">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c>
          <w:tcPr>
            <w:tcW w:w="1286" w:type="dxa"/>
            <w:shd w:val="clear" w:color="auto" w:fill="auto"/>
            <w:vAlign w:val="center"/>
          </w:tcPr>
          <w:p w14:paraId="2A80F254">
            <w:pPr>
              <w:keepNext w:val="0"/>
              <w:keepLines w:val="0"/>
              <w:widowControl/>
              <w:suppressLineNumbers w:val="0"/>
              <w:jc w:val="center"/>
              <w:textAlignment w:val="cente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 xml:space="preserve">0.1506 </w:t>
            </w:r>
          </w:p>
        </w:tc>
      </w:tr>
      <w:tr w14:paraId="2A9B0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413" w:type="dxa"/>
            <w:gridSpan w:val="3"/>
            <w:vAlign w:val="center"/>
          </w:tcPr>
          <w:p w14:paraId="5659959C">
            <w:pPr>
              <w:pStyle w:val="39"/>
              <w:adjustRightInd/>
              <w:spacing w:beforeLines="0" w:afterLines="0" w:line="240" w:lineRule="auto"/>
              <w:jc w:val="center"/>
              <w:rPr>
                <w:rFonts w:ascii="Times New Roman" w:hAnsi="Times New Roman" w:eastAsia="宋体" w:cs="宋体"/>
                <w:color w:val="000000" w:themeColor="text1"/>
                <w:szCs w:val="21"/>
                <w:highlight w:val="none"/>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一般工业固体废物</w:t>
            </w:r>
          </w:p>
        </w:tc>
        <w:tc>
          <w:tcPr>
            <w:tcW w:w="1438" w:type="dxa"/>
            <w:shd w:val="clear" w:color="auto" w:fill="auto"/>
            <w:vAlign w:val="center"/>
          </w:tcPr>
          <w:p w14:paraId="3173355E">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w:t>
            </w:r>
          </w:p>
        </w:tc>
        <w:tc>
          <w:tcPr>
            <w:tcW w:w="1131" w:type="dxa"/>
            <w:shd w:val="clear" w:color="auto" w:fill="auto"/>
            <w:vAlign w:val="center"/>
          </w:tcPr>
          <w:p w14:paraId="112628A4">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6C27BB3E">
            <w:pPr>
              <w:pStyle w:val="39"/>
              <w:adjustRightInd/>
              <w:spacing w:beforeLines="0" w:afterLines="0" w:line="240" w:lineRule="auto"/>
              <w:jc w:val="center"/>
              <w:rPr>
                <w:rFonts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0</w:t>
            </w:r>
          </w:p>
        </w:tc>
        <w:tc>
          <w:tcPr>
            <w:tcW w:w="1559" w:type="dxa"/>
            <w:shd w:val="clear" w:color="auto" w:fill="auto"/>
            <w:vAlign w:val="center"/>
          </w:tcPr>
          <w:p w14:paraId="776C1CEE">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269.715</w:t>
            </w:r>
          </w:p>
        </w:tc>
        <w:tc>
          <w:tcPr>
            <w:tcW w:w="1761" w:type="dxa"/>
            <w:shd w:val="clear" w:color="auto" w:fill="auto"/>
            <w:vAlign w:val="center"/>
          </w:tcPr>
          <w:p w14:paraId="2BE2CA1D">
            <w:pPr>
              <w:pStyle w:val="39"/>
              <w:adjustRightInd/>
              <w:spacing w:beforeLines="0" w:afterLines="0" w:line="240" w:lineRule="auto"/>
              <w:jc w:val="center"/>
              <w:rPr>
                <w:rFonts w:hint="eastAsia"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0</w:t>
            </w:r>
          </w:p>
        </w:tc>
        <w:tc>
          <w:tcPr>
            <w:tcW w:w="1499" w:type="dxa"/>
            <w:shd w:val="clear" w:color="auto" w:fill="auto"/>
            <w:vAlign w:val="center"/>
          </w:tcPr>
          <w:p w14:paraId="52509C50">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269.715</w:t>
            </w:r>
          </w:p>
        </w:tc>
        <w:tc>
          <w:tcPr>
            <w:tcW w:w="1286" w:type="dxa"/>
            <w:shd w:val="clear" w:color="auto" w:fill="auto"/>
            <w:vAlign w:val="center"/>
          </w:tcPr>
          <w:p w14:paraId="19CBEFF9">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269.715</w:t>
            </w:r>
          </w:p>
        </w:tc>
      </w:tr>
      <w:tr w14:paraId="73DEE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413" w:type="dxa"/>
            <w:gridSpan w:val="3"/>
            <w:vAlign w:val="center"/>
          </w:tcPr>
          <w:p w14:paraId="57A21AB8">
            <w:pPr>
              <w:pStyle w:val="39"/>
              <w:adjustRightInd/>
              <w:spacing w:beforeLines="0" w:afterLines="0" w:line="240" w:lineRule="auto"/>
              <w:jc w:val="center"/>
              <w:rPr>
                <w:rFonts w:ascii="Times New Roman" w:hAnsi="Times New Roman" w:eastAsia="宋体" w:cs="宋体"/>
                <w:color w:val="000000" w:themeColor="text1"/>
                <w:kern w:val="2"/>
                <w:szCs w:val="21"/>
                <w:highlight w:val="none"/>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危险废物</w:t>
            </w:r>
          </w:p>
        </w:tc>
        <w:tc>
          <w:tcPr>
            <w:tcW w:w="1438" w:type="dxa"/>
            <w:shd w:val="clear" w:color="auto" w:fill="auto"/>
            <w:vAlign w:val="center"/>
          </w:tcPr>
          <w:p w14:paraId="31C03B15">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w:t>
            </w:r>
          </w:p>
        </w:tc>
        <w:tc>
          <w:tcPr>
            <w:tcW w:w="1131" w:type="dxa"/>
            <w:shd w:val="clear" w:color="auto" w:fill="auto"/>
            <w:vAlign w:val="center"/>
          </w:tcPr>
          <w:p w14:paraId="730FA9EE">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30251238">
            <w:pPr>
              <w:pStyle w:val="39"/>
              <w:adjustRightInd/>
              <w:spacing w:beforeLines="0" w:afterLines="0" w:line="240" w:lineRule="auto"/>
              <w:jc w:val="center"/>
              <w:rPr>
                <w:rFonts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14:textFill>
                  <w14:solidFill>
                    <w14:schemeClr w14:val="tx1"/>
                  </w14:solidFill>
                </w14:textFill>
              </w:rPr>
              <w:t>0</w:t>
            </w:r>
          </w:p>
        </w:tc>
        <w:tc>
          <w:tcPr>
            <w:tcW w:w="1559" w:type="dxa"/>
            <w:shd w:val="clear" w:color="auto" w:fill="auto"/>
            <w:vAlign w:val="center"/>
          </w:tcPr>
          <w:p w14:paraId="2CAA77FF">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0.05</w:t>
            </w:r>
          </w:p>
        </w:tc>
        <w:tc>
          <w:tcPr>
            <w:tcW w:w="1761" w:type="dxa"/>
            <w:shd w:val="clear" w:color="auto" w:fill="auto"/>
            <w:vAlign w:val="center"/>
          </w:tcPr>
          <w:p w14:paraId="38110E37">
            <w:pPr>
              <w:pStyle w:val="39"/>
              <w:adjustRightInd/>
              <w:spacing w:beforeLines="0" w:afterLines="0" w:line="240" w:lineRule="auto"/>
              <w:jc w:val="center"/>
              <w:rPr>
                <w:rFonts w:hint="eastAsia"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0</w:t>
            </w:r>
          </w:p>
        </w:tc>
        <w:tc>
          <w:tcPr>
            <w:tcW w:w="1499" w:type="dxa"/>
            <w:shd w:val="clear" w:color="auto" w:fill="auto"/>
            <w:vAlign w:val="center"/>
          </w:tcPr>
          <w:p w14:paraId="6E98CB5B">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0.05</w:t>
            </w:r>
          </w:p>
        </w:tc>
        <w:tc>
          <w:tcPr>
            <w:tcW w:w="1286" w:type="dxa"/>
            <w:shd w:val="clear" w:color="auto" w:fill="auto"/>
            <w:vAlign w:val="center"/>
          </w:tcPr>
          <w:p w14:paraId="284BC8FE">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0.05</w:t>
            </w:r>
          </w:p>
        </w:tc>
      </w:tr>
      <w:tr w14:paraId="74014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3413" w:type="dxa"/>
            <w:gridSpan w:val="3"/>
            <w:vAlign w:val="center"/>
          </w:tcPr>
          <w:p w14:paraId="47472DA3">
            <w:pPr>
              <w:pStyle w:val="39"/>
              <w:adjustRightInd/>
              <w:spacing w:beforeLines="0" w:afterLines="0" w:line="240" w:lineRule="auto"/>
              <w:jc w:val="center"/>
              <w:rPr>
                <w:rFonts w:hint="eastAsia" w:ascii="Times New Roman" w:hAnsi="Times New Roman" w:eastAsia="宋体" w:cs="宋体"/>
                <w:snapToGrid w:val="0"/>
                <w:color w:val="000000" w:themeColor="text1"/>
                <w:kern w:val="21"/>
                <w:szCs w:val="21"/>
                <w:highlight w:val="none"/>
                <w:lang w:val="en-US" w:eastAsia="zh-CN"/>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lang w:val="en-US" w:eastAsia="zh-CN"/>
                <w14:textFill>
                  <w14:solidFill>
                    <w14:schemeClr w14:val="tx1"/>
                  </w14:solidFill>
                </w14:textFill>
              </w:rPr>
              <w:t>生活垃圾</w:t>
            </w:r>
          </w:p>
        </w:tc>
        <w:tc>
          <w:tcPr>
            <w:tcW w:w="1438" w:type="dxa"/>
            <w:shd w:val="clear" w:color="auto" w:fill="auto"/>
            <w:vAlign w:val="center"/>
          </w:tcPr>
          <w:p w14:paraId="5AEF85A3">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1.2</w:t>
            </w:r>
          </w:p>
        </w:tc>
        <w:tc>
          <w:tcPr>
            <w:tcW w:w="1131" w:type="dxa"/>
            <w:shd w:val="clear" w:color="auto" w:fill="auto"/>
            <w:vAlign w:val="center"/>
          </w:tcPr>
          <w:p w14:paraId="078869B6">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w:t>
            </w:r>
          </w:p>
        </w:tc>
        <w:tc>
          <w:tcPr>
            <w:tcW w:w="1701" w:type="dxa"/>
            <w:shd w:val="clear" w:color="auto" w:fill="auto"/>
            <w:vAlign w:val="center"/>
          </w:tcPr>
          <w:p w14:paraId="6E65476C">
            <w:pPr>
              <w:pStyle w:val="39"/>
              <w:adjustRightInd/>
              <w:spacing w:beforeLines="0" w:afterLines="0" w:line="240" w:lineRule="auto"/>
              <w:jc w:val="center"/>
              <w:rPr>
                <w:rFonts w:hint="eastAsia"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hAnsi="Times New Roman" w:eastAsia="宋体" w:cs="宋体"/>
                <w:snapToGrid w:val="0"/>
                <w:color w:val="000000" w:themeColor="text1"/>
                <w:kern w:val="21"/>
                <w:szCs w:val="21"/>
                <w:highlight w:val="none"/>
                <w:lang w:val="en-US" w:eastAsia="zh-CN"/>
                <w14:textFill>
                  <w14:solidFill>
                    <w14:schemeClr w14:val="tx1"/>
                  </w14:solidFill>
                </w14:textFill>
              </w:rPr>
              <w:t>0</w:t>
            </w:r>
          </w:p>
        </w:tc>
        <w:tc>
          <w:tcPr>
            <w:tcW w:w="1559" w:type="dxa"/>
            <w:shd w:val="clear" w:color="auto" w:fill="auto"/>
            <w:vAlign w:val="center"/>
          </w:tcPr>
          <w:p w14:paraId="174A0A4B">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1.05</w:t>
            </w:r>
          </w:p>
        </w:tc>
        <w:tc>
          <w:tcPr>
            <w:tcW w:w="1761" w:type="dxa"/>
            <w:shd w:val="clear" w:color="auto" w:fill="auto"/>
            <w:vAlign w:val="center"/>
          </w:tcPr>
          <w:p w14:paraId="2A722F58">
            <w:pPr>
              <w:pStyle w:val="39"/>
              <w:adjustRightInd/>
              <w:spacing w:beforeLines="0" w:afterLines="0" w:line="240" w:lineRule="auto"/>
              <w:jc w:val="center"/>
              <w:rPr>
                <w:rFonts w:hint="eastAsia"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Cs w:val="21"/>
                <w:highlight w:val="none"/>
                <w:lang w:val="en-US" w:eastAsia="zh-CN"/>
                <w14:textFill>
                  <w14:solidFill>
                    <w14:schemeClr w14:val="tx1"/>
                  </w14:solidFill>
                </w14:textFill>
              </w:rPr>
              <w:t>0</w:t>
            </w:r>
          </w:p>
        </w:tc>
        <w:tc>
          <w:tcPr>
            <w:tcW w:w="1499" w:type="dxa"/>
            <w:shd w:val="clear" w:color="auto" w:fill="auto"/>
            <w:vAlign w:val="center"/>
          </w:tcPr>
          <w:p w14:paraId="69740E37">
            <w:pPr>
              <w:pStyle w:val="39"/>
              <w:adjustRightInd/>
              <w:spacing w:beforeLines="0" w:afterLines="0" w:line="240" w:lineRule="auto"/>
              <w:jc w:val="center"/>
              <w:rPr>
                <w:rFonts w:hint="default" w:ascii="Times New Roman" w:hAnsi="Times New Roman" w:eastAsia="宋体" w:cs="宋体"/>
                <w:snapToGrid w:val="0"/>
                <w:color w:val="000000" w:themeColor="text1"/>
                <w:kern w:val="21"/>
                <w:sz w:val="21"/>
                <w:szCs w:val="21"/>
                <w:highlight w:val="none"/>
                <w:lang w:val="en-US" w:eastAsia="zh-CN" w:bidi="ar-SA"/>
                <w14:textFill>
                  <w14:solidFill>
                    <w14:schemeClr w14:val="tx1"/>
                  </w14:solidFill>
                </w14:textFill>
              </w:rPr>
            </w:pPr>
            <w:r>
              <w:rPr>
                <w:rFonts w:hint="eastAsia" w:ascii="Times New Roman" w:cs="宋体"/>
                <w:snapToGrid w:val="0"/>
                <w:color w:val="000000" w:themeColor="text1"/>
                <w:kern w:val="21"/>
                <w:sz w:val="21"/>
                <w:szCs w:val="21"/>
                <w:highlight w:val="none"/>
                <w:lang w:val="en-US" w:eastAsia="zh-CN" w:bidi="ar-SA"/>
                <w14:textFill>
                  <w14:solidFill>
                    <w14:schemeClr w14:val="tx1"/>
                  </w14:solidFill>
                </w14:textFill>
              </w:rPr>
              <w:t>2.25</w:t>
            </w:r>
          </w:p>
        </w:tc>
        <w:tc>
          <w:tcPr>
            <w:tcW w:w="1286" w:type="dxa"/>
            <w:shd w:val="clear" w:color="auto" w:fill="auto"/>
            <w:vAlign w:val="center"/>
          </w:tcPr>
          <w:p w14:paraId="326BA6F9">
            <w:pPr>
              <w:snapToGrid w:val="0"/>
              <w:jc w:val="center"/>
              <w:textAlignment w:val="center"/>
              <w:rPr>
                <w:rFonts w:hint="default" w:cs="宋体"/>
                <w:color w:val="000000" w:themeColor="text1"/>
                <w:szCs w:val="21"/>
                <w:highlight w:val="none"/>
                <w:lang w:val="en-US" w:eastAsia="zh-CN"/>
                <w14:textFill>
                  <w14:solidFill>
                    <w14:schemeClr w14:val="tx1"/>
                  </w14:solidFill>
                </w14:textFill>
              </w:rPr>
            </w:pPr>
            <w:r>
              <w:rPr>
                <w:rFonts w:hint="eastAsia" w:cs="宋体"/>
                <w:color w:val="000000" w:themeColor="text1"/>
                <w:szCs w:val="21"/>
                <w:highlight w:val="none"/>
                <w:lang w:val="en-US" w:eastAsia="zh-CN"/>
                <w14:textFill>
                  <w14:solidFill>
                    <w14:schemeClr w14:val="tx1"/>
                  </w14:solidFill>
                </w14:textFill>
              </w:rPr>
              <w:t>2.25</w:t>
            </w:r>
          </w:p>
        </w:tc>
      </w:tr>
    </w:tbl>
    <w:p w14:paraId="29C5DBEE">
      <w:pPr>
        <w:pStyle w:val="39"/>
        <w:spacing w:beforeLines="80" w:after="45"/>
        <w:jc w:val="left"/>
        <w:rPr>
          <w:rFonts w:ascii="Times New Roman" w:hAnsi="Times New Roman" w:eastAsia="宋体" w:cs="宋体"/>
          <w:color w:val="000000" w:themeColor="text1"/>
          <w:highlight w:val="none"/>
          <w14:textFill>
            <w14:solidFill>
              <w14:schemeClr w14:val="tx1"/>
            </w14:solidFill>
          </w14:textFill>
        </w:rPr>
      </w:pPr>
      <w:r>
        <w:rPr>
          <w:rFonts w:ascii="Times New Roman" w:hAnsi="Times New Roman" w:eastAsia="宋体" w:cs="宋体"/>
          <w:snapToGrid w:val="0"/>
          <w:color w:val="000000" w:themeColor="text1"/>
          <w:kern w:val="21"/>
          <w:szCs w:val="21"/>
          <w:highlight w:val="none"/>
          <w14:textFill>
            <w14:solidFill>
              <w14:schemeClr w14:val="tx1"/>
            </w14:solidFill>
          </w14:textFill>
        </w:rPr>
        <w:t>注：</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instrText xml:space="preserve"> = 6 \* GB3 \* MERGEFORMAT </w:instrTex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⑥</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1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①</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3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③</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4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④</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instrText xml:space="preserve"> = 5 \* GB3 \* MERGEFORMAT </w:instrTex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⑤</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7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⑦</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instrText xml:space="preserve"> = 6 \* GB3 \* MERGEFORMAT </w:instrTex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⑥</w:t>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fldChar w:fldCharType="end"/>
      </w:r>
      <w:r>
        <w:rPr>
          <w:rFonts w:ascii="Times New Roman" w:hAnsi="Times New Roman" w:eastAsia="宋体" w:cs="宋体"/>
          <w:snapToGrid w:val="0"/>
          <w:color w:val="000000" w:themeColor="text1"/>
          <w:spacing w:val="-16"/>
          <w:kern w:val="21"/>
          <w:szCs w:val="21"/>
          <w:highlight w:val="none"/>
          <w14:textFill>
            <w14:solidFill>
              <w14:schemeClr w14:val="tx1"/>
            </w14:solidFill>
          </w14:textFill>
        </w:rPr>
        <w:t>-</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begin"/>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instrText xml:space="preserve"> = 1 \* GB3 \* MERGEFORMAT </w:instrTex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separate"/>
      </w:r>
      <w:r>
        <w:rPr>
          <w:rFonts w:hint="eastAsia" w:ascii="Times New Roman" w:hAnsi="Times New Roman" w:eastAsia="宋体" w:cs="宋体"/>
          <w:color w:val="000000" w:themeColor="text1"/>
          <w:szCs w:val="21"/>
          <w:highlight w:val="none"/>
          <w14:textFill>
            <w14:solidFill>
              <w14:schemeClr w14:val="tx1"/>
            </w14:solidFill>
          </w14:textFill>
        </w:rPr>
        <w:t>①</w:t>
      </w:r>
      <w:r>
        <w:rPr>
          <w:rFonts w:ascii="Times New Roman" w:hAnsi="Times New Roman" w:eastAsia="宋体" w:cs="宋体"/>
          <w:snapToGrid w:val="0"/>
          <w:color w:val="000000" w:themeColor="text1"/>
          <w:spacing w:val="-6"/>
          <w:kern w:val="21"/>
          <w:szCs w:val="21"/>
          <w:highlight w:val="none"/>
          <w14:textFill>
            <w14:solidFill>
              <w14:schemeClr w14:val="tx1"/>
            </w14:solidFill>
          </w14:textFill>
        </w:rPr>
        <w:fldChar w:fldCharType="end"/>
      </w:r>
    </w:p>
    <w:sectPr>
      <w:footerReference r:id="rId8"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锐正黑_GBK 中">
    <w:altName w:val="黑体"/>
    <w:panose1 w:val="02010600010101010101"/>
    <w:charset w:val="86"/>
    <w:family w:val="auto"/>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7FFAEFF" w:usb1="F9DFFFFF" w:usb2="0000007F" w:usb3="00000000" w:csb0="203F01FF" w:csb1="DFFF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4489">
    <w:pPr>
      <w:pStyle w:val="1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67884">
    <w:pPr>
      <w:pStyle w:val="17"/>
      <w:framePr w:wrap="around" w:vAnchor="text" w:hAnchor="margin" w:xAlign="center" w:y="1"/>
      <w:rPr>
        <w:rStyle w:val="27"/>
      </w:rPr>
    </w:pPr>
    <w:r>
      <w:fldChar w:fldCharType="begin"/>
    </w:r>
    <w:r>
      <w:rPr>
        <w:rStyle w:val="27"/>
      </w:rPr>
      <w:instrText xml:space="preserve">PAGE  </w:instrText>
    </w:r>
    <w:r>
      <w:fldChar w:fldCharType="end"/>
    </w:r>
  </w:p>
  <w:p w14:paraId="24050D07">
    <w:pPr>
      <w:pStyle w:val="1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BC5B">
    <w:pPr>
      <w:pStyle w:val="17"/>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C52CA">
    <w:pPr>
      <w:pStyle w:val="17"/>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B4CF">
    <w:pPr>
      <w:pStyle w:val="17"/>
      <w:framePr w:wrap="around" w:vAnchor="text" w:hAnchor="margin" w:xAlign="outside" w:y="1"/>
      <w:rPr>
        <w:rStyle w:val="27"/>
        <w:rFonts w:ascii="宋体" w:hAnsi="宋体"/>
        <w:sz w:val="28"/>
        <w:szCs w:val="28"/>
      </w:rPr>
    </w:pPr>
    <w:r>
      <w:rPr>
        <w:rStyle w:val="27"/>
        <w:rFonts w:hint="eastAsia" w:ascii="宋体" w:hAnsi="宋体"/>
        <w:sz w:val="28"/>
        <w:szCs w:val="28"/>
      </w:rPr>
      <w:t>—</w:t>
    </w:r>
    <w:r>
      <w:rPr>
        <w:rStyle w:val="27"/>
        <w:rFonts w:ascii="宋体" w:hAnsi="宋体"/>
        <w:sz w:val="26"/>
        <w:szCs w:val="26"/>
      </w:rPr>
      <w:fldChar w:fldCharType="begin"/>
    </w:r>
    <w:r>
      <w:rPr>
        <w:rStyle w:val="27"/>
        <w:rFonts w:ascii="宋体" w:hAnsi="宋体"/>
        <w:sz w:val="26"/>
        <w:szCs w:val="26"/>
      </w:rPr>
      <w:instrText xml:space="preserve">PAGE  </w:instrText>
    </w:r>
    <w:r>
      <w:rPr>
        <w:rStyle w:val="27"/>
        <w:rFonts w:ascii="宋体" w:hAnsi="宋体"/>
        <w:sz w:val="26"/>
        <w:szCs w:val="26"/>
      </w:rPr>
      <w:fldChar w:fldCharType="separate"/>
    </w:r>
    <w:r>
      <w:rPr>
        <w:rStyle w:val="27"/>
        <w:rFonts w:ascii="宋体" w:hAnsi="宋体"/>
        <w:sz w:val="26"/>
        <w:szCs w:val="26"/>
      </w:rPr>
      <w:t>1</w:t>
    </w:r>
    <w:r>
      <w:rPr>
        <w:rStyle w:val="27"/>
        <w:rFonts w:ascii="宋体" w:hAnsi="宋体"/>
        <w:sz w:val="26"/>
        <w:szCs w:val="26"/>
      </w:rPr>
      <w:fldChar w:fldCharType="end"/>
    </w:r>
    <w:r>
      <w:rPr>
        <w:rStyle w:val="27"/>
        <w:rFonts w:hint="eastAsia" w:ascii="宋体" w:hAnsi="宋体"/>
        <w:sz w:val="28"/>
        <w:szCs w:val="28"/>
      </w:rPr>
      <w:t>—</w:t>
    </w:r>
  </w:p>
  <w:p w14:paraId="2B0B1334">
    <w:pPr>
      <w:pStyle w:val="17"/>
      <w:ind w:right="360"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05239">
    <w:pPr>
      <w:pStyle w:val="17"/>
      <w:framePr w:wrap="around" w:vAnchor="text" w:hAnchor="margin" w:xAlign="outside" w:y="1"/>
      <w:rPr>
        <w:rStyle w:val="27"/>
        <w:rFonts w:ascii="宋体" w:hAnsi="宋体"/>
        <w:sz w:val="28"/>
        <w:szCs w:val="28"/>
      </w:rPr>
    </w:pPr>
    <w:r>
      <w:rPr>
        <w:rStyle w:val="27"/>
        <w:rFonts w:hint="eastAsia" w:ascii="宋体" w:hAnsi="宋体"/>
        <w:sz w:val="28"/>
        <w:szCs w:val="28"/>
      </w:rPr>
      <w:t>—</w:t>
    </w:r>
    <w:r>
      <w:rPr>
        <w:rStyle w:val="27"/>
        <w:rFonts w:ascii="宋体" w:hAnsi="宋体"/>
        <w:sz w:val="26"/>
        <w:szCs w:val="26"/>
      </w:rPr>
      <w:fldChar w:fldCharType="begin"/>
    </w:r>
    <w:r>
      <w:rPr>
        <w:rStyle w:val="27"/>
        <w:rFonts w:ascii="宋体" w:hAnsi="宋体"/>
        <w:sz w:val="26"/>
        <w:szCs w:val="26"/>
      </w:rPr>
      <w:instrText xml:space="preserve">PAGE  </w:instrText>
    </w:r>
    <w:r>
      <w:rPr>
        <w:rStyle w:val="27"/>
        <w:rFonts w:ascii="宋体" w:hAnsi="宋体"/>
        <w:sz w:val="26"/>
        <w:szCs w:val="26"/>
      </w:rPr>
      <w:fldChar w:fldCharType="separate"/>
    </w:r>
    <w:r>
      <w:rPr>
        <w:rStyle w:val="27"/>
        <w:rFonts w:ascii="宋体" w:hAnsi="宋体"/>
        <w:sz w:val="26"/>
        <w:szCs w:val="26"/>
      </w:rPr>
      <w:t>81</w:t>
    </w:r>
    <w:r>
      <w:rPr>
        <w:rStyle w:val="27"/>
        <w:rFonts w:ascii="宋体" w:hAnsi="宋体"/>
        <w:sz w:val="26"/>
        <w:szCs w:val="26"/>
      </w:rPr>
      <w:fldChar w:fldCharType="end"/>
    </w:r>
    <w:r>
      <w:rPr>
        <w:rStyle w:val="27"/>
        <w:rFonts w:hint="eastAsia" w:ascii="宋体" w:hAnsi="宋体"/>
        <w:sz w:val="28"/>
        <w:szCs w:val="28"/>
      </w:rPr>
      <w:t>—</w:t>
    </w:r>
  </w:p>
  <w:p w14:paraId="6F3F9CB2">
    <w:pPr>
      <w:pStyle w:val="17"/>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1EE9D"/>
    <w:multiLevelType w:val="singleLevel"/>
    <w:tmpl w:val="DE41EE9D"/>
    <w:lvl w:ilvl="0" w:tentative="0">
      <w:start w:val="1"/>
      <w:numFmt w:val="decimal"/>
      <w:suff w:val="nothing"/>
      <w:lvlText w:val="（%1）"/>
      <w:lvlJc w:val="left"/>
    </w:lvl>
  </w:abstractNum>
  <w:abstractNum w:abstractNumId="1">
    <w:nsid w:val="0A088355"/>
    <w:multiLevelType w:val="singleLevel"/>
    <w:tmpl w:val="0A088355"/>
    <w:lvl w:ilvl="0" w:tentative="0">
      <w:start w:val="1"/>
      <w:numFmt w:val="decimal"/>
      <w:suff w:val="nothing"/>
      <w:lvlText w:val="（%1）"/>
      <w:lvlJc w:val="left"/>
    </w:lvl>
  </w:abstractNum>
  <w:abstractNum w:abstractNumId="2">
    <w:nsid w:val="2D157A1B"/>
    <w:multiLevelType w:val="singleLevel"/>
    <w:tmpl w:val="2D157A1B"/>
    <w:lvl w:ilvl="0" w:tentative="0">
      <w:start w:val="3"/>
      <w:numFmt w:val="decimal"/>
      <w:suff w:val="nothing"/>
      <w:lvlText w:val="%1、"/>
      <w:lvlJc w:val="left"/>
    </w:lvl>
  </w:abstractNum>
  <w:abstractNum w:abstractNumId="3">
    <w:nsid w:val="3FB8E1B8"/>
    <w:multiLevelType w:val="singleLevel"/>
    <w:tmpl w:val="3FB8E1B8"/>
    <w:lvl w:ilvl="0" w:tentative="0">
      <w:start w:val="1"/>
      <w:numFmt w:val="decimal"/>
      <w:suff w:val="nothing"/>
      <w:lvlText w:val="（%1）"/>
      <w:lvlJc w:val="left"/>
    </w:lvl>
  </w:abstractNum>
  <w:abstractNum w:abstractNumId="4">
    <w:nsid w:val="5A1C8AED"/>
    <w:multiLevelType w:val="singleLevel"/>
    <w:tmpl w:val="5A1C8AED"/>
    <w:lvl w:ilvl="0" w:tentative="0">
      <w:start w:val="1"/>
      <w:numFmt w:val="bullet"/>
      <w:pStyle w:val="13"/>
      <w:lvlText w:val=""/>
      <w:lvlJc w:val="left"/>
      <w:pPr>
        <w:tabs>
          <w:tab w:val="left" w:pos="2040"/>
        </w:tabs>
        <w:ind w:left="2040" w:hanging="360"/>
      </w:pPr>
      <w:rPr>
        <w:rFonts w:hint="default" w:ascii="Wingdings" w:hAnsi="Wingdings"/>
      </w:rPr>
    </w:lvl>
  </w:abstractNum>
  <w:abstractNum w:abstractNumId="5">
    <w:nsid w:val="5CB6B73D"/>
    <w:multiLevelType w:val="singleLevel"/>
    <w:tmpl w:val="5CB6B73D"/>
    <w:lvl w:ilvl="0" w:tentative="0">
      <w:start w:val="2"/>
      <w:numFmt w:val="decimal"/>
      <w:suff w:val="nothing"/>
      <w:lvlText w:val="（%1）"/>
      <w:lvlJc w:val="left"/>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hideSpellingErrors/>
  <w:documentProtection w:edit="trackedChanges"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wZDkwODVmM2JjMGZlNzlhYjBhNjJjMmM3NjI4MWUifQ=="/>
  </w:docVars>
  <w:rsids>
    <w:rsidRoot w:val="00172A27"/>
    <w:rsid w:val="00000152"/>
    <w:rsid w:val="0000065B"/>
    <w:rsid w:val="00000BE8"/>
    <w:rsid w:val="00004A38"/>
    <w:rsid w:val="000060B3"/>
    <w:rsid w:val="000147C7"/>
    <w:rsid w:val="00014AFB"/>
    <w:rsid w:val="00015351"/>
    <w:rsid w:val="00015BF2"/>
    <w:rsid w:val="00017A21"/>
    <w:rsid w:val="000204AA"/>
    <w:rsid w:val="00020979"/>
    <w:rsid w:val="00020D80"/>
    <w:rsid w:val="00023338"/>
    <w:rsid w:val="000255C6"/>
    <w:rsid w:val="00025665"/>
    <w:rsid w:val="0004364B"/>
    <w:rsid w:val="00043EFE"/>
    <w:rsid w:val="00044564"/>
    <w:rsid w:val="000454CC"/>
    <w:rsid w:val="000460DF"/>
    <w:rsid w:val="00046924"/>
    <w:rsid w:val="00047F4E"/>
    <w:rsid w:val="00052281"/>
    <w:rsid w:val="00061B1F"/>
    <w:rsid w:val="00063528"/>
    <w:rsid w:val="00063AD7"/>
    <w:rsid w:val="00063DC0"/>
    <w:rsid w:val="000724C9"/>
    <w:rsid w:val="000733C4"/>
    <w:rsid w:val="0007446F"/>
    <w:rsid w:val="00074783"/>
    <w:rsid w:val="00075E19"/>
    <w:rsid w:val="00077D20"/>
    <w:rsid w:val="0008070B"/>
    <w:rsid w:val="000810AC"/>
    <w:rsid w:val="00081458"/>
    <w:rsid w:val="00081A02"/>
    <w:rsid w:val="00082231"/>
    <w:rsid w:val="000829CA"/>
    <w:rsid w:val="00082C38"/>
    <w:rsid w:val="00084002"/>
    <w:rsid w:val="0008792B"/>
    <w:rsid w:val="00091DA6"/>
    <w:rsid w:val="00092264"/>
    <w:rsid w:val="00092D38"/>
    <w:rsid w:val="0009377B"/>
    <w:rsid w:val="00095850"/>
    <w:rsid w:val="00096F66"/>
    <w:rsid w:val="000976BD"/>
    <w:rsid w:val="00097848"/>
    <w:rsid w:val="00097F01"/>
    <w:rsid w:val="000A12DC"/>
    <w:rsid w:val="000A20C9"/>
    <w:rsid w:val="000A2663"/>
    <w:rsid w:val="000A308A"/>
    <w:rsid w:val="000A415B"/>
    <w:rsid w:val="000A6BD9"/>
    <w:rsid w:val="000B058F"/>
    <w:rsid w:val="000B4467"/>
    <w:rsid w:val="000B4DB9"/>
    <w:rsid w:val="000B5BA2"/>
    <w:rsid w:val="000B75F9"/>
    <w:rsid w:val="000C09AC"/>
    <w:rsid w:val="000C383C"/>
    <w:rsid w:val="000C7252"/>
    <w:rsid w:val="000C767F"/>
    <w:rsid w:val="000D2333"/>
    <w:rsid w:val="000D2531"/>
    <w:rsid w:val="000D2C0B"/>
    <w:rsid w:val="000D2EF1"/>
    <w:rsid w:val="000D3E80"/>
    <w:rsid w:val="000D4DB6"/>
    <w:rsid w:val="000D55F0"/>
    <w:rsid w:val="000D5A44"/>
    <w:rsid w:val="000D72D4"/>
    <w:rsid w:val="000D7D27"/>
    <w:rsid w:val="000E31FA"/>
    <w:rsid w:val="000E3ED2"/>
    <w:rsid w:val="000E5FC6"/>
    <w:rsid w:val="000E6056"/>
    <w:rsid w:val="000F145D"/>
    <w:rsid w:val="000F1F87"/>
    <w:rsid w:val="000F2B9B"/>
    <w:rsid w:val="000F3ADB"/>
    <w:rsid w:val="000F4486"/>
    <w:rsid w:val="000F79DA"/>
    <w:rsid w:val="00101973"/>
    <w:rsid w:val="00102888"/>
    <w:rsid w:val="00102A00"/>
    <w:rsid w:val="00104CFA"/>
    <w:rsid w:val="00110B66"/>
    <w:rsid w:val="00113B5E"/>
    <w:rsid w:val="00113D50"/>
    <w:rsid w:val="00114791"/>
    <w:rsid w:val="00116EBD"/>
    <w:rsid w:val="001215F2"/>
    <w:rsid w:val="00121FEA"/>
    <w:rsid w:val="00125359"/>
    <w:rsid w:val="00126A33"/>
    <w:rsid w:val="00130C7E"/>
    <w:rsid w:val="00130E6C"/>
    <w:rsid w:val="00131F42"/>
    <w:rsid w:val="001328F2"/>
    <w:rsid w:val="00133B49"/>
    <w:rsid w:val="001357F1"/>
    <w:rsid w:val="00136114"/>
    <w:rsid w:val="00137116"/>
    <w:rsid w:val="00137921"/>
    <w:rsid w:val="00137E7F"/>
    <w:rsid w:val="00140D5B"/>
    <w:rsid w:val="00140FA8"/>
    <w:rsid w:val="00142FEB"/>
    <w:rsid w:val="0014304E"/>
    <w:rsid w:val="001432B5"/>
    <w:rsid w:val="0014382F"/>
    <w:rsid w:val="00143A2D"/>
    <w:rsid w:val="00145A41"/>
    <w:rsid w:val="00146139"/>
    <w:rsid w:val="0015070A"/>
    <w:rsid w:val="00150B59"/>
    <w:rsid w:val="00151675"/>
    <w:rsid w:val="00151F6C"/>
    <w:rsid w:val="0015409F"/>
    <w:rsid w:val="0015596E"/>
    <w:rsid w:val="001571E9"/>
    <w:rsid w:val="00157435"/>
    <w:rsid w:val="00161973"/>
    <w:rsid w:val="001625D5"/>
    <w:rsid w:val="0016416A"/>
    <w:rsid w:val="001647A4"/>
    <w:rsid w:val="00164E38"/>
    <w:rsid w:val="001654CF"/>
    <w:rsid w:val="00170D91"/>
    <w:rsid w:val="0017114E"/>
    <w:rsid w:val="0017194A"/>
    <w:rsid w:val="00172E50"/>
    <w:rsid w:val="0017504D"/>
    <w:rsid w:val="00175DA4"/>
    <w:rsid w:val="0017671A"/>
    <w:rsid w:val="00177422"/>
    <w:rsid w:val="00184590"/>
    <w:rsid w:val="00184DBC"/>
    <w:rsid w:val="001870D1"/>
    <w:rsid w:val="0018781E"/>
    <w:rsid w:val="00187B27"/>
    <w:rsid w:val="001911A6"/>
    <w:rsid w:val="00192513"/>
    <w:rsid w:val="0019262D"/>
    <w:rsid w:val="001941BE"/>
    <w:rsid w:val="001959BF"/>
    <w:rsid w:val="001968AF"/>
    <w:rsid w:val="001A17D7"/>
    <w:rsid w:val="001A1B35"/>
    <w:rsid w:val="001A29DB"/>
    <w:rsid w:val="001A3368"/>
    <w:rsid w:val="001A4236"/>
    <w:rsid w:val="001A48A2"/>
    <w:rsid w:val="001A6F61"/>
    <w:rsid w:val="001A7093"/>
    <w:rsid w:val="001A7B19"/>
    <w:rsid w:val="001B0931"/>
    <w:rsid w:val="001B0E8A"/>
    <w:rsid w:val="001B4E13"/>
    <w:rsid w:val="001B6F05"/>
    <w:rsid w:val="001B72B8"/>
    <w:rsid w:val="001B7B3D"/>
    <w:rsid w:val="001C1907"/>
    <w:rsid w:val="001C3152"/>
    <w:rsid w:val="001C3414"/>
    <w:rsid w:val="001C3D65"/>
    <w:rsid w:val="001C69B3"/>
    <w:rsid w:val="001D02D6"/>
    <w:rsid w:val="001D12C3"/>
    <w:rsid w:val="001D1FC5"/>
    <w:rsid w:val="001D5595"/>
    <w:rsid w:val="001D62B8"/>
    <w:rsid w:val="001D7874"/>
    <w:rsid w:val="001D7F22"/>
    <w:rsid w:val="001F0AAF"/>
    <w:rsid w:val="001F0F17"/>
    <w:rsid w:val="001F1252"/>
    <w:rsid w:val="001F1F00"/>
    <w:rsid w:val="001F2056"/>
    <w:rsid w:val="001F3347"/>
    <w:rsid w:val="001F69E4"/>
    <w:rsid w:val="001F6B90"/>
    <w:rsid w:val="00211275"/>
    <w:rsid w:val="002116F4"/>
    <w:rsid w:val="002125B4"/>
    <w:rsid w:val="00214912"/>
    <w:rsid w:val="002155B8"/>
    <w:rsid w:val="00216CFD"/>
    <w:rsid w:val="00220AEA"/>
    <w:rsid w:val="00222D26"/>
    <w:rsid w:val="00224839"/>
    <w:rsid w:val="002249B2"/>
    <w:rsid w:val="00226574"/>
    <w:rsid w:val="00227807"/>
    <w:rsid w:val="002278EC"/>
    <w:rsid w:val="002279FE"/>
    <w:rsid w:val="002311C0"/>
    <w:rsid w:val="00232693"/>
    <w:rsid w:val="0023280E"/>
    <w:rsid w:val="00235541"/>
    <w:rsid w:val="002355AE"/>
    <w:rsid w:val="002377D1"/>
    <w:rsid w:val="00243829"/>
    <w:rsid w:val="00244DC7"/>
    <w:rsid w:val="0024544A"/>
    <w:rsid w:val="0024560C"/>
    <w:rsid w:val="00246899"/>
    <w:rsid w:val="002506BC"/>
    <w:rsid w:val="00254345"/>
    <w:rsid w:val="002545C4"/>
    <w:rsid w:val="0025752A"/>
    <w:rsid w:val="00264557"/>
    <w:rsid w:val="002701C8"/>
    <w:rsid w:val="0027350B"/>
    <w:rsid w:val="00275025"/>
    <w:rsid w:val="00277B0C"/>
    <w:rsid w:val="002805AB"/>
    <w:rsid w:val="00281D3F"/>
    <w:rsid w:val="00284204"/>
    <w:rsid w:val="00284B8E"/>
    <w:rsid w:val="00286DB4"/>
    <w:rsid w:val="0028701E"/>
    <w:rsid w:val="00287772"/>
    <w:rsid w:val="00291773"/>
    <w:rsid w:val="002926B5"/>
    <w:rsid w:val="002A10E5"/>
    <w:rsid w:val="002A168C"/>
    <w:rsid w:val="002A250A"/>
    <w:rsid w:val="002A3DC7"/>
    <w:rsid w:val="002A6364"/>
    <w:rsid w:val="002A6D3F"/>
    <w:rsid w:val="002A6F3B"/>
    <w:rsid w:val="002B0176"/>
    <w:rsid w:val="002B091E"/>
    <w:rsid w:val="002B10F6"/>
    <w:rsid w:val="002B223D"/>
    <w:rsid w:val="002B260D"/>
    <w:rsid w:val="002B49E2"/>
    <w:rsid w:val="002B4DD7"/>
    <w:rsid w:val="002B5A90"/>
    <w:rsid w:val="002B6547"/>
    <w:rsid w:val="002B7675"/>
    <w:rsid w:val="002B7B00"/>
    <w:rsid w:val="002B7C44"/>
    <w:rsid w:val="002C13C9"/>
    <w:rsid w:val="002C2725"/>
    <w:rsid w:val="002C2B17"/>
    <w:rsid w:val="002C612D"/>
    <w:rsid w:val="002C67F9"/>
    <w:rsid w:val="002D02E6"/>
    <w:rsid w:val="002D0D58"/>
    <w:rsid w:val="002D3705"/>
    <w:rsid w:val="002D3DD0"/>
    <w:rsid w:val="002D5E9A"/>
    <w:rsid w:val="002E1F3A"/>
    <w:rsid w:val="002E298A"/>
    <w:rsid w:val="002E2FEA"/>
    <w:rsid w:val="002E31E6"/>
    <w:rsid w:val="002E355D"/>
    <w:rsid w:val="002E7CFD"/>
    <w:rsid w:val="002F4097"/>
    <w:rsid w:val="002F7394"/>
    <w:rsid w:val="00301978"/>
    <w:rsid w:val="0030332C"/>
    <w:rsid w:val="0030407B"/>
    <w:rsid w:val="003051C2"/>
    <w:rsid w:val="00312296"/>
    <w:rsid w:val="00314768"/>
    <w:rsid w:val="00314F0E"/>
    <w:rsid w:val="00316EDA"/>
    <w:rsid w:val="00317D86"/>
    <w:rsid w:val="00320352"/>
    <w:rsid w:val="00320716"/>
    <w:rsid w:val="00321108"/>
    <w:rsid w:val="00321989"/>
    <w:rsid w:val="00321D8E"/>
    <w:rsid w:val="003223EB"/>
    <w:rsid w:val="0032272D"/>
    <w:rsid w:val="00324761"/>
    <w:rsid w:val="00325928"/>
    <w:rsid w:val="00330946"/>
    <w:rsid w:val="00330BFB"/>
    <w:rsid w:val="00331EA3"/>
    <w:rsid w:val="00332863"/>
    <w:rsid w:val="0033684D"/>
    <w:rsid w:val="00337B42"/>
    <w:rsid w:val="003415C3"/>
    <w:rsid w:val="00341B42"/>
    <w:rsid w:val="00342887"/>
    <w:rsid w:val="0034348F"/>
    <w:rsid w:val="00347D51"/>
    <w:rsid w:val="00347FFE"/>
    <w:rsid w:val="00355D90"/>
    <w:rsid w:val="00356653"/>
    <w:rsid w:val="0035743F"/>
    <w:rsid w:val="003578E6"/>
    <w:rsid w:val="00357BE2"/>
    <w:rsid w:val="00360F9E"/>
    <w:rsid w:val="0036170C"/>
    <w:rsid w:val="00363680"/>
    <w:rsid w:val="00364B9F"/>
    <w:rsid w:val="00365F48"/>
    <w:rsid w:val="00366E0F"/>
    <w:rsid w:val="00370386"/>
    <w:rsid w:val="00370A53"/>
    <w:rsid w:val="003741B4"/>
    <w:rsid w:val="00374A9F"/>
    <w:rsid w:val="00375BD0"/>
    <w:rsid w:val="00376751"/>
    <w:rsid w:val="003800BC"/>
    <w:rsid w:val="00381A72"/>
    <w:rsid w:val="00384676"/>
    <w:rsid w:val="0038575D"/>
    <w:rsid w:val="00385E59"/>
    <w:rsid w:val="0038754E"/>
    <w:rsid w:val="00387D2E"/>
    <w:rsid w:val="00390857"/>
    <w:rsid w:val="00394090"/>
    <w:rsid w:val="00394B60"/>
    <w:rsid w:val="00395FE0"/>
    <w:rsid w:val="0039630F"/>
    <w:rsid w:val="00397A32"/>
    <w:rsid w:val="003A08BB"/>
    <w:rsid w:val="003A4580"/>
    <w:rsid w:val="003A4BF3"/>
    <w:rsid w:val="003B420D"/>
    <w:rsid w:val="003B7EE2"/>
    <w:rsid w:val="003C11C9"/>
    <w:rsid w:val="003C31D9"/>
    <w:rsid w:val="003C3356"/>
    <w:rsid w:val="003C3871"/>
    <w:rsid w:val="003C4E23"/>
    <w:rsid w:val="003C5035"/>
    <w:rsid w:val="003C5D92"/>
    <w:rsid w:val="003C5E8E"/>
    <w:rsid w:val="003C6C16"/>
    <w:rsid w:val="003C7602"/>
    <w:rsid w:val="003D00D0"/>
    <w:rsid w:val="003D1D4B"/>
    <w:rsid w:val="003D51FC"/>
    <w:rsid w:val="003D6E66"/>
    <w:rsid w:val="003D794D"/>
    <w:rsid w:val="003D7E99"/>
    <w:rsid w:val="003D7F05"/>
    <w:rsid w:val="003E0202"/>
    <w:rsid w:val="003E0ED1"/>
    <w:rsid w:val="003E3058"/>
    <w:rsid w:val="003E31CF"/>
    <w:rsid w:val="003E76A9"/>
    <w:rsid w:val="003F0809"/>
    <w:rsid w:val="003F205F"/>
    <w:rsid w:val="003F4BCF"/>
    <w:rsid w:val="003F6A2C"/>
    <w:rsid w:val="003F6A8C"/>
    <w:rsid w:val="003F755C"/>
    <w:rsid w:val="0040018A"/>
    <w:rsid w:val="00401F19"/>
    <w:rsid w:val="00402240"/>
    <w:rsid w:val="004037CA"/>
    <w:rsid w:val="00403B9F"/>
    <w:rsid w:val="00404E1A"/>
    <w:rsid w:val="00405079"/>
    <w:rsid w:val="00406975"/>
    <w:rsid w:val="00406C5A"/>
    <w:rsid w:val="00406F01"/>
    <w:rsid w:val="00411CFC"/>
    <w:rsid w:val="0041479C"/>
    <w:rsid w:val="00416D50"/>
    <w:rsid w:val="00416FD5"/>
    <w:rsid w:val="00417772"/>
    <w:rsid w:val="00420C66"/>
    <w:rsid w:val="00420E6A"/>
    <w:rsid w:val="004212BB"/>
    <w:rsid w:val="004219EC"/>
    <w:rsid w:val="004232FC"/>
    <w:rsid w:val="00425A9E"/>
    <w:rsid w:val="00426A79"/>
    <w:rsid w:val="00426D6B"/>
    <w:rsid w:val="0042701E"/>
    <w:rsid w:val="004276C7"/>
    <w:rsid w:val="00431E6C"/>
    <w:rsid w:val="004336F9"/>
    <w:rsid w:val="00433CE7"/>
    <w:rsid w:val="0043460D"/>
    <w:rsid w:val="0043632F"/>
    <w:rsid w:val="0044153A"/>
    <w:rsid w:val="00444B31"/>
    <w:rsid w:val="00450FB7"/>
    <w:rsid w:val="0045213D"/>
    <w:rsid w:val="00452738"/>
    <w:rsid w:val="0045327E"/>
    <w:rsid w:val="0045399E"/>
    <w:rsid w:val="00456091"/>
    <w:rsid w:val="00465522"/>
    <w:rsid w:val="004662CD"/>
    <w:rsid w:val="00466321"/>
    <w:rsid w:val="00470188"/>
    <w:rsid w:val="00470E28"/>
    <w:rsid w:val="00473B19"/>
    <w:rsid w:val="004804AC"/>
    <w:rsid w:val="00481A2D"/>
    <w:rsid w:val="0048297C"/>
    <w:rsid w:val="00484604"/>
    <w:rsid w:val="00484B9B"/>
    <w:rsid w:val="004855F6"/>
    <w:rsid w:val="0048661E"/>
    <w:rsid w:val="00487749"/>
    <w:rsid w:val="00493478"/>
    <w:rsid w:val="00494670"/>
    <w:rsid w:val="00497A85"/>
    <w:rsid w:val="004A1576"/>
    <w:rsid w:val="004A28E6"/>
    <w:rsid w:val="004A3823"/>
    <w:rsid w:val="004A6EB7"/>
    <w:rsid w:val="004B3AD6"/>
    <w:rsid w:val="004B6A3E"/>
    <w:rsid w:val="004C05E5"/>
    <w:rsid w:val="004C182D"/>
    <w:rsid w:val="004C26A9"/>
    <w:rsid w:val="004C2BD4"/>
    <w:rsid w:val="004C37FE"/>
    <w:rsid w:val="004C3842"/>
    <w:rsid w:val="004C3955"/>
    <w:rsid w:val="004C6968"/>
    <w:rsid w:val="004C7033"/>
    <w:rsid w:val="004C7984"/>
    <w:rsid w:val="004D242F"/>
    <w:rsid w:val="004D3A3E"/>
    <w:rsid w:val="004D610A"/>
    <w:rsid w:val="004D795B"/>
    <w:rsid w:val="004D7BE6"/>
    <w:rsid w:val="004E12CC"/>
    <w:rsid w:val="004E184F"/>
    <w:rsid w:val="004E31CA"/>
    <w:rsid w:val="004E3C0F"/>
    <w:rsid w:val="004E66E8"/>
    <w:rsid w:val="004E6946"/>
    <w:rsid w:val="004F0DAD"/>
    <w:rsid w:val="004F1AD8"/>
    <w:rsid w:val="005039CB"/>
    <w:rsid w:val="0050558F"/>
    <w:rsid w:val="00506286"/>
    <w:rsid w:val="00510813"/>
    <w:rsid w:val="00511207"/>
    <w:rsid w:val="00511990"/>
    <w:rsid w:val="00511DE0"/>
    <w:rsid w:val="0051216F"/>
    <w:rsid w:val="00512F7F"/>
    <w:rsid w:val="00514870"/>
    <w:rsid w:val="00514B9B"/>
    <w:rsid w:val="0051524D"/>
    <w:rsid w:val="00517F02"/>
    <w:rsid w:val="00520BE7"/>
    <w:rsid w:val="0052120C"/>
    <w:rsid w:val="00524303"/>
    <w:rsid w:val="0052471D"/>
    <w:rsid w:val="005258A2"/>
    <w:rsid w:val="00527362"/>
    <w:rsid w:val="00527EB2"/>
    <w:rsid w:val="005300FC"/>
    <w:rsid w:val="00533C8D"/>
    <w:rsid w:val="005401AE"/>
    <w:rsid w:val="00542E07"/>
    <w:rsid w:val="00545424"/>
    <w:rsid w:val="005457C9"/>
    <w:rsid w:val="0054780F"/>
    <w:rsid w:val="00551F10"/>
    <w:rsid w:val="00554A7B"/>
    <w:rsid w:val="0055572C"/>
    <w:rsid w:val="00560CD5"/>
    <w:rsid w:val="0056106A"/>
    <w:rsid w:val="005616E2"/>
    <w:rsid w:val="00561BC2"/>
    <w:rsid w:val="00561BD0"/>
    <w:rsid w:val="00566226"/>
    <w:rsid w:val="00566FCB"/>
    <w:rsid w:val="00567041"/>
    <w:rsid w:val="0057060C"/>
    <w:rsid w:val="005720AE"/>
    <w:rsid w:val="005778B2"/>
    <w:rsid w:val="00582744"/>
    <w:rsid w:val="00584857"/>
    <w:rsid w:val="00585228"/>
    <w:rsid w:val="00585EA2"/>
    <w:rsid w:val="00586EB9"/>
    <w:rsid w:val="00594D77"/>
    <w:rsid w:val="005969E4"/>
    <w:rsid w:val="00596A55"/>
    <w:rsid w:val="005A06B7"/>
    <w:rsid w:val="005A0FA8"/>
    <w:rsid w:val="005A1759"/>
    <w:rsid w:val="005A2B94"/>
    <w:rsid w:val="005A374E"/>
    <w:rsid w:val="005A4ADB"/>
    <w:rsid w:val="005A5C81"/>
    <w:rsid w:val="005A68A7"/>
    <w:rsid w:val="005A7B37"/>
    <w:rsid w:val="005B1625"/>
    <w:rsid w:val="005B29BA"/>
    <w:rsid w:val="005B5B41"/>
    <w:rsid w:val="005B6160"/>
    <w:rsid w:val="005B7D61"/>
    <w:rsid w:val="005C4AD8"/>
    <w:rsid w:val="005C5F34"/>
    <w:rsid w:val="005D36AB"/>
    <w:rsid w:val="005E1BE4"/>
    <w:rsid w:val="005E5558"/>
    <w:rsid w:val="005E606F"/>
    <w:rsid w:val="005E7A9C"/>
    <w:rsid w:val="005F288F"/>
    <w:rsid w:val="005F7DF9"/>
    <w:rsid w:val="006017F1"/>
    <w:rsid w:val="00607579"/>
    <w:rsid w:val="006114D2"/>
    <w:rsid w:val="00615F8F"/>
    <w:rsid w:val="00617CC3"/>
    <w:rsid w:val="00623563"/>
    <w:rsid w:val="006251F0"/>
    <w:rsid w:val="006258FD"/>
    <w:rsid w:val="0062725B"/>
    <w:rsid w:val="00627807"/>
    <w:rsid w:val="0062786A"/>
    <w:rsid w:val="006301B2"/>
    <w:rsid w:val="00631134"/>
    <w:rsid w:val="006313B9"/>
    <w:rsid w:val="0063262B"/>
    <w:rsid w:val="00633DA3"/>
    <w:rsid w:val="00634DE6"/>
    <w:rsid w:val="00635A37"/>
    <w:rsid w:val="006364A3"/>
    <w:rsid w:val="006369EA"/>
    <w:rsid w:val="006377A6"/>
    <w:rsid w:val="00637A3D"/>
    <w:rsid w:val="006409B4"/>
    <w:rsid w:val="006411EF"/>
    <w:rsid w:val="00642DAB"/>
    <w:rsid w:val="006462AC"/>
    <w:rsid w:val="006462F3"/>
    <w:rsid w:val="00657755"/>
    <w:rsid w:val="006616B2"/>
    <w:rsid w:val="0066529F"/>
    <w:rsid w:val="006661E4"/>
    <w:rsid w:val="00667E99"/>
    <w:rsid w:val="0067107D"/>
    <w:rsid w:val="00673B8E"/>
    <w:rsid w:val="006748B8"/>
    <w:rsid w:val="006749F8"/>
    <w:rsid w:val="00674C28"/>
    <w:rsid w:val="006775C3"/>
    <w:rsid w:val="006807EF"/>
    <w:rsid w:val="00680918"/>
    <w:rsid w:val="00681796"/>
    <w:rsid w:val="006850C0"/>
    <w:rsid w:val="00686A2F"/>
    <w:rsid w:val="00691FE3"/>
    <w:rsid w:val="0069290A"/>
    <w:rsid w:val="00695763"/>
    <w:rsid w:val="0069775A"/>
    <w:rsid w:val="00697813"/>
    <w:rsid w:val="006A3EE8"/>
    <w:rsid w:val="006A6E27"/>
    <w:rsid w:val="006A72BF"/>
    <w:rsid w:val="006B03F2"/>
    <w:rsid w:val="006B1269"/>
    <w:rsid w:val="006B37DC"/>
    <w:rsid w:val="006B4F68"/>
    <w:rsid w:val="006B65DF"/>
    <w:rsid w:val="006C0592"/>
    <w:rsid w:val="006C0921"/>
    <w:rsid w:val="006C272E"/>
    <w:rsid w:val="006C3EC0"/>
    <w:rsid w:val="006C5479"/>
    <w:rsid w:val="006C6471"/>
    <w:rsid w:val="006C64D5"/>
    <w:rsid w:val="006C6D3D"/>
    <w:rsid w:val="006D01D6"/>
    <w:rsid w:val="006D13B5"/>
    <w:rsid w:val="006D32DD"/>
    <w:rsid w:val="006D36AD"/>
    <w:rsid w:val="006D4243"/>
    <w:rsid w:val="006E00E1"/>
    <w:rsid w:val="006E12FF"/>
    <w:rsid w:val="006E18BB"/>
    <w:rsid w:val="006E421F"/>
    <w:rsid w:val="006E607E"/>
    <w:rsid w:val="006F1509"/>
    <w:rsid w:val="006F3758"/>
    <w:rsid w:val="006F4CB9"/>
    <w:rsid w:val="007013AF"/>
    <w:rsid w:val="00701C93"/>
    <w:rsid w:val="00702212"/>
    <w:rsid w:val="0070600D"/>
    <w:rsid w:val="00706BAB"/>
    <w:rsid w:val="00706C5D"/>
    <w:rsid w:val="00707293"/>
    <w:rsid w:val="00711646"/>
    <w:rsid w:val="00712478"/>
    <w:rsid w:val="00715E44"/>
    <w:rsid w:val="00715E93"/>
    <w:rsid w:val="007162CA"/>
    <w:rsid w:val="00717E82"/>
    <w:rsid w:val="0072082E"/>
    <w:rsid w:val="00720AAD"/>
    <w:rsid w:val="00720C29"/>
    <w:rsid w:val="0072547A"/>
    <w:rsid w:val="007258E1"/>
    <w:rsid w:val="00725C3F"/>
    <w:rsid w:val="00726B8D"/>
    <w:rsid w:val="007271DB"/>
    <w:rsid w:val="00732922"/>
    <w:rsid w:val="0073690E"/>
    <w:rsid w:val="00737BFF"/>
    <w:rsid w:val="007403F1"/>
    <w:rsid w:val="0074087B"/>
    <w:rsid w:val="007444A5"/>
    <w:rsid w:val="00745320"/>
    <w:rsid w:val="00750B42"/>
    <w:rsid w:val="00751403"/>
    <w:rsid w:val="0075162E"/>
    <w:rsid w:val="00751C4D"/>
    <w:rsid w:val="00751CE3"/>
    <w:rsid w:val="00752BEE"/>
    <w:rsid w:val="00754034"/>
    <w:rsid w:val="00756556"/>
    <w:rsid w:val="007618C4"/>
    <w:rsid w:val="00764CF5"/>
    <w:rsid w:val="0076653D"/>
    <w:rsid w:val="00767093"/>
    <w:rsid w:val="00767980"/>
    <w:rsid w:val="00770B19"/>
    <w:rsid w:val="00772605"/>
    <w:rsid w:val="00773ED4"/>
    <w:rsid w:val="0077463F"/>
    <w:rsid w:val="00776E5C"/>
    <w:rsid w:val="0078069B"/>
    <w:rsid w:val="007836E6"/>
    <w:rsid w:val="007836EA"/>
    <w:rsid w:val="00783B32"/>
    <w:rsid w:val="007842D3"/>
    <w:rsid w:val="00784CDA"/>
    <w:rsid w:val="00785C46"/>
    <w:rsid w:val="007906C4"/>
    <w:rsid w:val="00792F90"/>
    <w:rsid w:val="007940EA"/>
    <w:rsid w:val="007950B8"/>
    <w:rsid w:val="007967E8"/>
    <w:rsid w:val="007A2170"/>
    <w:rsid w:val="007A22BF"/>
    <w:rsid w:val="007A2379"/>
    <w:rsid w:val="007A2858"/>
    <w:rsid w:val="007A32E3"/>
    <w:rsid w:val="007A3323"/>
    <w:rsid w:val="007A397C"/>
    <w:rsid w:val="007A4B76"/>
    <w:rsid w:val="007A635B"/>
    <w:rsid w:val="007B2648"/>
    <w:rsid w:val="007B2C2B"/>
    <w:rsid w:val="007B3BBF"/>
    <w:rsid w:val="007B444A"/>
    <w:rsid w:val="007B4A21"/>
    <w:rsid w:val="007B5569"/>
    <w:rsid w:val="007B6229"/>
    <w:rsid w:val="007B6AD5"/>
    <w:rsid w:val="007B6C30"/>
    <w:rsid w:val="007B72B8"/>
    <w:rsid w:val="007B7A58"/>
    <w:rsid w:val="007C034F"/>
    <w:rsid w:val="007C21B5"/>
    <w:rsid w:val="007C2DE3"/>
    <w:rsid w:val="007C5B31"/>
    <w:rsid w:val="007C6631"/>
    <w:rsid w:val="007C799E"/>
    <w:rsid w:val="007D20FE"/>
    <w:rsid w:val="007D4386"/>
    <w:rsid w:val="007D63FF"/>
    <w:rsid w:val="007E4BD2"/>
    <w:rsid w:val="007E629E"/>
    <w:rsid w:val="007E6A71"/>
    <w:rsid w:val="007F51A7"/>
    <w:rsid w:val="007F5DA2"/>
    <w:rsid w:val="00801325"/>
    <w:rsid w:val="00801393"/>
    <w:rsid w:val="00802557"/>
    <w:rsid w:val="00802F88"/>
    <w:rsid w:val="00803F7B"/>
    <w:rsid w:val="0080425E"/>
    <w:rsid w:val="00806FE2"/>
    <w:rsid w:val="00811246"/>
    <w:rsid w:val="0081293E"/>
    <w:rsid w:val="00815465"/>
    <w:rsid w:val="00815650"/>
    <w:rsid w:val="00817E9A"/>
    <w:rsid w:val="008208BC"/>
    <w:rsid w:val="008228DE"/>
    <w:rsid w:val="008306BD"/>
    <w:rsid w:val="00830A38"/>
    <w:rsid w:val="00831A80"/>
    <w:rsid w:val="00833743"/>
    <w:rsid w:val="008340A4"/>
    <w:rsid w:val="00836458"/>
    <w:rsid w:val="00837DD6"/>
    <w:rsid w:val="00846777"/>
    <w:rsid w:val="00847918"/>
    <w:rsid w:val="00847CA9"/>
    <w:rsid w:val="008552FA"/>
    <w:rsid w:val="00856095"/>
    <w:rsid w:val="00862A64"/>
    <w:rsid w:val="00863E07"/>
    <w:rsid w:val="0086481A"/>
    <w:rsid w:val="00866A9E"/>
    <w:rsid w:val="00870A32"/>
    <w:rsid w:val="00870AAC"/>
    <w:rsid w:val="0087135F"/>
    <w:rsid w:val="00872D94"/>
    <w:rsid w:val="00873B57"/>
    <w:rsid w:val="008762A5"/>
    <w:rsid w:val="00880364"/>
    <w:rsid w:val="008822E5"/>
    <w:rsid w:val="008847B5"/>
    <w:rsid w:val="00885193"/>
    <w:rsid w:val="00887ADD"/>
    <w:rsid w:val="00890A89"/>
    <w:rsid w:val="00890FB9"/>
    <w:rsid w:val="008914F1"/>
    <w:rsid w:val="00891592"/>
    <w:rsid w:val="00891E9E"/>
    <w:rsid w:val="008A2179"/>
    <w:rsid w:val="008A2C4C"/>
    <w:rsid w:val="008A2F68"/>
    <w:rsid w:val="008A34E3"/>
    <w:rsid w:val="008A3D33"/>
    <w:rsid w:val="008B3A6B"/>
    <w:rsid w:val="008B4FA6"/>
    <w:rsid w:val="008B519C"/>
    <w:rsid w:val="008B51A4"/>
    <w:rsid w:val="008B5282"/>
    <w:rsid w:val="008B6033"/>
    <w:rsid w:val="008B7C17"/>
    <w:rsid w:val="008C0684"/>
    <w:rsid w:val="008C13D2"/>
    <w:rsid w:val="008C2D01"/>
    <w:rsid w:val="008C40E6"/>
    <w:rsid w:val="008C6454"/>
    <w:rsid w:val="008C73DB"/>
    <w:rsid w:val="008D0F7A"/>
    <w:rsid w:val="008D1067"/>
    <w:rsid w:val="008D2687"/>
    <w:rsid w:val="008D404A"/>
    <w:rsid w:val="008D4DEC"/>
    <w:rsid w:val="008D4E61"/>
    <w:rsid w:val="008D68E4"/>
    <w:rsid w:val="008E0506"/>
    <w:rsid w:val="008E0CFF"/>
    <w:rsid w:val="008E132D"/>
    <w:rsid w:val="008E2575"/>
    <w:rsid w:val="008E2F47"/>
    <w:rsid w:val="008E4A25"/>
    <w:rsid w:val="008E5D6B"/>
    <w:rsid w:val="008E6243"/>
    <w:rsid w:val="008E76F0"/>
    <w:rsid w:val="008F0A87"/>
    <w:rsid w:val="008F15FE"/>
    <w:rsid w:val="008F2D29"/>
    <w:rsid w:val="008F3A2B"/>
    <w:rsid w:val="008F5187"/>
    <w:rsid w:val="008F60D8"/>
    <w:rsid w:val="008F63CC"/>
    <w:rsid w:val="00901DA8"/>
    <w:rsid w:val="0090249C"/>
    <w:rsid w:val="00902727"/>
    <w:rsid w:val="0090312B"/>
    <w:rsid w:val="00904317"/>
    <w:rsid w:val="00905F1C"/>
    <w:rsid w:val="00907564"/>
    <w:rsid w:val="00907A31"/>
    <w:rsid w:val="00910017"/>
    <w:rsid w:val="00910FDB"/>
    <w:rsid w:val="0091107A"/>
    <w:rsid w:val="009131C2"/>
    <w:rsid w:val="009135C3"/>
    <w:rsid w:val="009166CA"/>
    <w:rsid w:val="0091736D"/>
    <w:rsid w:val="00922EBC"/>
    <w:rsid w:val="00927260"/>
    <w:rsid w:val="0093037A"/>
    <w:rsid w:val="00934C21"/>
    <w:rsid w:val="00935DE3"/>
    <w:rsid w:val="0094154D"/>
    <w:rsid w:val="00944C70"/>
    <w:rsid w:val="00950AAE"/>
    <w:rsid w:val="00950B3F"/>
    <w:rsid w:val="00950F3B"/>
    <w:rsid w:val="0095155F"/>
    <w:rsid w:val="00954429"/>
    <w:rsid w:val="009563CE"/>
    <w:rsid w:val="009634AE"/>
    <w:rsid w:val="00966C6F"/>
    <w:rsid w:val="009677CD"/>
    <w:rsid w:val="00967907"/>
    <w:rsid w:val="00972181"/>
    <w:rsid w:val="00973D1F"/>
    <w:rsid w:val="009748B6"/>
    <w:rsid w:val="00974C21"/>
    <w:rsid w:val="00974E34"/>
    <w:rsid w:val="00976328"/>
    <w:rsid w:val="0097680D"/>
    <w:rsid w:val="00982438"/>
    <w:rsid w:val="00982AF1"/>
    <w:rsid w:val="0098404C"/>
    <w:rsid w:val="00984C1E"/>
    <w:rsid w:val="00985283"/>
    <w:rsid w:val="00985986"/>
    <w:rsid w:val="009859F5"/>
    <w:rsid w:val="00987284"/>
    <w:rsid w:val="009876E7"/>
    <w:rsid w:val="00990AD9"/>
    <w:rsid w:val="009930A5"/>
    <w:rsid w:val="00995624"/>
    <w:rsid w:val="00995992"/>
    <w:rsid w:val="009A03E5"/>
    <w:rsid w:val="009A04F9"/>
    <w:rsid w:val="009A0F3B"/>
    <w:rsid w:val="009A1BB4"/>
    <w:rsid w:val="009A261A"/>
    <w:rsid w:val="009A2628"/>
    <w:rsid w:val="009A3200"/>
    <w:rsid w:val="009A5931"/>
    <w:rsid w:val="009A5B59"/>
    <w:rsid w:val="009B0897"/>
    <w:rsid w:val="009B5901"/>
    <w:rsid w:val="009B6181"/>
    <w:rsid w:val="009B6216"/>
    <w:rsid w:val="009B669E"/>
    <w:rsid w:val="009B7BD9"/>
    <w:rsid w:val="009C05D7"/>
    <w:rsid w:val="009C2D93"/>
    <w:rsid w:val="009C3048"/>
    <w:rsid w:val="009C3E49"/>
    <w:rsid w:val="009C51AE"/>
    <w:rsid w:val="009C7C7E"/>
    <w:rsid w:val="009C7DD5"/>
    <w:rsid w:val="009D4839"/>
    <w:rsid w:val="009D56F9"/>
    <w:rsid w:val="009D71A6"/>
    <w:rsid w:val="009E227D"/>
    <w:rsid w:val="009E271E"/>
    <w:rsid w:val="009E5019"/>
    <w:rsid w:val="009E56A0"/>
    <w:rsid w:val="009E7EDA"/>
    <w:rsid w:val="009F040B"/>
    <w:rsid w:val="009F6163"/>
    <w:rsid w:val="009F7ABC"/>
    <w:rsid w:val="00A0122D"/>
    <w:rsid w:val="00A0388A"/>
    <w:rsid w:val="00A043C4"/>
    <w:rsid w:val="00A04F1B"/>
    <w:rsid w:val="00A0501B"/>
    <w:rsid w:val="00A06D6C"/>
    <w:rsid w:val="00A07F1F"/>
    <w:rsid w:val="00A1081C"/>
    <w:rsid w:val="00A11B99"/>
    <w:rsid w:val="00A12FD6"/>
    <w:rsid w:val="00A14374"/>
    <w:rsid w:val="00A14947"/>
    <w:rsid w:val="00A1598D"/>
    <w:rsid w:val="00A24595"/>
    <w:rsid w:val="00A24A45"/>
    <w:rsid w:val="00A25D9C"/>
    <w:rsid w:val="00A32109"/>
    <w:rsid w:val="00A32A83"/>
    <w:rsid w:val="00A3684B"/>
    <w:rsid w:val="00A368DB"/>
    <w:rsid w:val="00A409CB"/>
    <w:rsid w:val="00A423AA"/>
    <w:rsid w:val="00A446FF"/>
    <w:rsid w:val="00A4685E"/>
    <w:rsid w:val="00A46E33"/>
    <w:rsid w:val="00A53EC6"/>
    <w:rsid w:val="00A558BA"/>
    <w:rsid w:val="00A55C0F"/>
    <w:rsid w:val="00A61B61"/>
    <w:rsid w:val="00A62300"/>
    <w:rsid w:val="00A643E4"/>
    <w:rsid w:val="00A64E96"/>
    <w:rsid w:val="00A72AB6"/>
    <w:rsid w:val="00A72B87"/>
    <w:rsid w:val="00A7579E"/>
    <w:rsid w:val="00A777FC"/>
    <w:rsid w:val="00A845D4"/>
    <w:rsid w:val="00A84BCA"/>
    <w:rsid w:val="00A86805"/>
    <w:rsid w:val="00A8713F"/>
    <w:rsid w:val="00A87534"/>
    <w:rsid w:val="00A8765E"/>
    <w:rsid w:val="00A90BA1"/>
    <w:rsid w:val="00A9128A"/>
    <w:rsid w:val="00A91B73"/>
    <w:rsid w:val="00A937FD"/>
    <w:rsid w:val="00A97A9A"/>
    <w:rsid w:val="00AA0671"/>
    <w:rsid w:val="00AA0A69"/>
    <w:rsid w:val="00AA0C09"/>
    <w:rsid w:val="00AA2531"/>
    <w:rsid w:val="00AA3D23"/>
    <w:rsid w:val="00AA4A5A"/>
    <w:rsid w:val="00AB1E09"/>
    <w:rsid w:val="00AB2001"/>
    <w:rsid w:val="00AB4CAE"/>
    <w:rsid w:val="00AB5330"/>
    <w:rsid w:val="00AB590B"/>
    <w:rsid w:val="00AB7747"/>
    <w:rsid w:val="00AC14CE"/>
    <w:rsid w:val="00AC280D"/>
    <w:rsid w:val="00AC2A56"/>
    <w:rsid w:val="00AC5982"/>
    <w:rsid w:val="00AC7F2E"/>
    <w:rsid w:val="00AD055E"/>
    <w:rsid w:val="00AD3507"/>
    <w:rsid w:val="00AD47A7"/>
    <w:rsid w:val="00AD6395"/>
    <w:rsid w:val="00AE1079"/>
    <w:rsid w:val="00AE2CD7"/>
    <w:rsid w:val="00AE3856"/>
    <w:rsid w:val="00AE7065"/>
    <w:rsid w:val="00AF0CBF"/>
    <w:rsid w:val="00AF0FC0"/>
    <w:rsid w:val="00AF257F"/>
    <w:rsid w:val="00AF33CF"/>
    <w:rsid w:val="00AF3A86"/>
    <w:rsid w:val="00AF4D50"/>
    <w:rsid w:val="00AF571E"/>
    <w:rsid w:val="00AF6179"/>
    <w:rsid w:val="00AF7BDB"/>
    <w:rsid w:val="00B00A4C"/>
    <w:rsid w:val="00B04F65"/>
    <w:rsid w:val="00B05385"/>
    <w:rsid w:val="00B0645F"/>
    <w:rsid w:val="00B079DA"/>
    <w:rsid w:val="00B1057E"/>
    <w:rsid w:val="00B115DE"/>
    <w:rsid w:val="00B11B8E"/>
    <w:rsid w:val="00B1295A"/>
    <w:rsid w:val="00B14A0E"/>
    <w:rsid w:val="00B150C3"/>
    <w:rsid w:val="00B20A45"/>
    <w:rsid w:val="00B212E1"/>
    <w:rsid w:val="00B22A9D"/>
    <w:rsid w:val="00B22C5C"/>
    <w:rsid w:val="00B23129"/>
    <w:rsid w:val="00B24F30"/>
    <w:rsid w:val="00B3195A"/>
    <w:rsid w:val="00B31ABF"/>
    <w:rsid w:val="00B33BE3"/>
    <w:rsid w:val="00B351EE"/>
    <w:rsid w:val="00B36427"/>
    <w:rsid w:val="00B442EF"/>
    <w:rsid w:val="00B44719"/>
    <w:rsid w:val="00B44F64"/>
    <w:rsid w:val="00B47643"/>
    <w:rsid w:val="00B53511"/>
    <w:rsid w:val="00B53B5D"/>
    <w:rsid w:val="00B5516A"/>
    <w:rsid w:val="00B5627C"/>
    <w:rsid w:val="00B6055E"/>
    <w:rsid w:val="00B6317D"/>
    <w:rsid w:val="00B65F30"/>
    <w:rsid w:val="00B66D8B"/>
    <w:rsid w:val="00B67D66"/>
    <w:rsid w:val="00B72EFB"/>
    <w:rsid w:val="00B73A38"/>
    <w:rsid w:val="00B75783"/>
    <w:rsid w:val="00B75C74"/>
    <w:rsid w:val="00B7723F"/>
    <w:rsid w:val="00B7754B"/>
    <w:rsid w:val="00B777CB"/>
    <w:rsid w:val="00B80534"/>
    <w:rsid w:val="00B823AE"/>
    <w:rsid w:val="00B8433C"/>
    <w:rsid w:val="00B864C2"/>
    <w:rsid w:val="00B87491"/>
    <w:rsid w:val="00B948F7"/>
    <w:rsid w:val="00B94EE3"/>
    <w:rsid w:val="00B97DA4"/>
    <w:rsid w:val="00BA0D7C"/>
    <w:rsid w:val="00BA10CF"/>
    <w:rsid w:val="00BA29E9"/>
    <w:rsid w:val="00BA3782"/>
    <w:rsid w:val="00BA3D98"/>
    <w:rsid w:val="00BA7142"/>
    <w:rsid w:val="00BB0106"/>
    <w:rsid w:val="00BB0B99"/>
    <w:rsid w:val="00BB237C"/>
    <w:rsid w:val="00BB2AB4"/>
    <w:rsid w:val="00BB380C"/>
    <w:rsid w:val="00BB41A3"/>
    <w:rsid w:val="00BC1238"/>
    <w:rsid w:val="00BC1432"/>
    <w:rsid w:val="00BC2258"/>
    <w:rsid w:val="00BC32DC"/>
    <w:rsid w:val="00BC35B6"/>
    <w:rsid w:val="00BC5777"/>
    <w:rsid w:val="00BC6531"/>
    <w:rsid w:val="00BC7C18"/>
    <w:rsid w:val="00BD0C17"/>
    <w:rsid w:val="00BD1B51"/>
    <w:rsid w:val="00BD33C0"/>
    <w:rsid w:val="00BD3484"/>
    <w:rsid w:val="00BD348E"/>
    <w:rsid w:val="00BD3808"/>
    <w:rsid w:val="00BD4596"/>
    <w:rsid w:val="00BD4C63"/>
    <w:rsid w:val="00BD6E67"/>
    <w:rsid w:val="00BD7920"/>
    <w:rsid w:val="00BE053C"/>
    <w:rsid w:val="00BE0ADA"/>
    <w:rsid w:val="00BE1405"/>
    <w:rsid w:val="00BE312D"/>
    <w:rsid w:val="00BE3597"/>
    <w:rsid w:val="00BE35C3"/>
    <w:rsid w:val="00BE3CA5"/>
    <w:rsid w:val="00BE4DC5"/>
    <w:rsid w:val="00BE7305"/>
    <w:rsid w:val="00BF19C9"/>
    <w:rsid w:val="00BF1C20"/>
    <w:rsid w:val="00BF2523"/>
    <w:rsid w:val="00BF34B2"/>
    <w:rsid w:val="00BF35CA"/>
    <w:rsid w:val="00BF4FA3"/>
    <w:rsid w:val="00C01CEF"/>
    <w:rsid w:val="00C04114"/>
    <w:rsid w:val="00C05337"/>
    <w:rsid w:val="00C06452"/>
    <w:rsid w:val="00C06D9B"/>
    <w:rsid w:val="00C06EA1"/>
    <w:rsid w:val="00C0720D"/>
    <w:rsid w:val="00C10578"/>
    <w:rsid w:val="00C121FE"/>
    <w:rsid w:val="00C12D09"/>
    <w:rsid w:val="00C135BC"/>
    <w:rsid w:val="00C15C95"/>
    <w:rsid w:val="00C2059E"/>
    <w:rsid w:val="00C205E6"/>
    <w:rsid w:val="00C22614"/>
    <w:rsid w:val="00C2596A"/>
    <w:rsid w:val="00C27537"/>
    <w:rsid w:val="00C27BDF"/>
    <w:rsid w:val="00C328FE"/>
    <w:rsid w:val="00C33507"/>
    <w:rsid w:val="00C34B83"/>
    <w:rsid w:val="00C40E97"/>
    <w:rsid w:val="00C4189A"/>
    <w:rsid w:val="00C41F27"/>
    <w:rsid w:val="00C426CB"/>
    <w:rsid w:val="00C42726"/>
    <w:rsid w:val="00C42D24"/>
    <w:rsid w:val="00C4409D"/>
    <w:rsid w:val="00C44E72"/>
    <w:rsid w:val="00C45A06"/>
    <w:rsid w:val="00C47E5B"/>
    <w:rsid w:val="00C508A1"/>
    <w:rsid w:val="00C50BC2"/>
    <w:rsid w:val="00C531A9"/>
    <w:rsid w:val="00C600F9"/>
    <w:rsid w:val="00C61E4B"/>
    <w:rsid w:val="00C63425"/>
    <w:rsid w:val="00C64BFF"/>
    <w:rsid w:val="00C704E9"/>
    <w:rsid w:val="00C7189E"/>
    <w:rsid w:val="00C718A5"/>
    <w:rsid w:val="00C73437"/>
    <w:rsid w:val="00C75B64"/>
    <w:rsid w:val="00C75FFB"/>
    <w:rsid w:val="00C763C9"/>
    <w:rsid w:val="00C76854"/>
    <w:rsid w:val="00C77E22"/>
    <w:rsid w:val="00C80057"/>
    <w:rsid w:val="00C82232"/>
    <w:rsid w:val="00C82913"/>
    <w:rsid w:val="00C82E62"/>
    <w:rsid w:val="00C847C8"/>
    <w:rsid w:val="00C862FE"/>
    <w:rsid w:val="00C91427"/>
    <w:rsid w:val="00C96558"/>
    <w:rsid w:val="00C968ED"/>
    <w:rsid w:val="00C96FCA"/>
    <w:rsid w:val="00C972B1"/>
    <w:rsid w:val="00CA2CCE"/>
    <w:rsid w:val="00CA346C"/>
    <w:rsid w:val="00CA43FD"/>
    <w:rsid w:val="00CA7EF8"/>
    <w:rsid w:val="00CB0DDE"/>
    <w:rsid w:val="00CB10F1"/>
    <w:rsid w:val="00CB2530"/>
    <w:rsid w:val="00CB2D96"/>
    <w:rsid w:val="00CB3C6B"/>
    <w:rsid w:val="00CB4A14"/>
    <w:rsid w:val="00CB7383"/>
    <w:rsid w:val="00CC0B9C"/>
    <w:rsid w:val="00CC489B"/>
    <w:rsid w:val="00CC5629"/>
    <w:rsid w:val="00CC71D2"/>
    <w:rsid w:val="00CD05D6"/>
    <w:rsid w:val="00CD2BCD"/>
    <w:rsid w:val="00CD3A4C"/>
    <w:rsid w:val="00CD4B22"/>
    <w:rsid w:val="00CE10E9"/>
    <w:rsid w:val="00CE2910"/>
    <w:rsid w:val="00CE3CA8"/>
    <w:rsid w:val="00CE5393"/>
    <w:rsid w:val="00CF0258"/>
    <w:rsid w:val="00CF0DCF"/>
    <w:rsid w:val="00CF36BE"/>
    <w:rsid w:val="00CF3FF4"/>
    <w:rsid w:val="00CF6000"/>
    <w:rsid w:val="00CF6028"/>
    <w:rsid w:val="00D00308"/>
    <w:rsid w:val="00D003F3"/>
    <w:rsid w:val="00D0364F"/>
    <w:rsid w:val="00D040C2"/>
    <w:rsid w:val="00D05078"/>
    <w:rsid w:val="00D05C3D"/>
    <w:rsid w:val="00D06834"/>
    <w:rsid w:val="00D10E0D"/>
    <w:rsid w:val="00D12A30"/>
    <w:rsid w:val="00D172A1"/>
    <w:rsid w:val="00D247E4"/>
    <w:rsid w:val="00D308ED"/>
    <w:rsid w:val="00D32EF5"/>
    <w:rsid w:val="00D36D86"/>
    <w:rsid w:val="00D37C6C"/>
    <w:rsid w:val="00D37CC8"/>
    <w:rsid w:val="00D42624"/>
    <w:rsid w:val="00D428AA"/>
    <w:rsid w:val="00D429A9"/>
    <w:rsid w:val="00D4439B"/>
    <w:rsid w:val="00D446C9"/>
    <w:rsid w:val="00D46511"/>
    <w:rsid w:val="00D46931"/>
    <w:rsid w:val="00D50A34"/>
    <w:rsid w:val="00D53EFA"/>
    <w:rsid w:val="00D57071"/>
    <w:rsid w:val="00D60E22"/>
    <w:rsid w:val="00D61FC1"/>
    <w:rsid w:val="00D62724"/>
    <w:rsid w:val="00D6363D"/>
    <w:rsid w:val="00D6579B"/>
    <w:rsid w:val="00D65A01"/>
    <w:rsid w:val="00D65EC9"/>
    <w:rsid w:val="00D66191"/>
    <w:rsid w:val="00D70F2A"/>
    <w:rsid w:val="00D720DC"/>
    <w:rsid w:val="00D720E3"/>
    <w:rsid w:val="00D72684"/>
    <w:rsid w:val="00D74F58"/>
    <w:rsid w:val="00D76D7A"/>
    <w:rsid w:val="00D94A7C"/>
    <w:rsid w:val="00D95896"/>
    <w:rsid w:val="00D96A1F"/>
    <w:rsid w:val="00D973C6"/>
    <w:rsid w:val="00DA0859"/>
    <w:rsid w:val="00DA0B72"/>
    <w:rsid w:val="00DA1630"/>
    <w:rsid w:val="00DA2AF4"/>
    <w:rsid w:val="00DA38C6"/>
    <w:rsid w:val="00DA555A"/>
    <w:rsid w:val="00DA63CD"/>
    <w:rsid w:val="00DA7A4B"/>
    <w:rsid w:val="00DB2983"/>
    <w:rsid w:val="00DB4EAD"/>
    <w:rsid w:val="00DC1257"/>
    <w:rsid w:val="00DC3DC0"/>
    <w:rsid w:val="00DC3F26"/>
    <w:rsid w:val="00DC5902"/>
    <w:rsid w:val="00DC5B2B"/>
    <w:rsid w:val="00DD318D"/>
    <w:rsid w:val="00DE2D34"/>
    <w:rsid w:val="00DE649E"/>
    <w:rsid w:val="00DE7509"/>
    <w:rsid w:val="00DF0495"/>
    <w:rsid w:val="00DF1D77"/>
    <w:rsid w:val="00DF2085"/>
    <w:rsid w:val="00DF2D8B"/>
    <w:rsid w:val="00DF2E12"/>
    <w:rsid w:val="00DF514A"/>
    <w:rsid w:val="00DF6690"/>
    <w:rsid w:val="00DF6804"/>
    <w:rsid w:val="00DF6C2F"/>
    <w:rsid w:val="00E0358D"/>
    <w:rsid w:val="00E04323"/>
    <w:rsid w:val="00E070A2"/>
    <w:rsid w:val="00E11096"/>
    <w:rsid w:val="00E13B5C"/>
    <w:rsid w:val="00E152F9"/>
    <w:rsid w:val="00E16290"/>
    <w:rsid w:val="00E162FA"/>
    <w:rsid w:val="00E20B48"/>
    <w:rsid w:val="00E231AD"/>
    <w:rsid w:val="00E24B34"/>
    <w:rsid w:val="00E2656A"/>
    <w:rsid w:val="00E3125B"/>
    <w:rsid w:val="00E35CC6"/>
    <w:rsid w:val="00E35D30"/>
    <w:rsid w:val="00E40D19"/>
    <w:rsid w:val="00E412D0"/>
    <w:rsid w:val="00E42BAC"/>
    <w:rsid w:val="00E448E6"/>
    <w:rsid w:val="00E47E1B"/>
    <w:rsid w:val="00E52A83"/>
    <w:rsid w:val="00E530D4"/>
    <w:rsid w:val="00E56322"/>
    <w:rsid w:val="00E56C64"/>
    <w:rsid w:val="00E576C1"/>
    <w:rsid w:val="00E60982"/>
    <w:rsid w:val="00E62C62"/>
    <w:rsid w:val="00E63BE2"/>
    <w:rsid w:val="00E654C1"/>
    <w:rsid w:val="00E657B3"/>
    <w:rsid w:val="00E65D97"/>
    <w:rsid w:val="00E70B41"/>
    <w:rsid w:val="00E7282D"/>
    <w:rsid w:val="00E72A5A"/>
    <w:rsid w:val="00E73354"/>
    <w:rsid w:val="00E75707"/>
    <w:rsid w:val="00E757EF"/>
    <w:rsid w:val="00E80180"/>
    <w:rsid w:val="00E856BC"/>
    <w:rsid w:val="00E86F48"/>
    <w:rsid w:val="00E9158F"/>
    <w:rsid w:val="00E9242D"/>
    <w:rsid w:val="00E92873"/>
    <w:rsid w:val="00E967AB"/>
    <w:rsid w:val="00EB073E"/>
    <w:rsid w:val="00EB5255"/>
    <w:rsid w:val="00EB58B7"/>
    <w:rsid w:val="00EB5C47"/>
    <w:rsid w:val="00EC28BF"/>
    <w:rsid w:val="00ED0639"/>
    <w:rsid w:val="00ED14B4"/>
    <w:rsid w:val="00ED5421"/>
    <w:rsid w:val="00EE3AAD"/>
    <w:rsid w:val="00EE3E38"/>
    <w:rsid w:val="00EF1DA1"/>
    <w:rsid w:val="00EF4755"/>
    <w:rsid w:val="00EF57C0"/>
    <w:rsid w:val="00EF7135"/>
    <w:rsid w:val="00F01E0A"/>
    <w:rsid w:val="00F027DB"/>
    <w:rsid w:val="00F04110"/>
    <w:rsid w:val="00F04909"/>
    <w:rsid w:val="00F078DE"/>
    <w:rsid w:val="00F07FBF"/>
    <w:rsid w:val="00F11BBB"/>
    <w:rsid w:val="00F14A7A"/>
    <w:rsid w:val="00F151E2"/>
    <w:rsid w:val="00F15FDB"/>
    <w:rsid w:val="00F16BAD"/>
    <w:rsid w:val="00F17B97"/>
    <w:rsid w:val="00F22985"/>
    <w:rsid w:val="00F24526"/>
    <w:rsid w:val="00F25A9D"/>
    <w:rsid w:val="00F25BA6"/>
    <w:rsid w:val="00F275EB"/>
    <w:rsid w:val="00F328B6"/>
    <w:rsid w:val="00F3383E"/>
    <w:rsid w:val="00F35C51"/>
    <w:rsid w:val="00F36CC5"/>
    <w:rsid w:val="00F36FB2"/>
    <w:rsid w:val="00F4484F"/>
    <w:rsid w:val="00F465A7"/>
    <w:rsid w:val="00F509F7"/>
    <w:rsid w:val="00F50B7C"/>
    <w:rsid w:val="00F54872"/>
    <w:rsid w:val="00F54998"/>
    <w:rsid w:val="00F550E6"/>
    <w:rsid w:val="00F60B9A"/>
    <w:rsid w:val="00F61E87"/>
    <w:rsid w:val="00F63907"/>
    <w:rsid w:val="00F65997"/>
    <w:rsid w:val="00F65AEF"/>
    <w:rsid w:val="00F66055"/>
    <w:rsid w:val="00F66948"/>
    <w:rsid w:val="00F705AF"/>
    <w:rsid w:val="00F725BC"/>
    <w:rsid w:val="00F74345"/>
    <w:rsid w:val="00F75D9E"/>
    <w:rsid w:val="00F765EC"/>
    <w:rsid w:val="00F7665D"/>
    <w:rsid w:val="00F76697"/>
    <w:rsid w:val="00F80A0A"/>
    <w:rsid w:val="00F82B19"/>
    <w:rsid w:val="00F838CC"/>
    <w:rsid w:val="00F83A5E"/>
    <w:rsid w:val="00F8485C"/>
    <w:rsid w:val="00F8572C"/>
    <w:rsid w:val="00F85F1F"/>
    <w:rsid w:val="00F86A9B"/>
    <w:rsid w:val="00F91680"/>
    <w:rsid w:val="00F91882"/>
    <w:rsid w:val="00F91B10"/>
    <w:rsid w:val="00F9212D"/>
    <w:rsid w:val="00F965DA"/>
    <w:rsid w:val="00FA406A"/>
    <w:rsid w:val="00FB0089"/>
    <w:rsid w:val="00FB0928"/>
    <w:rsid w:val="00FB1519"/>
    <w:rsid w:val="00FB503A"/>
    <w:rsid w:val="00FB516C"/>
    <w:rsid w:val="00FB5F38"/>
    <w:rsid w:val="00FB6B1E"/>
    <w:rsid w:val="00FB6E46"/>
    <w:rsid w:val="00FB6E4F"/>
    <w:rsid w:val="00FC0A79"/>
    <w:rsid w:val="00FC0AAE"/>
    <w:rsid w:val="00FC44C6"/>
    <w:rsid w:val="00FC5AA1"/>
    <w:rsid w:val="00FC79FC"/>
    <w:rsid w:val="00FD0236"/>
    <w:rsid w:val="00FD18F4"/>
    <w:rsid w:val="00FD4D3F"/>
    <w:rsid w:val="00FD54DB"/>
    <w:rsid w:val="00FD619F"/>
    <w:rsid w:val="00FD662A"/>
    <w:rsid w:val="00FE3D36"/>
    <w:rsid w:val="00FE4B0D"/>
    <w:rsid w:val="00FF078D"/>
    <w:rsid w:val="00FF2AF5"/>
    <w:rsid w:val="00FF31E4"/>
    <w:rsid w:val="00FF6C1C"/>
    <w:rsid w:val="00FF7EF6"/>
    <w:rsid w:val="01290F7E"/>
    <w:rsid w:val="015D1E09"/>
    <w:rsid w:val="01945ACF"/>
    <w:rsid w:val="01C805FB"/>
    <w:rsid w:val="01DB6607"/>
    <w:rsid w:val="01EB6573"/>
    <w:rsid w:val="02380BE4"/>
    <w:rsid w:val="02697903"/>
    <w:rsid w:val="029B72EA"/>
    <w:rsid w:val="02BA0C83"/>
    <w:rsid w:val="02F96569"/>
    <w:rsid w:val="03000B2B"/>
    <w:rsid w:val="03247E8E"/>
    <w:rsid w:val="03EA7B21"/>
    <w:rsid w:val="04806B11"/>
    <w:rsid w:val="0483614D"/>
    <w:rsid w:val="050E09A7"/>
    <w:rsid w:val="05243941"/>
    <w:rsid w:val="05B11026"/>
    <w:rsid w:val="05E40245"/>
    <w:rsid w:val="05F83EAE"/>
    <w:rsid w:val="061F0937"/>
    <w:rsid w:val="063E7D85"/>
    <w:rsid w:val="068E3768"/>
    <w:rsid w:val="06A06FF3"/>
    <w:rsid w:val="06C42C37"/>
    <w:rsid w:val="07293586"/>
    <w:rsid w:val="07295285"/>
    <w:rsid w:val="07636392"/>
    <w:rsid w:val="076B1CFB"/>
    <w:rsid w:val="07770C56"/>
    <w:rsid w:val="07B15F67"/>
    <w:rsid w:val="08123F9D"/>
    <w:rsid w:val="081873C6"/>
    <w:rsid w:val="085B30EF"/>
    <w:rsid w:val="087B1AC8"/>
    <w:rsid w:val="08AB7092"/>
    <w:rsid w:val="08CF4BFD"/>
    <w:rsid w:val="09220A22"/>
    <w:rsid w:val="092217DD"/>
    <w:rsid w:val="093A7294"/>
    <w:rsid w:val="095F3831"/>
    <w:rsid w:val="0A1B5934"/>
    <w:rsid w:val="0A263993"/>
    <w:rsid w:val="0A2D3AC2"/>
    <w:rsid w:val="0AA755DF"/>
    <w:rsid w:val="0AA84F3F"/>
    <w:rsid w:val="0AA96DC2"/>
    <w:rsid w:val="0AED20CB"/>
    <w:rsid w:val="0B120D44"/>
    <w:rsid w:val="0B667832"/>
    <w:rsid w:val="0BD27BF6"/>
    <w:rsid w:val="0BE82811"/>
    <w:rsid w:val="0BF50231"/>
    <w:rsid w:val="0C154558"/>
    <w:rsid w:val="0C3B3C7D"/>
    <w:rsid w:val="0CAB2EAE"/>
    <w:rsid w:val="0D621C7D"/>
    <w:rsid w:val="0D7524F9"/>
    <w:rsid w:val="0DB15CAC"/>
    <w:rsid w:val="0E73034D"/>
    <w:rsid w:val="0EA46D86"/>
    <w:rsid w:val="0ECC2402"/>
    <w:rsid w:val="0ED000C0"/>
    <w:rsid w:val="0EE401B7"/>
    <w:rsid w:val="0F0C7317"/>
    <w:rsid w:val="0F13775A"/>
    <w:rsid w:val="0F551193"/>
    <w:rsid w:val="0F5F45FE"/>
    <w:rsid w:val="0F9A112B"/>
    <w:rsid w:val="0FA30FAA"/>
    <w:rsid w:val="0FD76747"/>
    <w:rsid w:val="0FDC42FE"/>
    <w:rsid w:val="10691302"/>
    <w:rsid w:val="106D2F64"/>
    <w:rsid w:val="107A12F2"/>
    <w:rsid w:val="10A70C5A"/>
    <w:rsid w:val="10A74025"/>
    <w:rsid w:val="10B63710"/>
    <w:rsid w:val="10B93AD7"/>
    <w:rsid w:val="10E14F28"/>
    <w:rsid w:val="10F10820"/>
    <w:rsid w:val="1115232A"/>
    <w:rsid w:val="111C2F7A"/>
    <w:rsid w:val="114738B8"/>
    <w:rsid w:val="11665CA1"/>
    <w:rsid w:val="116D4F51"/>
    <w:rsid w:val="119269E7"/>
    <w:rsid w:val="11A5000B"/>
    <w:rsid w:val="12B334CB"/>
    <w:rsid w:val="12DA15FD"/>
    <w:rsid w:val="13951726"/>
    <w:rsid w:val="13FC1F6C"/>
    <w:rsid w:val="140427B0"/>
    <w:rsid w:val="14396509"/>
    <w:rsid w:val="1443203D"/>
    <w:rsid w:val="14662E53"/>
    <w:rsid w:val="149257D2"/>
    <w:rsid w:val="14AD27DE"/>
    <w:rsid w:val="14D36BC0"/>
    <w:rsid w:val="14DD2C3C"/>
    <w:rsid w:val="15184FF1"/>
    <w:rsid w:val="15616CE3"/>
    <w:rsid w:val="156C4FE3"/>
    <w:rsid w:val="157349C9"/>
    <w:rsid w:val="15C22273"/>
    <w:rsid w:val="16087E1D"/>
    <w:rsid w:val="1646581A"/>
    <w:rsid w:val="16EB229E"/>
    <w:rsid w:val="1706734A"/>
    <w:rsid w:val="173B5CDF"/>
    <w:rsid w:val="17701D14"/>
    <w:rsid w:val="17735226"/>
    <w:rsid w:val="17827F4A"/>
    <w:rsid w:val="181C386D"/>
    <w:rsid w:val="18402609"/>
    <w:rsid w:val="188E7418"/>
    <w:rsid w:val="189F624C"/>
    <w:rsid w:val="192A0951"/>
    <w:rsid w:val="193C6B05"/>
    <w:rsid w:val="193D7446"/>
    <w:rsid w:val="194971CD"/>
    <w:rsid w:val="195E3236"/>
    <w:rsid w:val="198657A4"/>
    <w:rsid w:val="19B575F9"/>
    <w:rsid w:val="19F01C5D"/>
    <w:rsid w:val="19FC3F84"/>
    <w:rsid w:val="1A1C66C0"/>
    <w:rsid w:val="1A267D76"/>
    <w:rsid w:val="1A42393B"/>
    <w:rsid w:val="1A4F318A"/>
    <w:rsid w:val="1A9D61A7"/>
    <w:rsid w:val="1AAD45DE"/>
    <w:rsid w:val="1AB315F1"/>
    <w:rsid w:val="1ADB42D3"/>
    <w:rsid w:val="1B046F80"/>
    <w:rsid w:val="1B3267B5"/>
    <w:rsid w:val="1B40161D"/>
    <w:rsid w:val="1B441859"/>
    <w:rsid w:val="1B6606B1"/>
    <w:rsid w:val="1C5E7925"/>
    <w:rsid w:val="1C641E54"/>
    <w:rsid w:val="1C7B44C8"/>
    <w:rsid w:val="1C8F0EA1"/>
    <w:rsid w:val="1CE438CE"/>
    <w:rsid w:val="1CFD070F"/>
    <w:rsid w:val="1D0617F2"/>
    <w:rsid w:val="1D0C0E13"/>
    <w:rsid w:val="1D222E7C"/>
    <w:rsid w:val="1D5F6196"/>
    <w:rsid w:val="1D6132A5"/>
    <w:rsid w:val="1D8E56D5"/>
    <w:rsid w:val="1D995E95"/>
    <w:rsid w:val="1DB23AFE"/>
    <w:rsid w:val="1DDB6DDF"/>
    <w:rsid w:val="1DF52764"/>
    <w:rsid w:val="1E625D9B"/>
    <w:rsid w:val="1E7A43DA"/>
    <w:rsid w:val="1EFC5513"/>
    <w:rsid w:val="1FA37884"/>
    <w:rsid w:val="1FE7539E"/>
    <w:rsid w:val="2054681D"/>
    <w:rsid w:val="20671BE0"/>
    <w:rsid w:val="20963CB8"/>
    <w:rsid w:val="209C640C"/>
    <w:rsid w:val="20A81A1B"/>
    <w:rsid w:val="20B07FB6"/>
    <w:rsid w:val="20B646FB"/>
    <w:rsid w:val="20DA1663"/>
    <w:rsid w:val="20DB4CDB"/>
    <w:rsid w:val="211D46FA"/>
    <w:rsid w:val="2125037A"/>
    <w:rsid w:val="213B74B1"/>
    <w:rsid w:val="213D0497"/>
    <w:rsid w:val="214F6DE3"/>
    <w:rsid w:val="215A2310"/>
    <w:rsid w:val="21BF58B1"/>
    <w:rsid w:val="21DE318A"/>
    <w:rsid w:val="21EE2337"/>
    <w:rsid w:val="21EF5B80"/>
    <w:rsid w:val="220B7CE2"/>
    <w:rsid w:val="22576990"/>
    <w:rsid w:val="227E6175"/>
    <w:rsid w:val="22F47480"/>
    <w:rsid w:val="2315031F"/>
    <w:rsid w:val="236813D5"/>
    <w:rsid w:val="23D9668D"/>
    <w:rsid w:val="23DE1C48"/>
    <w:rsid w:val="23DF5214"/>
    <w:rsid w:val="240210CD"/>
    <w:rsid w:val="240F5A90"/>
    <w:rsid w:val="242E07CC"/>
    <w:rsid w:val="243063B0"/>
    <w:rsid w:val="24866191"/>
    <w:rsid w:val="24BE77F4"/>
    <w:rsid w:val="24BF09F7"/>
    <w:rsid w:val="24FE1895"/>
    <w:rsid w:val="252D53FE"/>
    <w:rsid w:val="25317ED6"/>
    <w:rsid w:val="25B24931"/>
    <w:rsid w:val="25EC2D81"/>
    <w:rsid w:val="26084DDF"/>
    <w:rsid w:val="26146599"/>
    <w:rsid w:val="26155E67"/>
    <w:rsid w:val="26196B27"/>
    <w:rsid w:val="265B5AC3"/>
    <w:rsid w:val="269F3DCF"/>
    <w:rsid w:val="26B7240F"/>
    <w:rsid w:val="277057A2"/>
    <w:rsid w:val="27FB5913"/>
    <w:rsid w:val="281C3E74"/>
    <w:rsid w:val="28477AF4"/>
    <w:rsid w:val="284A6334"/>
    <w:rsid w:val="285108C6"/>
    <w:rsid w:val="28CC7B24"/>
    <w:rsid w:val="28D35304"/>
    <w:rsid w:val="28E44026"/>
    <w:rsid w:val="29206EB8"/>
    <w:rsid w:val="29312005"/>
    <w:rsid w:val="293F2D27"/>
    <w:rsid w:val="29595666"/>
    <w:rsid w:val="29874881"/>
    <w:rsid w:val="29E325E0"/>
    <w:rsid w:val="2A057A12"/>
    <w:rsid w:val="2A452503"/>
    <w:rsid w:val="2A9533B1"/>
    <w:rsid w:val="2AEF7015"/>
    <w:rsid w:val="2B850242"/>
    <w:rsid w:val="2BA936A8"/>
    <w:rsid w:val="2C197BFF"/>
    <w:rsid w:val="2C315A5A"/>
    <w:rsid w:val="2C4B1C25"/>
    <w:rsid w:val="2D7A129D"/>
    <w:rsid w:val="2D9E56F5"/>
    <w:rsid w:val="2E241F45"/>
    <w:rsid w:val="2E667F96"/>
    <w:rsid w:val="2E8226AB"/>
    <w:rsid w:val="2F0B6187"/>
    <w:rsid w:val="2FD065E6"/>
    <w:rsid w:val="2FD96870"/>
    <w:rsid w:val="2FE24270"/>
    <w:rsid w:val="30040A74"/>
    <w:rsid w:val="30394D70"/>
    <w:rsid w:val="30580BC9"/>
    <w:rsid w:val="30A42B2B"/>
    <w:rsid w:val="311E2ED7"/>
    <w:rsid w:val="313C59EB"/>
    <w:rsid w:val="315619EE"/>
    <w:rsid w:val="315C449C"/>
    <w:rsid w:val="31B82709"/>
    <w:rsid w:val="31D05482"/>
    <w:rsid w:val="322C734B"/>
    <w:rsid w:val="32345857"/>
    <w:rsid w:val="32400B34"/>
    <w:rsid w:val="3242663E"/>
    <w:rsid w:val="326C3D58"/>
    <w:rsid w:val="329E6876"/>
    <w:rsid w:val="32F20178"/>
    <w:rsid w:val="333015F2"/>
    <w:rsid w:val="334B6320"/>
    <w:rsid w:val="33C05F9F"/>
    <w:rsid w:val="33D934D4"/>
    <w:rsid w:val="33FE2F6A"/>
    <w:rsid w:val="340E07E5"/>
    <w:rsid w:val="34214F71"/>
    <w:rsid w:val="342221A3"/>
    <w:rsid w:val="34235BF7"/>
    <w:rsid w:val="34332FDF"/>
    <w:rsid w:val="348F2BB4"/>
    <w:rsid w:val="34C3514F"/>
    <w:rsid w:val="358C5FA8"/>
    <w:rsid w:val="35C15DF1"/>
    <w:rsid w:val="35F157B3"/>
    <w:rsid w:val="36074A7F"/>
    <w:rsid w:val="362A5200"/>
    <w:rsid w:val="36923549"/>
    <w:rsid w:val="36B75FBF"/>
    <w:rsid w:val="36BD0C45"/>
    <w:rsid w:val="37704640"/>
    <w:rsid w:val="3798746B"/>
    <w:rsid w:val="37DC7873"/>
    <w:rsid w:val="37E00298"/>
    <w:rsid w:val="381F6044"/>
    <w:rsid w:val="38B302F9"/>
    <w:rsid w:val="38C96F61"/>
    <w:rsid w:val="38E7521C"/>
    <w:rsid w:val="38ED0E97"/>
    <w:rsid w:val="38F12CD3"/>
    <w:rsid w:val="38F94775"/>
    <w:rsid w:val="392971ED"/>
    <w:rsid w:val="39325651"/>
    <w:rsid w:val="393F6F1E"/>
    <w:rsid w:val="39F81B74"/>
    <w:rsid w:val="3A0E4161"/>
    <w:rsid w:val="3A872856"/>
    <w:rsid w:val="3AE15633"/>
    <w:rsid w:val="3B3763D1"/>
    <w:rsid w:val="3B3A024B"/>
    <w:rsid w:val="3BB14580"/>
    <w:rsid w:val="3BBA7D32"/>
    <w:rsid w:val="3C126329"/>
    <w:rsid w:val="3C1263A8"/>
    <w:rsid w:val="3C2A63BA"/>
    <w:rsid w:val="3C2F6E1E"/>
    <w:rsid w:val="3C3D78EA"/>
    <w:rsid w:val="3C4F64BA"/>
    <w:rsid w:val="3CD04E10"/>
    <w:rsid w:val="3CDA245A"/>
    <w:rsid w:val="3D1B68E5"/>
    <w:rsid w:val="3D1E06B7"/>
    <w:rsid w:val="3DA43CA0"/>
    <w:rsid w:val="3DAE6844"/>
    <w:rsid w:val="3DDA2813"/>
    <w:rsid w:val="3ECC2D4C"/>
    <w:rsid w:val="3EDA0523"/>
    <w:rsid w:val="400823D0"/>
    <w:rsid w:val="40310EF8"/>
    <w:rsid w:val="404D7EE8"/>
    <w:rsid w:val="407A6407"/>
    <w:rsid w:val="40C269AC"/>
    <w:rsid w:val="40DD050C"/>
    <w:rsid w:val="40F20155"/>
    <w:rsid w:val="414C7204"/>
    <w:rsid w:val="41914171"/>
    <w:rsid w:val="41B4239C"/>
    <w:rsid w:val="41E171E2"/>
    <w:rsid w:val="4200449D"/>
    <w:rsid w:val="423A3BCC"/>
    <w:rsid w:val="424E57D2"/>
    <w:rsid w:val="42B26C49"/>
    <w:rsid w:val="433A6FE6"/>
    <w:rsid w:val="43480868"/>
    <w:rsid w:val="4350713C"/>
    <w:rsid w:val="435E7A2A"/>
    <w:rsid w:val="436653E0"/>
    <w:rsid w:val="43C4431A"/>
    <w:rsid w:val="444529B0"/>
    <w:rsid w:val="444775BF"/>
    <w:rsid w:val="44517CD4"/>
    <w:rsid w:val="446F03E0"/>
    <w:rsid w:val="44B07389"/>
    <w:rsid w:val="44B951CC"/>
    <w:rsid w:val="44C935E1"/>
    <w:rsid w:val="44CD14E0"/>
    <w:rsid w:val="44F20B0B"/>
    <w:rsid w:val="44F40C52"/>
    <w:rsid w:val="45184464"/>
    <w:rsid w:val="452E5F4C"/>
    <w:rsid w:val="45612018"/>
    <w:rsid w:val="458946E9"/>
    <w:rsid w:val="45A47C0E"/>
    <w:rsid w:val="45BA11A7"/>
    <w:rsid w:val="45DC72B4"/>
    <w:rsid w:val="464E1FF0"/>
    <w:rsid w:val="464E6206"/>
    <w:rsid w:val="46577FD6"/>
    <w:rsid w:val="466D0601"/>
    <w:rsid w:val="467E3E39"/>
    <w:rsid w:val="46D955A7"/>
    <w:rsid w:val="47133957"/>
    <w:rsid w:val="47A07E0C"/>
    <w:rsid w:val="47B83278"/>
    <w:rsid w:val="48211A01"/>
    <w:rsid w:val="48284345"/>
    <w:rsid w:val="4870272E"/>
    <w:rsid w:val="48723AA7"/>
    <w:rsid w:val="48B616C0"/>
    <w:rsid w:val="48D87955"/>
    <w:rsid w:val="4915783E"/>
    <w:rsid w:val="492A50AA"/>
    <w:rsid w:val="492C413F"/>
    <w:rsid w:val="493B49B8"/>
    <w:rsid w:val="4941689C"/>
    <w:rsid w:val="495B457E"/>
    <w:rsid w:val="49701BFB"/>
    <w:rsid w:val="49DC7715"/>
    <w:rsid w:val="4A023139"/>
    <w:rsid w:val="4A7B576F"/>
    <w:rsid w:val="4AE71630"/>
    <w:rsid w:val="4AF561A9"/>
    <w:rsid w:val="4BDD6C8D"/>
    <w:rsid w:val="4BF123EB"/>
    <w:rsid w:val="4C197B01"/>
    <w:rsid w:val="4C4A0649"/>
    <w:rsid w:val="4C7458E4"/>
    <w:rsid w:val="4C7E5ECA"/>
    <w:rsid w:val="4C876AA5"/>
    <w:rsid w:val="4D0E00FB"/>
    <w:rsid w:val="4D176606"/>
    <w:rsid w:val="4D6D21FE"/>
    <w:rsid w:val="4DEC4FB0"/>
    <w:rsid w:val="4E075D8A"/>
    <w:rsid w:val="4E386A5B"/>
    <w:rsid w:val="4E525D25"/>
    <w:rsid w:val="4EC00FAD"/>
    <w:rsid w:val="4ED9366C"/>
    <w:rsid w:val="4F2E637B"/>
    <w:rsid w:val="4F344D9D"/>
    <w:rsid w:val="4F3D5CD6"/>
    <w:rsid w:val="4F3E6074"/>
    <w:rsid w:val="4F6D7CD8"/>
    <w:rsid w:val="4F6E57DA"/>
    <w:rsid w:val="4F9843DC"/>
    <w:rsid w:val="4FC62A8C"/>
    <w:rsid w:val="4FE20F0D"/>
    <w:rsid w:val="4FE51552"/>
    <w:rsid w:val="50504C4B"/>
    <w:rsid w:val="509C6E7C"/>
    <w:rsid w:val="50DD342B"/>
    <w:rsid w:val="5162104E"/>
    <w:rsid w:val="51950A7A"/>
    <w:rsid w:val="51BD5D03"/>
    <w:rsid w:val="51DE668D"/>
    <w:rsid w:val="528515D5"/>
    <w:rsid w:val="5365019C"/>
    <w:rsid w:val="53A039CC"/>
    <w:rsid w:val="53A1505A"/>
    <w:rsid w:val="53A705EC"/>
    <w:rsid w:val="53AC5D0B"/>
    <w:rsid w:val="53D0279F"/>
    <w:rsid w:val="53E143AE"/>
    <w:rsid w:val="54063E08"/>
    <w:rsid w:val="542D3208"/>
    <w:rsid w:val="543437E8"/>
    <w:rsid w:val="545729B8"/>
    <w:rsid w:val="545B12A7"/>
    <w:rsid w:val="54664910"/>
    <w:rsid w:val="54930F14"/>
    <w:rsid w:val="54C93FEC"/>
    <w:rsid w:val="54F54897"/>
    <w:rsid w:val="54F73313"/>
    <w:rsid w:val="54F80955"/>
    <w:rsid w:val="55496C8E"/>
    <w:rsid w:val="555170A7"/>
    <w:rsid w:val="5587536D"/>
    <w:rsid w:val="559B174B"/>
    <w:rsid w:val="55CE0CF4"/>
    <w:rsid w:val="560A7D65"/>
    <w:rsid w:val="560E6D65"/>
    <w:rsid w:val="567953DA"/>
    <w:rsid w:val="568A3A50"/>
    <w:rsid w:val="56B22A9C"/>
    <w:rsid w:val="56E65C30"/>
    <w:rsid w:val="56ED7603"/>
    <w:rsid w:val="571F13EF"/>
    <w:rsid w:val="576C6E7C"/>
    <w:rsid w:val="57990C47"/>
    <w:rsid w:val="57B72A76"/>
    <w:rsid w:val="57C3426C"/>
    <w:rsid w:val="57CE1F93"/>
    <w:rsid w:val="583D0CD3"/>
    <w:rsid w:val="588743D1"/>
    <w:rsid w:val="5887701A"/>
    <w:rsid w:val="58D277F1"/>
    <w:rsid w:val="58DE293A"/>
    <w:rsid w:val="58E94B31"/>
    <w:rsid w:val="59AF533B"/>
    <w:rsid w:val="59C0439F"/>
    <w:rsid w:val="5A1C35F5"/>
    <w:rsid w:val="5A485C4E"/>
    <w:rsid w:val="5ABE2233"/>
    <w:rsid w:val="5AFC43ED"/>
    <w:rsid w:val="5B223C94"/>
    <w:rsid w:val="5BB34426"/>
    <w:rsid w:val="5BDF5D95"/>
    <w:rsid w:val="5BFE7528"/>
    <w:rsid w:val="5CB64149"/>
    <w:rsid w:val="5CF81CF2"/>
    <w:rsid w:val="5D8609DA"/>
    <w:rsid w:val="5E152060"/>
    <w:rsid w:val="5E2467F1"/>
    <w:rsid w:val="5E332C8F"/>
    <w:rsid w:val="5E463F0C"/>
    <w:rsid w:val="5E4E48FE"/>
    <w:rsid w:val="5E58028E"/>
    <w:rsid w:val="5E8E099A"/>
    <w:rsid w:val="5EA70BFE"/>
    <w:rsid w:val="5EAE0352"/>
    <w:rsid w:val="5F1A2B43"/>
    <w:rsid w:val="5F30363C"/>
    <w:rsid w:val="5F8C6C4E"/>
    <w:rsid w:val="5FB837BB"/>
    <w:rsid w:val="5FC35F4F"/>
    <w:rsid w:val="5FE856DC"/>
    <w:rsid w:val="60203BD9"/>
    <w:rsid w:val="608F69BE"/>
    <w:rsid w:val="60B11501"/>
    <w:rsid w:val="60CC405A"/>
    <w:rsid w:val="61026965"/>
    <w:rsid w:val="61872AAC"/>
    <w:rsid w:val="61B50D01"/>
    <w:rsid w:val="61D845BF"/>
    <w:rsid w:val="61E215D8"/>
    <w:rsid w:val="621B3775"/>
    <w:rsid w:val="62364782"/>
    <w:rsid w:val="623E089F"/>
    <w:rsid w:val="625322C6"/>
    <w:rsid w:val="62B67AC0"/>
    <w:rsid w:val="62EF5DEA"/>
    <w:rsid w:val="63112227"/>
    <w:rsid w:val="6330249E"/>
    <w:rsid w:val="635B593E"/>
    <w:rsid w:val="636F02D3"/>
    <w:rsid w:val="6394356A"/>
    <w:rsid w:val="63C27475"/>
    <w:rsid w:val="63C61B2C"/>
    <w:rsid w:val="63D40BE9"/>
    <w:rsid w:val="63E82324"/>
    <w:rsid w:val="64031D6C"/>
    <w:rsid w:val="64102431"/>
    <w:rsid w:val="64884F1E"/>
    <w:rsid w:val="649834C9"/>
    <w:rsid w:val="64A26AE5"/>
    <w:rsid w:val="64A5243A"/>
    <w:rsid w:val="64B02DAF"/>
    <w:rsid w:val="64DA2F8E"/>
    <w:rsid w:val="64F531DE"/>
    <w:rsid w:val="65373578"/>
    <w:rsid w:val="65F33236"/>
    <w:rsid w:val="671F124A"/>
    <w:rsid w:val="677A33C6"/>
    <w:rsid w:val="677F1E27"/>
    <w:rsid w:val="67BA514E"/>
    <w:rsid w:val="67DC6669"/>
    <w:rsid w:val="68077CEE"/>
    <w:rsid w:val="681F6961"/>
    <w:rsid w:val="68610A2F"/>
    <w:rsid w:val="68805514"/>
    <w:rsid w:val="68A056C2"/>
    <w:rsid w:val="68E00520"/>
    <w:rsid w:val="69316E2F"/>
    <w:rsid w:val="694B2768"/>
    <w:rsid w:val="694E2071"/>
    <w:rsid w:val="69766163"/>
    <w:rsid w:val="697A3B33"/>
    <w:rsid w:val="69A14651"/>
    <w:rsid w:val="69D44760"/>
    <w:rsid w:val="6A520EC7"/>
    <w:rsid w:val="6AF87E20"/>
    <w:rsid w:val="6AF917A8"/>
    <w:rsid w:val="6B322639"/>
    <w:rsid w:val="6B3E5211"/>
    <w:rsid w:val="6B786FAA"/>
    <w:rsid w:val="6BD57676"/>
    <w:rsid w:val="6C402DFD"/>
    <w:rsid w:val="6C636C38"/>
    <w:rsid w:val="6C8934D3"/>
    <w:rsid w:val="6CC34E41"/>
    <w:rsid w:val="6D1130A1"/>
    <w:rsid w:val="6D1A4E6B"/>
    <w:rsid w:val="6D8F6F8C"/>
    <w:rsid w:val="6DB34098"/>
    <w:rsid w:val="6DB545B6"/>
    <w:rsid w:val="6DCA1358"/>
    <w:rsid w:val="6DE02FB4"/>
    <w:rsid w:val="6E2E63BC"/>
    <w:rsid w:val="6E514CED"/>
    <w:rsid w:val="6EAE7445"/>
    <w:rsid w:val="6EAF7543"/>
    <w:rsid w:val="6EB563D5"/>
    <w:rsid w:val="6ED92677"/>
    <w:rsid w:val="6F225983"/>
    <w:rsid w:val="6F2A3673"/>
    <w:rsid w:val="6F7664A7"/>
    <w:rsid w:val="6FDD2E07"/>
    <w:rsid w:val="6FE0644F"/>
    <w:rsid w:val="6FF01DE6"/>
    <w:rsid w:val="6FFC5590"/>
    <w:rsid w:val="704A0BFA"/>
    <w:rsid w:val="706D1DD0"/>
    <w:rsid w:val="70856B87"/>
    <w:rsid w:val="70D527EE"/>
    <w:rsid w:val="712717C3"/>
    <w:rsid w:val="71362B6C"/>
    <w:rsid w:val="715B5300"/>
    <w:rsid w:val="71C00102"/>
    <w:rsid w:val="71D27F8A"/>
    <w:rsid w:val="71E30C13"/>
    <w:rsid w:val="722A6089"/>
    <w:rsid w:val="723B5434"/>
    <w:rsid w:val="72553024"/>
    <w:rsid w:val="72A10970"/>
    <w:rsid w:val="72DC7202"/>
    <w:rsid w:val="72DC77F4"/>
    <w:rsid w:val="72ED6D70"/>
    <w:rsid w:val="73122968"/>
    <w:rsid w:val="731F5D5E"/>
    <w:rsid w:val="734343DB"/>
    <w:rsid w:val="73C51AD5"/>
    <w:rsid w:val="73CE64F3"/>
    <w:rsid w:val="73F73278"/>
    <w:rsid w:val="741E793C"/>
    <w:rsid w:val="745E3944"/>
    <w:rsid w:val="74814513"/>
    <w:rsid w:val="749D0321"/>
    <w:rsid w:val="74D776D1"/>
    <w:rsid w:val="75400D9C"/>
    <w:rsid w:val="75911025"/>
    <w:rsid w:val="7635099D"/>
    <w:rsid w:val="763E4932"/>
    <w:rsid w:val="76AE2521"/>
    <w:rsid w:val="77571EA9"/>
    <w:rsid w:val="77736D23"/>
    <w:rsid w:val="77762421"/>
    <w:rsid w:val="778A36C7"/>
    <w:rsid w:val="77B56B1F"/>
    <w:rsid w:val="77F108EA"/>
    <w:rsid w:val="780F09F4"/>
    <w:rsid w:val="78A90480"/>
    <w:rsid w:val="78AD50C8"/>
    <w:rsid w:val="78EA5FA7"/>
    <w:rsid w:val="79006201"/>
    <w:rsid w:val="790822AC"/>
    <w:rsid w:val="7A364017"/>
    <w:rsid w:val="7A8265E1"/>
    <w:rsid w:val="7A9D056E"/>
    <w:rsid w:val="7AA30CA1"/>
    <w:rsid w:val="7AA80757"/>
    <w:rsid w:val="7B524355"/>
    <w:rsid w:val="7B61652D"/>
    <w:rsid w:val="7B686D42"/>
    <w:rsid w:val="7B841746"/>
    <w:rsid w:val="7B9614C4"/>
    <w:rsid w:val="7C392BD6"/>
    <w:rsid w:val="7C4A128A"/>
    <w:rsid w:val="7C6C5AC7"/>
    <w:rsid w:val="7CA122FD"/>
    <w:rsid w:val="7CC6544B"/>
    <w:rsid w:val="7D0239FF"/>
    <w:rsid w:val="7D092E85"/>
    <w:rsid w:val="7D5E40CD"/>
    <w:rsid w:val="7DCD56F2"/>
    <w:rsid w:val="7DD74FC6"/>
    <w:rsid w:val="7EEF2370"/>
    <w:rsid w:val="7F001CE7"/>
    <w:rsid w:val="7F5D6BAE"/>
    <w:rsid w:val="7F74591C"/>
    <w:rsid w:val="7F7C02FF"/>
    <w:rsid w:val="7FA31160"/>
    <w:rsid w:val="7FD16924"/>
    <w:rsid w:val="7FE47E50"/>
    <w:rsid w:val="96AFEEF3"/>
    <w:rsid w:val="9BFECD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qFormat="1"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semiHidden="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3">
    <w:name w:val="heading 2"/>
    <w:basedOn w:val="1"/>
    <w:next w:val="1"/>
    <w:qFormat/>
    <w:locked/>
    <w:uiPriority w:val="99"/>
    <w:pPr>
      <w:autoSpaceDE w:val="0"/>
      <w:autoSpaceDN w:val="0"/>
      <w:jc w:val="center"/>
      <w:outlineLvl w:val="1"/>
    </w:pPr>
    <w:rPr>
      <w:rFonts w:ascii="仿宋" w:hAnsi="仿宋" w:eastAsia="仿宋"/>
      <w:b/>
      <w:bCs/>
      <w:kern w:val="0"/>
      <w:sz w:val="24"/>
    </w:rPr>
  </w:style>
  <w:style w:type="paragraph" w:styleId="4">
    <w:name w:val="heading 3"/>
    <w:basedOn w:val="1"/>
    <w:next w:val="1"/>
    <w:autoRedefine/>
    <w:qFormat/>
    <w:locked/>
    <w:uiPriority w:val="0"/>
    <w:pPr>
      <w:keepNext/>
      <w:keepLines/>
      <w:spacing w:before="260" w:after="260" w:line="416" w:lineRule="auto"/>
      <w:outlineLvl w:val="2"/>
    </w:pPr>
    <w:rPr>
      <w:b/>
      <w:bCs/>
      <w:sz w:val="32"/>
      <w:szCs w:val="32"/>
    </w:rPr>
  </w:style>
  <w:style w:type="paragraph" w:styleId="5">
    <w:name w:val="heading 4"/>
    <w:basedOn w:val="1"/>
    <w:next w:val="1"/>
    <w:autoRedefine/>
    <w:semiHidden/>
    <w:unhideWhenUsed/>
    <w:qFormat/>
    <w:locked/>
    <w:uiPriority w:val="0"/>
    <w:pPr>
      <w:spacing w:beforeAutospacing="1" w:afterAutospacing="1"/>
      <w:jc w:val="left"/>
      <w:outlineLvl w:val="3"/>
    </w:pPr>
    <w:rPr>
      <w:rFonts w:hint="eastAsia" w:ascii="宋体" w:hAnsi="宋体"/>
      <w:b/>
      <w:bCs/>
      <w:kern w:val="0"/>
      <w:sz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locked/>
    <w:uiPriority w:val="0"/>
    <w:pPr>
      <w:ind w:firstLine="200" w:firstLineChars="200"/>
    </w:pPr>
  </w:style>
  <w:style w:type="paragraph" w:styleId="7">
    <w:name w:val="Document Map"/>
    <w:basedOn w:val="1"/>
    <w:link w:val="55"/>
    <w:autoRedefine/>
    <w:qFormat/>
    <w:locked/>
    <w:uiPriority w:val="0"/>
    <w:rPr>
      <w:rFonts w:ascii="宋体"/>
      <w:sz w:val="18"/>
      <w:szCs w:val="18"/>
    </w:rPr>
  </w:style>
  <w:style w:type="paragraph" w:styleId="8">
    <w:name w:val="annotation text"/>
    <w:basedOn w:val="1"/>
    <w:link w:val="37"/>
    <w:autoRedefine/>
    <w:semiHidden/>
    <w:qFormat/>
    <w:uiPriority w:val="0"/>
    <w:pPr>
      <w:jc w:val="left"/>
    </w:pPr>
    <w:rPr>
      <w:kern w:val="0"/>
      <w:sz w:val="24"/>
      <w:szCs w:val="20"/>
    </w:rPr>
  </w:style>
  <w:style w:type="paragraph" w:styleId="9">
    <w:name w:val="Body Text"/>
    <w:basedOn w:val="1"/>
    <w:link w:val="36"/>
    <w:autoRedefine/>
    <w:qFormat/>
    <w:uiPriority w:val="0"/>
    <w:pPr>
      <w:widowControl/>
      <w:snapToGrid w:val="0"/>
      <w:spacing w:before="60" w:after="160" w:line="259" w:lineRule="auto"/>
      <w:ind w:right="113"/>
    </w:pPr>
    <w:rPr>
      <w:kern w:val="0"/>
      <w:sz w:val="18"/>
      <w:szCs w:val="20"/>
    </w:rPr>
  </w:style>
  <w:style w:type="paragraph" w:styleId="10">
    <w:name w:val="Body Text Indent"/>
    <w:basedOn w:val="1"/>
    <w:link w:val="45"/>
    <w:autoRedefine/>
    <w:qFormat/>
    <w:uiPriority w:val="0"/>
    <w:pPr>
      <w:spacing w:after="120"/>
      <w:ind w:left="420" w:leftChars="200"/>
    </w:pPr>
    <w:rPr>
      <w:kern w:val="0"/>
      <w:sz w:val="24"/>
      <w:szCs w:val="20"/>
    </w:rPr>
  </w:style>
  <w:style w:type="paragraph" w:styleId="11">
    <w:name w:val="Block Text"/>
    <w:basedOn w:val="1"/>
    <w:autoRedefine/>
    <w:qFormat/>
    <w:locked/>
    <w:uiPriority w:val="0"/>
    <w:pPr>
      <w:spacing w:before="120"/>
      <w:ind w:left="113" w:right="113"/>
    </w:pPr>
    <w:rPr>
      <w:rFonts w:ascii="Arial" w:hAnsi="Arial"/>
      <w:kern w:val="24"/>
      <w:sz w:val="24"/>
    </w:rPr>
  </w:style>
  <w:style w:type="paragraph" w:styleId="12">
    <w:name w:val="Plain Text"/>
    <w:basedOn w:val="1"/>
    <w:link w:val="49"/>
    <w:autoRedefine/>
    <w:qFormat/>
    <w:locked/>
    <w:uiPriority w:val="0"/>
    <w:pPr>
      <w:autoSpaceDE w:val="0"/>
      <w:autoSpaceDN w:val="0"/>
      <w:adjustRightInd w:val="0"/>
      <w:spacing w:line="440" w:lineRule="atLeast"/>
      <w:ind w:firstLine="425"/>
    </w:pPr>
    <w:rPr>
      <w:rFonts w:ascii="宋体"/>
      <w:kern w:val="0"/>
      <w:sz w:val="28"/>
      <w:szCs w:val="20"/>
    </w:rPr>
  </w:style>
  <w:style w:type="paragraph" w:styleId="13">
    <w:name w:val="List Bullet 5"/>
    <w:basedOn w:val="1"/>
    <w:autoRedefine/>
    <w:qFormat/>
    <w:locked/>
    <w:uiPriority w:val="0"/>
    <w:pPr>
      <w:numPr>
        <w:ilvl w:val="0"/>
        <w:numId w:val="1"/>
      </w:numPr>
    </w:pPr>
  </w:style>
  <w:style w:type="paragraph" w:styleId="14">
    <w:name w:val="Date"/>
    <w:basedOn w:val="1"/>
    <w:next w:val="1"/>
    <w:link w:val="32"/>
    <w:autoRedefine/>
    <w:qFormat/>
    <w:uiPriority w:val="0"/>
    <w:pPr>
      <w:ind w:left="100" w:leftChars="2500"/>
    </w:pPr>
    <w:rPr>
      <w:kern w:val="0"/>
      <w:sz w:val="24"/>
      <w:szCs w:val="20"/>
    </w:rPr>
  </w:style>
  <w:style w:type="paragraph" w:styleId="15">
    <w:name w:val="Body Text Indent 2"/>
    <w:basedOn w:val="1"/>
    <w:autoRedefine/>
    <w:qFormat/>
    <w:locked/>
    <w:uiPriority w:val="0"/>
    <w:pPr>
      <w:spacing w:after="120" w:line="480" w:lineRule="auto"/>
      <w:ind w:left="420" w:leftChars="200"/>
    </w:pPr>
  </w:style>
  <w:style w:type="paragraph" w:styleId="16">
    <w:name w:val="Balloon Text"/>
    <w:basedOn w:val="1"/>
    <w:link w:val="41"/>
    <w:autoRedefine/>
    <w:semiHidden/>
    <w:qFormat/>
    <w:uiPriority w:val="0"/>
    <w:rPr>
      <w:kern w:val="0"/>
      <w:sz w:val="18"/>
      <w:szCs w:val="20"/>
    </w:rPr>
  </w:style>
  <w:style w:type="paragraph" w:styleId="17">
    <w:name w:val="footer"/>
    <w:basedOn w:val="1"/>
    <w:link w:val="31"/>
    <w:autoRedefine/>
    <w:qFormat/>
    <w:uiPriority w:val="99"/>
    <w:pPr>
      <w:tabs>
        <w:tab w:val="center" w:pos="4153"/>
        <w:tab w:val="right" w:pos="8306"/>
      </w:tabs>
      <w:snapToGrid w:val="0"/>
      <w:jc w:val="left"/>
    </w:pPr>
    <w:rPr>
      <w:kern w:val="0"/>
      <w:sz w:val="18"/>
      <w:szCs w:val="20"/>
    </w:rPr>
  </w:style>
  <w:style w:type="paragraph" w:styleId="18">
    <w:name w:val="header"/>
    <w:basedOn w:val="1"/>
    <w:link w:val="43"/>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19">
    <w:name w:val="toc 1"/>
    <w:basedOn w:val="1"/>
    <w:next w:val="1"/>
    <w:autoRedefine/>
    <w:qFormat/>
    <w:locked/>
    <w:uiPriority w:val="0"/>
  </w:style>
  <w:style w:type="paragraph" w:styleId="20">
    <w:name w:val="Body Text Indent 3"/>
    <w:basedOn w:val="1"/>
    <w:link w:val="61"/>
    <w:autoRedefine/>
    <w:qFormat/>
    <w:locked/>
    <w:uiPriority w:val="0"/>
    <w:pPr>
      <w:spacing w:after="120"/>
      <w:ind w:left="420" w:leftChars="200"/>
    </w:pPr>
    <w:rPr>
      <w:sz w:val="16"/>
      <w:szCs w:val="16"/>
    </w:rPr>
  </w:style>
  <w:style w:type="paragraph" w:styleId="21">
    <w:name w:val="toc 9"/>
    <w:basedOn w:val="1"/>
    <w:next w:val="1"/>
    <w:qFormat/>
    <w:locked/>
    <w:uiPriority w:val="0"/>
    <w:pPr>
      <w:widowControl/>
      <w:wordWrap w:val="0"/>
      <w:ind w:left="2975"/>
    </w:pPr>
    <w:rPr>
      <w:szCs w:val="22"/>
    </w:rPr>
  </w:style>
  <w:style w:type="paragraph" w:styleId="22">
    <w:name w:val="Normal (Web)"/>
    <w:basedOn w:val="1"/>
    <w:link w:val="34"/>
    <w:autoRedefine/>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8"/>
    <w:next w:val="8"/>
    <w:link w:val="42"/>
    <w:autoRedefine/>
    <w:semiHidden/>
    <w:qFormat/>
    <w:uiPriority w:val="0"/>
    <w:rPr>
      <w:b/>
      <w:kern w:val="2"/>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autoRedefine/>
    <w:qFormat/>
    <w:locked/>
    <w:uiPriority w:val="0"/>
  </w:style>
  <w:style w:type="character" w:styleId="28">
    <w:name w:val="Hyperlink"/>
    <w:basedOn w:val="26"/>
    <w:autoRedefine/>
    <w:qFormat/>
    <w:locked/>
    <w:uiPriority w:val="0"/>
    <w:rPr>
      <w:color w:val="0000FF"/>
      <w:u w:val="single"/>
    </w:rPr>
  </w:style>
  <w:style w:type="character" w:styleId="29">
    <w:name w:val="annotation reference"/>
    <w:autoRedefine/>
    <w:qFormat/>
    <w:uiPriority w:val="0"/>
    <w:rPr>
      <w:sz w:val="21"/>
    </w:rPr>
  </w:style>
  <w:style w:type="paragraph" w:customStyle="1" w:styleId="30">
    <w:name w:val="本文正文"/>
    <w:basedOn w:val="1"/>
    <w:autoRedefine/>
    <w:qFormat/>
    <w:uiPriority w:val="99"/>
    <w:pPr>
      <w:ind w:firstLine="480" w:firstLineChars="200"/>
    </w:pPr>
  </w:style>
  <w:style w:type="character" w:customStyle="1" w:styleId="31">
    <w:name w:val="页脚 Char"/>
    <w:link w:val="17"/>
    <w:autoRedefine/>
    <w:qFormat/>
    <w:locked/>
    <w:uiPriority w:val="99"/>
    <w:rPr>
      <w:sz w:val="18"/>
    </w:rPr>
  </w:style>
  <w:style w:type="character" w:customStyle="1" w:styleId="32">
    <w:name w:val="日期 Char"/>
    <w:link w:val="14"/>
    <w:autoRedefine/>
    <w:qFormat/>
    <w:locked/>
    <w:uiPriority w:val="0"/>
    <w:rPr>
      <w:rFonts w:ascii="Times New Roman" w:hAnsi="Times New Roman" w:eastAsia="宋体"/>
      <w:sz w:val="24"/>
    </w:rPr>
  </w:style>
  <w:style w:type="character" w:customStyle="1" w:styleId="33">
    <w:name w:val="页脚 字符"/>
    <w:basedOn w:val="26"/>
    <w:autoRedefine/>
    <w:qFormat/>
    <w:uiPriority w:val="99"/>
  </w:style>
  <w:style w:type="character" w:customStyle="1" w:styleId="34">
    <w:name w:val="普通(网站) Char"/>
    <w:link w:val="22"/>
    <w:autoRedefine/>
    <w:qFormat/>
    <w:locked/>
    <w:uiPriority w:val="0"/>
    <w:rPr>
      <w:rFonts w:ascii="宋体" w:hAnsi="宋体" w:eastAsia="宋体"/>
      <w:sz w:val="24"/>
    </w:rPr>
  </w:style>
  <w:style w:type="character" w:customStyle="1" w:styleId="35">
    <w:name w:val="正文文本 字符1"/>
    <w:autoRedefine/>
    <w:semiHidden/>
    <w:qFormat/>
    <w:uiPriority w:val="0"/>
    <w:rPr>
      <w:rFonts w:ascii="Times New Roman" w:hAnsi="Times New Roman" w:eastAsia="宋体"/>
      <w:sz w:val="24"/>
    </w:rPr>
  </w:style>
  <w:style w:type="character" w:customStyle="1" w:styleId="36">
    <w:name w:val="正文文本 Char"/>
    <w:link w:val="9"/>
    <w:autoRedefine/>
    <w:qFormat/>
    <w:locked/>
    <w:uiPriority w:val="0"/>
    <w:rPr>
      <w:sz w:val="18"/>
    </w:rPr>
  </w:style>
  <w:style w:type="character" w:customStyle="1" w:styleId="37">
    <w:name w:val="批注文字 Char"/>
    <w:link w:val="8"/>
    <w:autoRedefine/>
    <w:qFormat/>
    <w:locked/>
    <w:uiPriority w:val="0"/>
    <w:rPr>
      <w:rFonts w:ascii="Times New Roman" w:hAnsi="Times New Roman" w:eastAsia="宋体"/>
      <w:sz w:val="24"/>
    </w:rPr>
  </w:style>
  <w:style w:type="character" w:customStyle="1" w:styleId="38">
    <w:name w:val="表格 Char"/>
    <w:link w:val="39"/>
    <w:autoRedefine/>
    <w:qFormat/>
    <w:locked/>
    <w:uiPriority w:val="0"/>
    <w:rPr>
      <w:rFonts w:ascii="宋体"/>
      <w:sz w:val="21"/>
    </w:rPr>
  </w:style>
  <w:style w:type="paragraph" w:customStyle="1" w:styleId="39">
    <w:name w:val="表格"/>
    <w:basedOn w:val="1"/>
    <w:next w:val="1"/>
    <w:link w:val="38"/>
    <w:autoRedefine/>
    <w:qFormat/>
    <w:uiPriority w:val="0"/>
    <w:pPr>
      <w:adjustRightInd w:val="0"/>
      <w:snapToGrid w:val="0"/>
      <w:spacing w:beforeLines="19" w:afterLines="19" w:line="259" w:lineRule="auto"/>
      <w:jc w:val="center"/>
    </w:pPr>
    <w:rPr>
      <w:rFonts w:ascii="宋体"/>
      <w:kern w:val="0"/>
      <w:szCs w:val="20"/>
    </w:rPr>
  </w:style>
  <w:style w:type="character" w:customStyle="1" w:styleId="40">
    <w:name w:val="日期 字符"/>
    <w:autoRedefine/>
    <w:semiHidden/>
    <w:qFormat/>
    <w:uiPriority w:val="0"/>
    <w:rPr>
      <w:rFonts w:ascii="Times New Roman" w:hAnsi="Times New Roman" w:eastAsia="宋体"/>
      <w:sz w:val="24"/>
    </w:rPr>
  </w:style>
  <w:style w:type="character" w:customStyle="1" w:styleId="41">
    <w:name w:val="批注框文本 Char"/>
    <w:link w:val="16"/>
    <w:autoRedefine/>
    <w:semiHidden/>
    <w:qFormat/>
    <w:locked/>
    <w:uiPriority w:val="0"/>
    <w:rPr>
      <w:rFonts w:ascii="Times New Roman" w:hAnsi="Times New Roman" w:eastAsia="宋体"/>
      <w:sz w:val="18"/>
    </w:rPr>
  </w:style>
  <w:style w:type="character" w:customStyle="1" w:styleId="42">
    <w:name w:val="批注主题 Char"/>
    <w:link w:val="23"/>
    <w:autoRedefine/>
    <w:semiHidden/>
    <w:qFormat/>
    <w:locked/>
    <w:uiPriority w:val="0"/>
    <w:rPr>
      <w:rFonts w:ascii="Times New Roman" w:hAnsi="Times New Roman" w:eastAsia="宋体"/>
      <w:b/>
      <w:kern w:val="2"/>
      <w:sz w:val="24"/>
    </w:rPr>
  </w:style>
  <w:style w:type="character" w:customStyle="1" w:styleId="43">
    <w:name w:val="页眉 Char"/>
    <w:link w:val="18"/>
    <w:autoRedefine/>
    <w:qFormat/>
    <w:locked/>
    <w:uiPriority w:val="0"/>
    <w:rPr>
      <w:sz w:val="18"/>
    </w:rPr>
  </w:style>
  <w:style w:type="character" w:customStyle="1" w:styleId="44">
    <w:name w:val="批注文字 字符1"/>
    <w:autoRedefine/>
    <w:semiHidden/>
    <w:qFormat/>
    <w:uiPriority w:val="0"/>
    <w:rPr>
      <w:rFonts w:ascii="Times New Roman" w:hAnsi="Times New Roman" w:eastAsia="宋体"/>
      <w:sz w:val="24"/>
    </w:rPr>
  </w:style>
  <w:style w:type="character" w:customStyle="1" w:styleId="45">
    <w:name w:val="正文文本缩进 Char"/>
    <w:link w:val="10"/>
    <w:autoRedefine/>
    <w:semiHidden/>
    <w:qFormat/>
    <w:locked/>
    <w:uiPriority w:val="0"/>
    <w:rPr>
      <w:rFonts w:ascii="Times New Roman" w:hAnsi="Times New Roman" w:eastAsia="宋体"/>
      <w:sz w:val="24"/>
    </w:rPr>
  </w:style>
  <w:style w:type="paragraph" w:customStyle="1" w:styleId="46">
    <w:name w:val="正文_1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
    <w:name w:val="普通(网站)2"/>
    <w:basedOn w:val="1"/>
    <w:autoRedefine/>
    <w:qFormat/>
    <w:uiPriority w:val="0"/>
    <w:pPr>
      <w:widowControl/>
      <w:spacing w:before="100" w:beforeAutospacing="1" w:after="100" w:afterAutospacing="1"/>
      <w:jc w:val="left"/>
    </w:pPr>
    <w:rPr>
      <w:rFonts w:ascii="宋体" w:hAnsi="宋体"/>
      <w:sz w:val="24"/>
      <w:szCs w:val="20"/>
    </w:rPr>
  </w:style>
  <w:style w:type="paragraph" w:customStyle="1" w:styleId="48">
    <w:name w:val="表前文字"/>
    <w:basedOn w:val="1"/>
    <w:autoRedefine/>
    <w:qFormat/>
    <w:uiPriority w:val="0"/>
    <w:pPr>
      <w:snapToGrid w:val="0"/>
    </w:pPr>
    <w:rPr>
      <w:rFonts w:hAnsi="宋体"/>
      <w:color w:val="FF0000"/>
      <w:kern w:val="28"/>
      <w:szCs w:val="20"/>
    </w:rPr>
  </w:style>
  <w:style w:type="character" w:customStyle="1" w:styleId="49">
    <w:name w:val="纯文本 Char"/>
    <w:link w:val="12"/>
    <w:autoRedefine/>
    <w:qFormat/>
    <w:uiPriority w:val="0"/>
    <w:rPr>
      <w:rFonts w:ascii="宋体" w:hAnsi="Times New Roman"/>
      <w:sz w:val="28"/>
    </w:rPr>
  </w:style>
  <w:style w:type="character" w:customStyle="1" w:styleId="50">
    <w:name w:val="纯文本 Char1"/>
    <w:basedOn w:val="26"/>
    <w:autoRedefine/>
    <w:qFormat/>
    <w:uiPriority w:val="0"/>
    <w:rPr>
      <w:rFonts w:ascii="宋体" w:hAnsi="Courier New" w:cs="Courier New"/>
      <w:kern w:val="2"/>
      <w:sz w:val="21"/>
      <w:szCs w:val="21"/>
    </w:rPr>
  </w:style>
  <w:style w:type="paragraph" w:customStyle="1" w:styleId="51">
    <w:name w:val="样式 自动设置"/>
    <w:basedOn w:val="1"/>
    <w:link w:val="52"/>
    <w:autoRedefine/>
    <w:qFormat/>
    <w:uiPriority w:val="0"/>
    <w:pPr>
      <w:autoSpaceDE w:val="0"/>
      <w:autoSpaceDN w:val="0"/>
      <w:adjustRightInd w:val="0"/>
      <w:snapToGrid w:val="0"/>
      <w:spacing w:beforeLines="50" w:line="288" w:lineRule="auto"/>
      <w:ind w:firstLine="200" w:firstLineChars="200"/>
    </w:pPr>
    <w:rPr>
      <w:rFonts w:ascii="Calibri" w:hAnsi="Calibri"/>
      <w:sz w:val="24"/>
    </w:rPr>
  </w:style>
  <w:style w:type="character" w:customStyle="1" w:styleId="52">
    <w:name w:val="样式 自动设置 Char"/>
    <w:link w:val="51"/>
    <w:autoRedefine/>
    <w:qFormat/>
    <w:uiPriority w:val="0"/>
    <w:rPr>
      <w:rFonts w:ascii="Calibri" w:hAnsi="Calibri"/>
      <w:kern w:val="2"/>
      <w:sz w:val="24"/>
      <w:szCs w:val="24"/>
    </w:rPr>
  </w:style>
  <w:style w:type="paragraph" w:customStyle="1" w:styleId="53">
    <w:name w:val="正文zy"/>
    <w:basedOn w:val="1"/>
    <w:autoRedefine/>
    <w:qFormat/>
    <w:uiPriority w:val="0"/>
    <w:pPr>
      <w:snapToGrid w:val="0"/>
      <w:spacing w:line="360" w:lineRule="auto"/>
      <w:ind w:firstLine="480" w:firstLineChars="200"/>
    </w:pPr>
    <w:rPr>
      <w:color w:val="000000"/>
      <w:sz w:val="24"/>
      <w:szCs w:val="22"/>
    </w:rPr>
  </w:style>
  <w:style w:type="character" w:customStyle="1" w:styleId="54">
    <w:name w:val="font11"/>
    <w:autoRedefine/>
    <w:qFormat/>
    <w:uiPriority w:val="0"/>
    <w:rPr>
      <w:sz w:val="18"/>
      <w:szCs w:val="18"/>
    </w:rPr>
  </w:style>
  <w:style w:type="character" w:customStyle="1" w:styleId="55">
    <w:name w:val="文档结构图 Char"/>
    <w:link w:val="7"/>
    <w:autoRedefine/>
    <w:qFormat/>
    <w:uiPriority w:val="0"/>
    <w:rPr>
      <w:rFonts w:ascii="宋体"/>
      <w:kern w:val="2"/>
      <w:sz w:val="18"/>
      <w:szCs w:val="18"/>
    </w:rPr>
  </w:style>
  <w:style w:type="character" w:customStyle="1" w:styleId="56">
    <w:name w:val="文档结构图 Char1"/>
    <w:basedOn w:val="26"/>
    <w:autoRedefine/>
    <w:qFormat/>
    <w:uiPriority w:val="0"/>
    <w:rPr>
      <w:rFonts w:ascii="宋体"/>
      <w:kern w:val="2"/>
      <w:sz w:val="18"/>
      <w:szCs w:val="18"/>
    </w:rPr>
  </w:style>
  <w:style w:type="paragraph" w:customStyle="1" w:styleId="57">
    <w:name w:val="样式 首行缩进:  2 字符1"/>
    <w:basedOn w:val="1"/>
    <w:autoRedefine/>
    <w:qFormat/>
    <w:uiPriority w:val="0"/>
    <w:pPr>
      <w:spacing w:line="420" w:lineRule="exact"/>
      <w:ind w:firstLine="200" w:firstLineChars="200"/>
    </w:pPr>
    <w:rPr>
      <w:rFonts w:ascii="Calibri" w:hAnsi="Calibri" w:cs="宋体"/>
      <w:sz w:val="24"/>
      <w:szCs w:val="20"/>
    </w:rPr>
  </w:style>
  <w:style w:type="paragraph" w:customStyle="1" w:styleId="58">
    <w:name w:val="标题正4"/>
    <w:basedOn w:val="1"/>
    <w:autoRedefine/>
    <w:qFormat/>
    <w:uiPriority w:val="0"/>
    <w:pPr>
      <w:spacing w:line="400" w:lineRule="exact"/>
      <w:jc w:val="center"/>
    </w:pPr>
    <w:rPr>
      <w:rFonts w:ascii="宋体" w:hAnsi="宋体"/>
      <w:color w:val="FF0000"/>
      <w:szCs w:val="21"/>
    </w:rPr>
  </w:style>
  <w:style w:type="paragraph" w:customStyle="1" w:styleId="59">
    <w:name w:val="Default"/>
    <w:basedOn w:val="60"/>
    <w:next w:val="21"/>
    <w:autoRedefine/>
    <w:qFormat/>
    <w:uiPriority w:val="0"/>
    <w:pPr>
      <w:widowControl w:val="0"/>
      <w:autoSpaceDE w:val="0"/>
      <w:autoSpaceDN w:val="0"/>
      <w:adjustRightInd w:val="0"/>
    </w:pPr>
    <w:rPr>
      <w:rFonts w:ascii="方正锐正黑_GBK 中" w:hAnsi="Cambria" w:eastAsia="方正锐正黑_GBK 中" w:cs="方正锐正黑_GBK 中"/>
      <w:color w:val="000000"/>
      <w:sz w:val="24"/>
      <w:szCs w:val="24"/>
      <w:lang w:val="en-US" w:eastAsia="zh-CN" w:bidi="ar-SA"/>
    </w:rPr>
  </w:style>
  <w:style w:type="paragraph" w:customStyle="1" w:styleId="60">
    <w:name w:val="标题2"/>
    <w:basedOn w:val="1"/>
    <w:next w:val="3"/>
    <w:qFormat/>
    <w:uiPriority w:val="0"/>
    <w:rPr>
      <w:rFonts w:ascii="宋体" w:hAnsi="宋体"/>
      <w:b/>
      <w:kern w:val="0"/>
    </w:rPr>
  </w:style>
  <w:style w:type="character" w:customStyle="1" w:styleId="61">
    <w:name w:val="正文文本缩进 3 Char"/>
    <w:basedOn w:val="26"/>
    <w:link w:val="20"/>
    <w:autoRedefine/>
    <w:qFormat/>
    <w:uiPriority w:val="0"/>
    <w:rPr>
      <w:kern w:val="2"/>
      <w:sz w:val="16"/>
      <w:szCs w:val="16"/>
    </w:rPr>
  </w:style>
  <w:style w:type="paragraph" w:customStyle="1" w:styleId="62">
    <w:name w:val="Table Paragraph"/>
    <w:basedOn w:val="1"/>
    <w:autoRedefine/>
    <w:qFormat/>
    <w:uiPriority w:val="1"/>
    <w:rPr>
      <w:rFonts w:ascii="宋体" w:hAnsi="宋体" w:cs="宋体"/>
      <w:szCs w:val="21"/>
    </w:rPr>
  </w:style>
  <w:style w:type="paragraph" w:customStyle="1" w:styleId="63">
    <w:name w:val="表格内容"/>
    <w:basedOn w:val="1"/>
    <w:next w:val="1"/>
    <w:autoRedefine/>
    <w:qFormat/>
    <w:uiPriority w:val="0"/>
    <w:pPr>
      <w:autoSpaceDE w:val="0"/>
      <w:autoSpaceDN w:val="0"/>
      <w:adjustRightInd w:val="0"/>
      <w:snapToGrid w:val="0"/>
      <w:jc w:val="center"/>
    </w:pPr>
    <w:rPr>
      <w:rFonts w:cs="宋体"/>
      <w:kern w:val="0"/>
      <w:szCs w:val="21"/>
    </w:rPr>
  </w:style>
  <w:style w:type="character" w:customStyle="1" w:styleId="64">
    <w:name w:val="font21"/>
    <w:basedOn w:val="26"/>
    <w:autoRedefine/>
    <w:qFormat/>
    <w:uiPriority w:val="0"/>
    <w:rPr>
      <w:rFonts w:hint="eastAsia" w:ascii="宋体" w:hAnsi="宋体" w:eastAsia="宋体" w:cs="宋体"/>
      <w:color w:val="000000"/>
      <w:sz w:val="20"/>
      <w:szCs w:val="20"/>
      <w:u w:val="none"/>
    </w:rPr>
  </w:style>
  <w:style w:type="character" w:customStyle="1" w:styleId="65">
    <w:name w:val="font31"/>
    <w:basedOn w:val="26"/>
    <w:autoRedefine/>
    <w:qFormat/>
    <w:uiPriority w:val="0"/>
    <w:rPr>
      <w:rFonts w:hint="eastAsia" w:ascii="宋体" w:hAnsi="宋体" w:eastAsia="宋体" w:cs="宋体"/>
      <w:color w:val="000000"/>
      <w:sz w:val="20"/>
      <w:szCs w:val="20"/>
      <w:u w:val="none"/>
    </w:rPr>
  </w:style>
  <w:style w:type="paragraph" w:customStyle="1" w:styleId="66">
    <w:name w:val="CM75"/>
    <w:basedOn w:val="1"/>
    <w:next w:val="1"/>
    <w:autoRedefine/>
    <w:qFormat/>
    <w:uiPriority w:val="99"/>
    <w:pPr>
      <w:autoSpaceDE w:val="0"/>
      <w:autoSpaceDN w:val="0"/>
      <w:adjustRightInd w:val="0"/>
      <w:spacing w:after="60"/>
      <w:jc w:val="left"/>
    </w:pPr>
    <w:rPr>
      <w:rFonts w:ascii="Arial Black" w:eastAsia="Times New Roman" w:cs="Arial Black"/>
      <w:kern w:val="0"/>
      <w:sz w:val="24"/>
    </w:rPr>
  </w:style>
  <w:style w:type="character" w:customStyle="1" w:styleId="67">
    <w:name w:val="t_tag"/>
    <w:autoRedefine/>
    <w:qFormat/>
    <w:uiPriority w:val="99"/>
    <w:rPr>
      <w:rFonts w:cs="Times New Roman"/>
    </w:rPr>
  </w:style>
  <w:style w:type="paragraph" w:customStyle="1" w:styleId="68">
    <w:name w:val="表格的文字"/>
    <w:basedOn w:val="1"/>
    <w:autoRedefine/>
    <w:qFormat/>
    <w:uiPriority w:val="0"/>
    <w:pPr>
      <w:spacing w:line="300" w:lineRule="exact"/>
      <w:jc w:val="center"/>
    </w:pPr>
    <w:rPr>
      <w:rFonts w:ascii="仿宋_GB2312" w:hAnsi="Calibri" w:eastAsia="仿宋_GB2312"/>
      <w:bCs/>
      <w:kern w:val="0"/>
      <w:sz w:val="20"/>
      <w:szCs w:val="20"/>
    </w:rPr>
  </w:style>
  <w:style w:type="paragraph" w:customStyle="1" w:styleId="69">
    <w:name w:val="标题1"/>
    <w:basedOn w:val="1"/>
    <w:next w:val="1"/>
    <w:autoRedefine/>
    <w:qFormat/>
    <w:uiPriority w:val="0"/>
    <w:pPr>
      <w:tabs>
        <w:tab w:val="left" w:pos="9193"/>
        <w:tab w:val="left" w:pos="9827"/>
      </w:tabs>
      <w:spacing w:line="640" w:lineRule="atLeast"/>
      <w:jc w:val="center"/>
    </w:pPr>
    <w:rPr>
      <w:rFonts w:eastAsia="方正小标宋_GBK"/>
      <w:sz w:val="44"/>
    </w:rPr>
  </w:style>
  <w:style w:type="paragraph" w:customStyle="1" w:styleId="70">
    <w:name w:val="表格内文字"/>
    <w:basedOn w:val="1"/>
    <w:autoRedefine/>
    <w:qFormat/>
    <w:uiPriority w:val="0"/>
    <w:pPr>
      <w:spacing w:before="100" w:after="100" w:line="320" w:lineRule="exact"/>
      <w:jc w:val="center"/>
    </w:pPr>
    <w:rPr>
      <w:rFonts w:ascii="Calibri" w:hAnsi="Calibri"/>
      <w:spacing w:val="10"/>
      <w:kern w:val="0"/>
      <w:sz w:val="24"/>
      <w:szCs w:val="20"/>
    </w:rPr>
  </w:style>
  <w:style w:type="paragraph" w:customStyle="1" w:styleId="71">
    <w:name w:val="表格文字"/>
    <w:basedOn w:val="1"/>
    <w:qFormat/>
    <w:uiPriority w:val="0"/>
    <w:pPr>
      <w:jc w:val="center"/>
    </w:pPr>
    <w:rPr>
      <w:rFonts w:ascii="仿宋_GB2312" w:hAnsi="Arial Black" w:eastAsia="仿宋_GB2312"/>
      <w:kern w:val="44"/>
      <w:sz w:val="24"/>
    </w:rPr>
  </w:style>
  <w:style w:type="character" w:customStyle="1" w:styleId="72">
    <w:name w:val="6表(图)头(治) Char Char"/>
    <w:qFormat/>
    <w:uiPriority w:val="0"/>
    <w:rPr>
      <w:rFonts w:hint="eastAsia" w:ascii="黑体" w:eastAsia="黑体"/>
      <w:b/>
      <w:sz w:val="28"/>
      <w:szCs w:val="28"/>
      <w:lang w:val="en-US" w:eastAsia="zh-CN" w:bidi="ar-SA"/>
    </w:rPr>
  </w:style>
  <w:style w:type="paragraph" w:customStyle="1" w:styleId="73">
    <w:name w:val="1表格"/>
    <w:basedOn w:val="1"/>
    <w:qFormat/>
    <w:uiPriority w:val="0"/>
    <w:pPr>
      <w:spacing w:line="160" w:lineRule="atLeast"/>
      <w:jc w:val="center"/>
    </w:pPr>
    <w:rPr>
      <w:rFonts w:eastAsia="仿宋_GB2312"/>
    </w:rPr>
  </w:style>
  <w:style w:type="paragraph" w:customStyle="1" w:styleId="74">
    <w:name w:val="Table Text"/>
    <w:basedOn w:val="1"/>
    <w:semiHidden/>
    <w:qFormat/>
    <w:uiPriority w:val="0"/>
    <w:rPr>
      <w:rFonts w:ascii="宋体" w:hAnsi="宋体" w:eastAsia="宋体" w:cs="宋体"/>
      <w:sz w:val="21"/>
      <w:szCs w:val="21"/>
      <w:lang w:val="en-US" w:eastAsia="en-US" w:bidi="ar-SA"/>
    </w:rPr>
  </w:style>
  <w:style w:type="table" w:customStyle="1" w:styleId="75">
    <w:name w:val="Table Normal"/>
    <w:semiHidden/>
    <w:unhideWhenUsed/>
    <w:qFormat/>
    <w:uiPriority w:val="0"/>
    <w:tblPr>
      <w:tblCellMar>
        <w:top w:w="0" w:type="dxa"/>
        <w:left w:w="0" w:type="dxa"/>
        <w:bottom w:w="0" w:type="dxa"/>
        <w:right w:w="0" w:type="dxa"/>
      </w:tblCellMar>
    </w:tblPr>
  </w:style>
  <w:style w:type="paragraph" w:customStyle="1" w:styleId="76">
    <w:name w:val="表格中文字"/>
    <w:basedOn w:val="1"/>
    <w:qFormat/>
    <w:uiPriority w:val="0"/>
    <w:pPr>
      <w:jc w:val="center"/>
    </w:pPr>
    <w:rPr>
      <w:rFonts w:ascii="Calibri" w:hAnsi="Calibri"/>
      <w:kern w:val="18"/>
      <w:szCs w:val="21"/>
      <w:lang w:val="zh-CN"/>
    </w:rPr>
  </w:style>
  <w:style w:type="paragraph" w:customStyle="1" w:styleId="77">
    <w:name w:val="表格普通"/>
    <w:basedOn w:val="1"/>
    <w:qFormat/>
    <w:uiPriority w:val="0"/>
    <w:pPr>
      <w:jc w:val="center"/>
    </w:pPr>
    <w:rPr>
      <w:rFonts w:eastAsia="仿宋_GB2312"/>
      <w:szCs w:val="21"/>
    </w:rPr>
  </w:style>
  <w:style w:type="paragraph" w:customStyle="1" w:styleId="78">
    <w:name w:val="报告正文"/>
    <w:unhideWhenUsed/>
    <w:qFormat/>
    <w:uiPriority w:val="0"/>
    <w:pPr>
      <w:spacing w:line="360" w:lineRule="auto"/>
      <w:ind w:firstLine="200" w:firstLineChars="200"/>
    </w:pPr>
    <w:rPr>
      <w:rFonts w:ascii="Times New Roman" w:hAnsi="Times New Roman" w:eastAsia="宋体" w:cs="Times New Roman"/>
      <w:kern w:val="44"/>
      <w:sz w:val="24"/>
      <w:szCs w:val="24"/>
      <w:lang w:val="en-US" w:eastAsia="zh-CN" w:bidi="ar-SA"/>
    </w:rPr>
  </w:style>
  <w:style w:type="paragraph" w:customStyle="1" w:styleId="79">
    <w:name w:val="报告表正文"/>
    <w:basedOn w:val="80"/>
    <w:qFormat/>
    <w:uiPriority w:val="0"/>
    <w:pPr>
      <w:ind w:firstLine="200" w:firstLineChars="200"/>
      <w:jc w:val="left"/>
    </w:pPr>
    <w:rPr>
      <w:rFonts w:ascii="Times New Roman" w:hAnsi="Times New Roman"/>
      <w:szCs w:val="24"/>
    </w:rPr>
  </w:style>
  <w:style w:type="paragraph" w:customStyle="1" w:styleId="80">
    <w:name w:val="列表1"/>
    <w:basedOn w:val="1"/>
    <w:qFormat/>
    <w:uiPriority w:val="0"/>
    <w:pPr>
      <w:spacing w:line="400" w:lineRule="exact"/>
      <w:jc w:val="center"/>
    </w:pPr>
    <w:rPr>
      <w:rFonts w:ascii="宋体" w:hAnsi="宋体" w:eastAsia="仿宋_GB2312"/>
      <w:sz w:val="24"/>
      <w:szCs w:val="20"/>
    </w:rPr>
  </w:style>
  <w:style w:type="character" w:customStyle="1" w:styleId="81">
    <w:name w:val="font41"/>
    <w:basedOn w:val="26"/>
    <w:qFormat/>
    <w:uiPriority w:val="0"/>
    <w:rPr>
      <w:rFonts w:hint="default" w:ascii="Times New Roman" w:hAnsi="Times New Roman" w:cs="Times New Roman"/>
      <w:color w:val="000000"/>
      <w:sz w:val="21"/>
      <w:szCs w:val="21"/>
      <w:u w:val="none"/>
      <w:vertAlign w:val="subscript"/>
    </w:rPr>
  </w:style>
  <w:style w:type="character" w:customStyle="1" w:styleId="82">
    <w:name w:val="font51"/>
    <w:basedOn w:val="26"/>
    <w:qFormat/>
    <w:uiPriority w:val="0"/>
    <w:rPr>
      <w:rFonts w:hint="default" w:ascii="Times New Roman" w:hAnsi="Times New Roman" w:cs="Times New Roman"/>
      <w:color w:val="000000"/>
      <w:sz w:val="21"/>
      <w:szCs w:val="21"/>
      <w:u w:val="none"/>
    </w:rPr>
  </w:style>
  <w:style w:type="character" w:customStyle="1" w:styleId="83">
    <w:name w:val="font61"/>
    <w:basedOn w:val="26"/>
    <w:qFormat/>
    <w:uiPriority w:val="0"/>
    <w:rPr>
      <w:rFonts w:hint="default" w:ascii="Times New Roman" w:hAnsi="Times New Roman" w:cs="Times New Roman"/>
      <w:color w:val="000000"/>
      <w:sz w:val="21"/>
      <w:szCs w:val="21"/>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8" Type="http://schemas.openxmlformats.org/officeDocument/2006/relationships/fontTable" Target="fontTable.xml"/><Relationship Id="rId67" Type="http://schemas.openxmlformats.org/officeDocument/2006/relationships/numbering" Target="numbering.xml"/><Relationship Id="rId66" Type="http://schemas.openxmlformats.org/officeDocument/2006/relationships/image" Target="media/image40.png"/><Relationship Id="rId65" Type="http://schemas.openxmlformats.org/officeDocument/2006/relationships/image" Target="media/image39.wmf"/><Relationship Id="rId64" Type="http://schemas.openxmlformats.org/officeDocument/2006/relationships/image" Target="media/image38.wmf"/><Relationship Id="rId63" Type="http://schemas.openxmlformats.org/officeDocument/2006/relationships/image" Target="media/image37.wmf"/><Relationship Id="rId62" Type="http://schemas.openxmlformats.org/officeDocument/2006/relationships/image" Target="media/image36.wmf"/><Relationship Id="rId61" Type="http://schemas.openxmlformats.org/officeDocument/2006/relationships/image" Target="media/image35.wmf"/><Relationship Id="rId60" Type="http://schemas.openxmlformats.org/officeDocument/2006/relationships/image" Target="media/image34.wmf"/><Relationship Id="rId6" Type="http://schemas.openxmlformats.org/officeDocument/2006/relationships/footer" Target="footer4.xml"/><Relationship Id="rId59" Type="http://schemas.openxmlformats.org/officeDocument/2006/relationships/image" Target="media/image33.wmf"/><Relationship Id="rId58" Type="http://schemas.openxmlformats.org/officeDocument/2006/relationships/image" Target="media/image32.wmf"/><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footer" Target="footer3.xml"/><Relationship Id="rId49" Type="http://schemas.openxmlformats.org/officeDocument/2006/relationships/image" Target="media/image27.wmf"/><Relationship Id="rId48" Type="http://schemas.openxmlformats.org/officeDocument/2006/relationships/image" Target="media/image26.wmf"/><Relationship Id="rId47" Type="http://schemas.openxmlformats.org/officeDocument/2006/relationships/image" Target="media/image25.png"/><Relationship Id="rId46" Type="http://schemas.openxmlformats.org/officeDocument/2006/relationships/image" Target="media/image24.wmf"/><Relationship Id="rId45" Type="http://schemas.openxmlformats.org/officeDocument/2006/relationships/image" Target="media/image23.wmf"/><Relationship Id="rId44" Type="http://schemas.openxmlformats.org/officeDocument/2006/relationships/image" Target="media/image22.wmf"/><Relationship Id="rId43" Type="http://schemas.openxmlformats.org/officeDocument/2006/relationships/image" Target="media/image21.wmf"/><Relationship Id="rId42" Type="http://schemas.openxmlformats.org/officeDocument/2006/relationships/image" Target="media/image20.wmf"/><Relationship Id="rId41" Type="http://schemas.openxmlformats.org/officeDocument/2006/relationships/image" Target="media/image19.wmf"/><Relationship Id="rId40" Type="http://schemas.openxmlformats.org/officeDocument/2006/relationships/image" Target="media/image18.wmf"/><Relationship Id="rId4" Type="http://schemas.openxmlformats.org/officeDocument/2006/relationships/footer" Target="foot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footer" Target="foot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wmf"/><Relationship Id="rId23" Type="http://schemas.openxmlformats.org/officeDocument/2006/relationships/oleObject" Target="embeddings/oleObject5.bin"/><Relationship Id="rId22" Type="http://schemas.openxmlformats.org/officeDocument/2006/relationships/image" Target="media/image9.wmf"/><Relationship Id="rId21" Type="http://schemas.openxmlformats.org/officeDocument/2006/relationships/image" Target="media/image8.wmf"/><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emf"/><Relationship Id="rId17" Type="http://schemas.openxmlformats.org/officeDocument/2006/relationships/oleObject" Target="embeddings/oleObject4.bin"/><Relationship Id="rId16" Type="http://schemas.openxmlformats.org/officeDocument/2006/relationships/image" Target="media/image4.png"/><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wdzx97</Template>
  <Company>微软中国</Company>
  <Pages>86</Pages>
  <Words>54728</Words>
  <Characters>61445</Characters>
  <Lines>491</Lines>
  <Paragraphs>138</Paragraphs>
  <TotalTime>31</TotalTime>
  <ScaleCrop>false</ScaleCrop>
  <LinksUpToDate>false</LinksUpToDate>
  <CharactersWithSpaces>61900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2024-07-03T18:55:00Z</dcterms:created>
  <dc:creator>lhj</dc:creator>
  <cp:lastModifiedBy>小魏</cp:lastModifiedBy>
  <cp:lastPrinted>2023-02-27T19:17:00Z</cp:lastPrinted>
  <dcterms:modified xsi:type="dcterms:W3CDTF">2025-10-27T08:03:30Z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1B618655E48844CF8FB82FC583BC3CA0_13</vt:lpwstr>
  </property>
  <property fmtid="{D5CDD505-2E9C-101B-9397-08002B2CF9AE}" pid="4" name="KSOTemplateDocerSaveRecord">
    <vt:lpwstr>eyJoZGlkIjoiYTI1OWY3YWY2NTA0Nzc3ZmYzNjAwNmY3YTUzMmVjMmEiLCJ1c2VySWQiOiI3MTc4NTcyODMifQ==</vt:lpwstr>
  </property>
</Properties>
</file>