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B74C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eastAsia="宋体" w:cs="Times New Roman"/>
          <w:b/>
          <w:color w:val="auto"/>
          <w:sz w:val="32"/>
          <w:szCs w:val="32"/>
          <w:highlight w:val="none"/>
        </w:rPr>
      </w:pPr>
      <w:r>
        <w:rPr>
          <w:rFonts w:hint="eastAsia" w:ascii="Times New Roman" w:hAnsi="Times New Roman" w:eastAsia="宋体" w:cs="Times New Roman"/>
          <w:b/>
          <w:color w:val="auto"/>
          <w:sz w:val="32"/>
          <w:szCs w:val="32"/>
          <w:highlight w:val="none"/>
          <w:lang w:eastAsia="zh-CN"/>
        </w:rPr>
        <w:t>江苏汇富新型材料有限公司新建包装材料生产项目</w:t>
      </w:r>
      <w:r>
        <w:rPr>
          <w:rFonts w:ascii="Times New Roman" w:hAnsi="Times New Roman" w:eastAsia="宋体" w:cs="Times New Roman"/>
          <w:b/>
          <w:color w:val="auto"/>
          <w:sz w:val="32"/>
          <w:szCs w:val="32"/>
          <w:highlight w:val="none"/>
        </w:rPr>
        <w:t>竣工环境保护验收意见</w:t>
      </w:r>
    </w:p>
    <w:p w14:paraId="56E2072A">
      <w:pPr>
        <w:pStyle w:val="2"/>
        <w:rPr>
          <w:color w:val="auto"/>
          <w:sz w:val="21"/>
          <w:szCs w:val="21"/>
          <w:highlight w:val="none"/>
        </w:rPr>
      </w:pPr>
    </w:p>
    <w:p w14:paraId="2F00E26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20</w:t>
      </w:r>
      <w:r>
        <w:rPr>
          <w:rFonts w:hint="eastAsia" w:ascii="Times New Roman" w:hAnsi="Times New Roman" w:eastAsia="宋体" w:cs="Times New Roman"/>
          <w:color w:val="auto"/>
          <w:sz w:val="21"/>
          <w:szCs w:val="21"/>
          <w:highlight w:val="none"/>
        </w:rPr>
        <w:t>2</w:t>
      </w:r>
      <w:r>
        <w:rPr>
          <w:rFonts w:hint="eastAsia" w:ascii="Times New Roman" w:hAnsi="Times New Roman" w:eastAsia="宋体" w:cs="Times New Roman"/>
          <w:color w:val="auto"/>
          <w:sz w:val="21"/>
          <w:szCs w:val="21"/>
          <w:highlight w:val="none"/>
          <w:lang w:val="en-US" w:eastAsia="zh-CN"/>
        </w:rPr>
        <w:t>5</w:t>
      </w:r>
      <w:r>
        <w:rPr>
          <w:rFonts w:ascii="Times New Roman" w:hAnsi="Times New Roman" w:eastAsia="宋体" w:cs="Times New Roman"/>
          <w:color w:val="auto"/>
          <w:sz w:val="21"/>
          <w:szCs w:val="21"/>
          <w:highlight w:val="none"/>
        </w:rPr>
        <w:t>年</w:t>
      </w:r>
      <w:r>
        <w:rPr>
          <w:rFonts w:hint="eastAsia" w:ascii="Times New Roman" w:hAnsi="Times New Roman" w:eastAsia="宋体" w:cs="Times New Roman"/>
          <w:color w:val="auto"/>
          <w:sz w:val="21"/>
          <w:szCs w:val="21"/>
          <w:highlight w:val="none"/>
          <w:lang w:val="en-US" w:eastAsia="zh-CN"/>
        </w:rPr>
        <w:t>8</w:t>
      </w:r>
      <w:r>
        <w:rPr>
          <w:rFonts w:ascii="Times New Roman" w:hAnsi="Times New Roman" w:eastAsia="宋体" w:cs="Times New Roman"/>
          <w:color w:val="auto"/>
          <w:sz w:val="21"/>
          <w:szCs w:val="21"/>
          <w:highlight w:val="none"/>
        </w:rPr>
        <w:t>月</w:t>
      </w:r>
      <w:r>
        <w:rPr>
          <w:rFonts w:hint="eastAsia" w:ascii="Times New Roman" w:hAnsi="Times New Roman" w:eastAsia="宋体" w:cs="Times New Roman"/>
          <w:color w:val="auto"/>
          <w:sz w:val="21"/>
          <w:szCs w:val="21"/>
          <w:highlight w:val="none"/>
          <w:lang w:val="en-US" w:eastAsia="zh-CN"/>
        </w:rPr>
        <w:t>27日</w:t>
      </w:r>
      <w:r>
        <w:rPr>
          <w:rFonts w:ascii="Times New Roman" w:hAnsi="Times New Roman" w:eastAsia="宋体" w:cs="Times New Roman"/>
          <w:color w:val="auto"/>
          <w:sz w:val="21"/>
          <w:szCs w:val="21"/>
          <w:highlight w:val="none"/>
        </w:rPr>
        <w:t>，</w:t>
      </w:r>
      <w:r>
        <w:rPr>
          <w:rFonts w:hint="eastAsia" w:ascii="Times New Roman" w:hAnsi="Times New Roman" w:eastAsia="宋体" w:cs="Times New Roman"/>
          <w:color w:val="auto"/>
          <w:sz w:val="21"/>
          <w:szCs w:val="21"/>
          <w:highlight w:val="none"/>
          <w:lang w:eastAsia="zh-CN"/>
        </w:rPr>
        <w:t>江苏汇富新型材料有限公司</w:t>
      </w:r>
      <w:r>
        <w:rPr>
          <w:rFonts w:ascii="Times New Roman" w:hAnsi="Times New Roman" w:eastAsia="宋体" w:cs="Times New Roman"/>
          <w:color w:val="auto"/>
          <w:sz w:val="21"/>
          <w:szCs w:val="21"/>
          <w:highlight w:val="none"/>
        </w:rPr>
        <w:t>根据</w:t>
      </w:r>
      <w:r>
        <w:rPr>
          <w:rFonts w:hint="eastAsia" w:ascii="Times New Roman" w:hAnsi="Times New Roman" w:eastAsia="宋体" w:cs="Times New Roman"/>
          <w:color w:val="auto"/>
          <w:sz w:val="21"/>
          <w:szCs w:val="21"/>
          <w:highlight w:val="none"/>
          <w:lang w:eastAsia="zh-CN"/>
        </w:rPr>
        <w:t>新建包装材料生产项目</w:t>
      </w:r>
      <w:r>
        <w:rPr>
          <w:rFonts w:ascii="Times New Roman" w:hAnsi="Times New Roman" w:eastAsia="宋体" w:cs="Times New Roman"/>
          <w:color w:val="auto"/>
          <w:sz w:val="21"/>
          <w:szCs w:val="21"/>
          <w:highlight w:val="none"/>
        </w:rPr>
        <w:t>竣工环境保护验收监测报告</w:t>
      </w:r>
      <w:r>
        <w:rPr>
          <w:rFonts w:hint="eastAsia" w:ascii="Times New Roman" w:hAnsi="Times New Roman" w:eastAsia="宋体" w:cs="Times New Roman"/>
          <w:color w:val="auto"/>
          <w:sz w:val="21"/>
          <w:szCs w:val="21"/>
          <w:highlight w:val="none"/>
          <w:lang w:val="en-US" w:eastAsia="zh-CN"/>
        </w:rPr>
        <w:t>表</w:t>
      </w:r>
      <w:r>
        <w:rPr>
          <w:rFonts w:ascii="Times New Roman" w:hAnsi="Times New Roman" w:eastAsia="宋体" w:cs="Times New Roman"/>
          <w:color w:val="auto"/>
          <w:sz w:val="21"/>
          <w:szCs w:val="21"/>
          <w:highlight w:val="none"/>
        </w:rPr>
        <w:t>并对照《建设项目竣工环境保护验收暂行办法》，</w:t>
      </w:r>
      <w:r>
        <w:rPr>
          <w:rFonts w:hint="eastAsia" w:ascii="Times New Roman" w:hAnsi="Times New Roman" w:eastAsia="宋体" w:cs="Times New Roman"/>
          <w:color w:val="auto"/>
          <w:sz w:val="21"/>
          <w:szCs w:val="21"/>
          <w:highlight w:val="none"/>
          <w:lang w:val="en-US" w:eastAsia="zh-CN"/>
        </w:rPr>
        <w:t>严格</w:t>
      </w:r>
      <w:r>
        <w:rPr>
          <w:rFonts w:ascii="Times New Roman" w:hAnsi="Times New Roman" w:eastAsia="宋体" w:cs="Times New Roman"/>
          <w:color w:val="auto"/>
          <w:sz w:val="21"/>
          <w:szCs w:val="21"/>
          <w:highlight w:val="none"/>
        </w:rPr>
        <w:t>依照国家有关法律法规、建设项目竣工环境保护验收技术规范、本项目环境影响评价报告表和审批部门审批决定等要求对本项目进行验收，提出意见如下：</w:t>
      </w:r>
    </w:p>
    <w:p w14:paraId="3921A4D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一、工程建设基本情况</w:t>
      </w:r>
    </w:p>
    <w:p w14:paraId="31BFE43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1、建设地点、规模、主要建设内容</w:t>
      </w:r>
    </w:p>
    <w:p w14:paraId="74664F54">
      <w:pPr>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color w:val="auto"/>
          <w:sz w:val="21"/>
          <w:szCs w:val="21"/>
          <w:highlight w:val="none"/>
        </w:rPr>
        <w:t>江苏汇富新型材料有限公司成立于2022年9月26日，统一社会信用代码为91320413MA27RT687E，公司注册地址为江苏省金坛经济开发区汇福路3号。为了满足市场需求，江苏汇富新型材料有限公司计划投资1000万，购置混合</w:t>
      </w:r>
      <w:r>
        <w:rPr>
          <w:rFonts w:hint="default" w:ascii="Times New Roman" w:hAnsi="Times New Roman" w:eastAsia="宋体" w:cs="Times New Roman"/>
          <w:b w:val="0"/>
          <w:bCs/>
          <w:color w:val="auto"/>
          <w:sz w:val="21"/>
          <w:szCs w:val="21"/>
          <w:highlight w:val="none"/>
          <w:lang w:val="en-US" w:eastAsia="zh-CN"/>
        </w:rPr>
        <w:t>设备</w:t>
      </w:r>
      <w:r>
        <w:rPr>
          <w:rFonts w:hint="default" w:ascii="Times New Roman" w:hAnsi="Times New Roman" w:eastAsia="宋体" w:cs="Times New Roman"/>
          <w:b w:val="0"/>
          <w:bCs/>
          <w:color w:val="auto"/>
          <w:sz w:val="21"/>
          <w:szCs w:val="21"/>
          <w:highlight w:val="none"/>
        </w:rPr>
        <w:t>、挤出成型机等生产设备，租赁常州市奥翔服装印花有限公司空置厂房1000m</w:t>
      </w:r>
      <w:r>
        <w:rPr>
          <w:rFonts w:hint="default" w:ascii="Times New Roman" w:hAnsi="Times New Roman" w:eastAsia="宋体" w:cs="Times New Roman"/>
          <w:b w:val="0"/>
          <w:bCs/>
          <w:color w:val="auto"/>
          <w:sz w:val="21"/>
          <w:szCs w:val="21"/>
          <w:highlight w:val="none"/>
          <w:vertAlign w:val="superscript"/>
        </w:rPr>
        <w:t>2</w:t>
      </w:r>
      <w:r>
        <w:rPr>
          <w:rFonts w:hint="default" w:ascii="Times New Roman" w:hAnsi="Times New Roman" w:eastAsia="宋体" w:cs="Times New Roman"/>
          <w:b w:val="0"/>
          <w:bCs/>
          <w:color w:val="auto"/>
          <w:sz w:val="21"/>
          <w:szCs w:val="21"/>
          <w:highlight w:val="none"/>
        </w:rPr>
        <w:t>用于“新建包装材料生产项目”的生产活动，项目建成后可年产汽车零部件包装材料4800吨、家装包装材料3200吨、其他包装材料2000吨。</w:t>
      </w:r>
      <w:r>
        <w:rPr>
          <w:rFonts w:hint="default" w:ascii="Times New Roman" w:hAnsi="Times New Roman" w:eastAsia="宋体" w:cs="Times New Roman"/>
          <w:b w:val="0"/>
          <w:bCs/>
          <w:color w:val="auto"/>
          <w:sz w:val="21"/>
          <w:szCs w:val="21"/>
          <w:highlight w:val="none"/>
          <w:lang w:val="en-US" w:eastAsia="zh-CN"/>
        </w:rPr>
        <w:t>目前，该项目已达到</w:t>
      </w:r>
      <w:r>
        <w:rPr>
          <w:rFonts w:hint="default" w:ascii="Times New Roman" w:hAnsi="Times New Roman" w:eastAsia="宋体" w:cs="Times New Roman"/>
          <w:b w:val="0"/>
          <w:bCs/>
          <w:color w:val="auto"/>
          <w:sz w:val="21"/>
          <w:szCs w:val="21"/>
          <w:highlight w:val="none"/>
        </w:rPr>
        <w:t>年产汽车零部件包装材料</w:t>
      </w:r>
      <w:r>
        <w:rPr>
          <w:rFonts w:hint="eastAsia" w:ascii="Times New Roman" w:hAnsi="Times New Roman" w:eastAsia="宋体" w:cs="Times New Roman"/>
          <w:b w:val="0"/>
          <w:bCs/>
          <w:color w:val="auto"/>
          <w:sz w:val="21"/>
          <w:szCs w:val="21"/>
          <w:highlight w:val="none"/>
          <w:lang w:val="en-US" w:eastAsia="zh-CN"/>
        </w:rPr>
        <w:t>48</w:t>
      </w:r>
      <w:r>
        <w:rPr>
          <w:rFonts w:hint="default" w:ascii="Times New Roman" w:hAnsi="Times New Roman" w:eastAsia="宋体" w:cs="Times New Roman"/>
          <w:b w:val="0"/>
          <w:bCs/>
          <w:color w:val="auto"/>
          <w:sz w:val="21"/>
          <w:szCs w:val="21"/>
          <w:highlight w:val="none"/>
          <w:lang w:val="en-US" w:eastAsia="zh-CN"/>
        </w:rPr>
        <w:t>00</w:t>
      </w:r>
      <w:r>
        <w:rPr>
          <w:rFonts w:hint="default" w:ascii="Times New Roman" w:hAnsi="Times New Roman" w:eastAsia="宋体" w:cs="Times New Roman"/>
          <w:b w:val="0"/>
          <w:bCs/>
          <w:color w:val="auto"/>
          <w:sz w:val="21"/>
          <w:szCs w:val="21"/>
          <w:highlight w:val="none"/>
        </w:rPr>
        <w:t>吨、家装包装材料</w:t>
      </w:r>
      <w:r>
        <w:rPr>
          <w:rFonts w:hint="eastAsia" w:ascii="Times New Roman" w:hAnsi="Times New Roman" w:eastAsia="宋体" w:cs="Times New Roman"/>
          <w:b w:val="0"/>
          <w:bCs/>
          <w:color w:val="auto"/>
          <w:sz w:val="21"/>
          <w:szCs w:val="21"/>
          <w:highlight w:val="none"/>
          <w:lang w:val="en-US" w:eastAsia="zh-CN"/>
        </w:rPr>
        <w:t>32</w:t>
      </w:r>
      <w:r>
        <w:rPr>
          <w:rFonts w:hint="default" w:ascii="Times New Roman" w:hAnsi="Times New Roman" w:eastAsia="宋体" w:cs="Times New Roman"/>
          <w:b w:val="0"/>
          <w:bCs/>
          <w:color w:val="auto"/>
          <w:sz w:val="21"/>
          <w:szCs w:val="21"/>
          <w:highlight w:val="none"/>
          <w:lang w:val="en-US" w:eastAsia="zh-CN"/>
        </w:rPr>
        <w:t>00</w:t>
      </w:r>
      <w:r>
        <w:rPr>
          <w:rFonts w:hint="default" w:ascii="Times New Roman" w:hAnsi="Times New Roman" w:eastAsia="宋体" w:cs="Times New Roman"/>
          <w:b w:val="0"/>
          <w:bCs/>
          <w:color w:val="auto"/>
          <w:sz w:val="21"/>
          <w:szCs w:val="21"/>
          <w:highlight w:val="none"/>
        </w:rPr>
        <w:t>吨、其他包装材料</w:t>
      </w:r>
      <w:r>
        <w:rPr>
          <w:rFonts w:hint="default" w:ascii="Times New Roman" w:hAnsi="Times New Roman" w:eastAsia="宋体" w:cs="Times New Roman"/>
          <w:b w:val="0"/>
          <w:bCs/>
          <w:color w:val="auto"/>
          <w:sz w:val="21"/>
          <w:szCs w:val="21"/>
          <w:highlight w:val="none"/>
          <w:lang w:val="en-US" w:eastAsia="zh-CN"/>
        </w:rPr>
        <w:t>1</w:t>
      </w:r>
      <w:r>
        <w:rPr>
          <w:rFonts w:hint="eastAsia" w:ascii="Times New Roman" w:hAnsi="Times New Roman" w:eastAsia="宋体" w:cs="Times New Roman"/>
          <w:b w:val="0"/>
          <w:bCs/>
          <w:color w:val="auto"/>
          <w:sz w:val="21"/>
          <w:szCs w:val="21"/>
          <w:highlight w:val="none"/>
          <w:lang w:val="en-US" w:eastAsia="zh-CN"/>
        </w:rPr>
        <w:t>2</w:t>
      </w:r>
      <w:r>
        <w:rPr>
          <w:rFonts w:hint="default" w:ascii="Times New Roman" w:hAnsi="Times New Roman" w:eastAsia="宋体" w:cs="Times New Roman"/>
          <w:b w:val="0"/>
          <w:bCs/>
          <w:color w:val="auto"/>
          <w:sz w:val="21"/>
          <w:szCs w:val="21"/>
          <w:highlight w:val="none"/>
        </w:rPr>
        <w:t>00吨</w:t>
      </w:r>
      <w:r>
        <w:rPr>
          <w:rFonts w:hint="default" w:ascii="Times New Roman" w:hAnsi="Times New Roman" w:eastAsia="宋体" w:cs="Times New Roman"/>
          <w:b w:val="0"/>
          <w:bCs/>
          <w:color w:val="auto"/>
          <w:sz w:val="21"/>
          <w:szCs w:val="21"/>
          <w:highlight w:val="none"/>
          <w:lang w:val="en-US" w:eastAsia="zh-CN"/>
        </w:rPr>
        <w:t>的生产能力。</w:t>
      </w:r>
    </w:p>
    <w:p w14:paraId="5D56E03A">
      <w:pPr>
        <w:pageBreakBefore w:val="0"/>
        <w:widowControl w:val="0"/>
        <w:numPr>
          <w:ilvl w:val="0"/>
          <w:numId w:val="2"/>
        </w:numPr>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b w:val="0"/>
          <w:bCs w:val="0"/>
          <w:color w:val="auto"/>
          <w:sz w:val="21"/>
          <w:szCs w:val="21"/>
          <w:highlight w:val="none"/>
        </w:rPr>
      </w:pPr>
      <w:r>
        <w:rPr>
          <w:rFonts w:hint="default" w:ascii="Times New Roman" w:hAnsi="Times New Roman" w:eastAsia="宋体" w:cs="Times New Roman"/>
          <w:b w:val="0"/>
          <w:bCs w:val="0"/>
          <w:color w:val="auto"/>
          <w:sz w:val="21"/>
          <w:szCs w:val="21"/>
          <w:highlight w:val="none"/>
        </w:rPr>
        <w:t>建设过程及环保审批情况</w:t>
      </w:r>
    </w:p>
    <w:p w14:paraId="658701BE">
      <w:pPr>
        <w:pStyle w:val="3"/>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b w:val="0"/>
          <w:bCs w:val="0"/>
          <w:color w:val="auto"/>
          <w:kern w:val="2"/>
          <w:sz w:val="21"/>
          <w:szCs w:val="21"/>
          <w:highlight w:val="none"/>
          <w:lang w:val="en-US" w:eastAsia="zh-CN" w:bidi="ar-SA"/>
        </w:rPr>
      </w:pPr>
      <w:r>
        <w:rPr>
          <w:rFonts w:hint="eastAsia" w:ascii="Times New Roman" w:hAnsi="Times New Roman" w:eastAsia="宋体" w:cs="Times New Roman"/>
          <w:b w:val="0"/>
          <w:bCs w:val="0"/>
          <w:color w:val="auto"/>
          <w:kern w:val="2"/>
          <w:sz w:val="21"/>
          <w:szCs w:val="21"/>
          <w:highlight w:val="none"/>
          <w:lang w:val="en-US" w:eastAsia="zh-CN" w:bidi="ar-SA"/>
        </w:rPr>
        <w:t>江苏汇富新型材料有限公司于</w:t>
      </w:r>
      <w:r>
        <w:rPr>
          <w:rFonts w:hint="default" w:ascii="Times New Roman" w:hAnsi="Times New Roman" w:eastAsia="宋体" w:cs="Times New Roman"/>
          <w:b w:val="0"/>
          <w:bCs/>
          <w:color w:val="auto"/>
          <w:sz w:val="21"/>
          <w:szCs w:val="21"/>
          <w:highlight w:val="none"/>
          <w:lang w:val="en-US" w:eastAsia="zh-CN"/>
        </w:rPr>
        <w:t>2024年2月4日取得</w:t>
      </w:r>
      <w:r>
        <w:rPr>
          <w:rFonts w:hint="default" w:ascii="Times New Roman" w:hAnsi="Times New Roman" w:eastAsia="宋体" w:cs="Times New Roman"/>
          <w:b w:val="0"/>
          <w:bCs/>
          <w:color w:val="auto"/>
          <w:sz w:val="21"/>
          <w:szCs w:val="21"/>
          <w:highlight w:val="none"/>
        </w:rPr>
        <w:t>常州市生态环境局</w:t>
      </w:r>
      <w:r>
        <w:rPr>
          <w:rFonts w:hint="default" w:ascii="Times New Roman" w:hAnsi="Times New Roman" w:eastAsia="宋体" w:cs="Times New Roman"/>
          <w:b w:val="0"/>
          <w:bCs/>
          <w:color w:val="auto"/>
          <w:sz w:val="21"/>
          <w:szCs w:val="21"/>
          <w:highlight w:val="none"/>
          <w:lang w:val="en-US" w:eastAsia="zh-CN"/>
        </w:rPr>
        <w:t>的批复文件（批复文号：常金环审[2024]19号）</w:t>
      </w: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eastAsia="宋体" w:cs="Times New Roman"/>
          <w:b w:val="0"/>
          <w:bCs w:val="0"/>
          <w:snapToGrid w:val="0"/>
          <w:color w:val="auto"/>
          <w:kern w:val="0"/>
          <w:sz w:val="21"/>
          <w:szCs w:val="21"/>
          <w:highlight w:val="none"/>
          <w:lang w:val="en-US" w:eastAsia="zh-CN"/>
        </w:rPr>
        <w:t>于</w:t>
      </w:r>
      <w:r>
        <w:rPr>
          <w:rFonts w:hint="default" w:ascii="Times New Roman" w:hAnsi="Times New Roman" w:eastAsia="宋体" w:cs="Times New Roman"/>
          <w:b w:val="0"/>
          <w:bCs w:val="0"/>
          <w:color w:val="auto"/>
          <w:sz w:val="21"/>
          <w:szCs w:val="21"/>
          <w:highlight w:val="none"/>
          <w:lang w:val="en-US" w:eastAsia="zh-CN"/>
        </w:rPr>
        <w:t>202</w:t>
      </w:r>
      <w:r>
        <w:rPr>
          <w:rFonts w:hint="eastAsia" w:ascii="Times New Roman" w:hAnsi="Times New Roman" w:eastAsia="宋体" w:cs="Times New Roman"/>
          <w:b w:val="0"/>
          <w:bCs w:val="0"/>
          <w:color w:val="auto"/>
          <w:sz w:val="21"/>
          <w:szCs w:val="21"/>
          <w:highlight w:val="none"/>
          <w:lang w:val="en-US" w:eastAsia="zh-CN"/>
        </w:rPr>
        <w:t>4</w:t>
      </w:r>
      <w:r>
        <w:rPr>
          <w:rFonts w:hint="default" w:ascii="Times New Roman" w:hAnsi="Times New Roman" w:eastAsia="宋体" w:cs="Times New Roman"/>
          <w:b w:val="0"/>
          <w:bCs w:val="0"/>
          <w:color w:val="auto"/>
          <w:sz w:val="21"/>
          <w:szCs w:val="21"/>
          <w:highlight w:val="none"/>
          <w:lang w:val="en-US" w:eastAsia="zh-CN"/>
        </w:rPr>
        <w:t>年1</w:t>
      </w:r>
      <w:r>
        <w:rPr>
          <w:rFonts w:hint="eastAsia" w:ascii="Times New Roman" w:hAnsi="Times New Roman" w:eastAsia="宋体" w:cs="Times New Roman"/>
          <w:b w:val="0"/>
          <w:bCs w:val="0"/>
          <w:color w:val="auto"/>
          <w:sz w:val="21"/>
          <w:szCs w:val="21"/>
          <w:highlight w:val="none"/>
          <w:lang w:val="en-US" w:eastAsia="zh-CN"/>
        </w:rPr>
        <w:t>0</w:t>
      </w:r>
      <w:r>
        <w:rPr>
          <w:rFonts w:hint="default" w:ascii="Times New Roman" w:hAnsi="Times New Roman" w:eastAsia="宋体" w:cs="Times New Roman"/>
          <w:b w:val="0"/>
          <w:bCs w:val="0"/>
          <w:color w:val="auto"/>
          <w:sz w:val="21"/>
          <w:szCs w:val="21"/>
          <w:highlight w:val="none"/>
          <w:lang w:val="en-US" w:eastAsia="zh-CN"/>
        </w:rPr>
        <w:t>月</w:t>
      </w:r>
      <w:r>
        <w:rPr>
          <w:rFonts w:hint="default" w:ascii="Times New Roman" w:hAnsi="Times New Roman" w:eastAsia="宋体" w:cs="Times New Roman"/>
          <w:b w:val="0"/>
          <w:bCs w:val="0"/>
          <w:color w:val="auto"/>
          <w:sz w:val="21"/>
          <w:szCs w:val="21"/>
          <w:highlight w:val="none"/>
        </w:rPr>
        <w:t>开工建设，</w:t>
      </w:r>
      <w:r>
        <w:rPr>
          <w:rFonts w:hint="default" w:ascii="Times New Roman" w:hAnsi="Times New Roman" w:eastAsia="宋体" w:cs="Times New Roman"/>
          <w:b w:val="0"/>
          <w:bCs w:val="0"/>
          <w:color w:val="auto"/>
          <w:sz w:val="21"/>
          <w:szCs w:val="21"/>
          <w:highlight w:val="none"/>
          <w:lang w:val="en-US" w:eastAsia="zh-CN"/>
        </w:rPr>
        <w:t>于202</w:t>
      </w:r>
      <w:r>
        <w:rPr>
          <w:rFonts w:hint="eastAsia" w:ascii="Times New Roman" w:hAnsi="Times New Roman" w:eastAsia="宋体" w:cs="Times New Roman"/>
          <w:b w:val="0"/>
          <w:bCs w:val="0"/>
          <w:color w:val="auto"/>
          <w:sz w:val="21"/>
          <w:szCs w:val="21"/>
          <w:highlight w:val="none"/>
          <w:lang w:val="en-US" w:eastAsia="zh-CN"/>
        </w:rPr>
        <w:t>4</w:t>
      </w:r>
      <w:r>
        <w:rPr>
          <w:rFonts w:hint="default" w:ascii="Times New Roman" w:hAnsi="Times New Roman" w:eastAsia="宋体" w:cs="Times New Roman"/>
          <w:b w:val="0"/>
          <w:bCs w:val="0"/>
          <w:color w:val="auto"/>
          <w:sz w:val="21"/>
          <w:szCs w:val="21"/>
          <w:highlight w:val="none"/>
          <w:lang w:val="en-US" w:eastAsia="zh-CN"/>
        </w:rPr>
        <w:t>年</w:t>
      </w:r>
      <w:r>
        <w:rPr>
          <w:rFonts w:hint="eastAsia" w:ascii="Times New Roman" w:hAnsi="Times New Roman" w:eastAsia="宋体" w:cs="Times New Roman"/>
          <w:b w:val="0"/>
          <w:bCs w:val="0"/>
          <w:color w:val="auto"/>
          <w:sz w:val="21"/>
          <w:szCs w:val="21"/>
          <w:highlight w:val="none"/>
          <w:lang w:val="en-US" w:eastAsia="zh-CN"/>
        </w:rPr>
        <w:t>11</w:t>
      </w:r>
      <w:r>
        <w:rPr>
          <w:rFonts w:hint="default" w:ascii="Times New Roman" w:hAnsi="Times New Roman" w:eastAsia="宋体" w:cs="Times New Roman"/>
          <w:b w:val="0"/>
          <w:bCs w:val="0"/>
          <w:color w:val="auto"/>
          <w:sz w:val="21"/>
          <w:szCs w:val="21"/>
          <w:highlight w:val="none"/>
          <w:lang w:val="en-US" w:eastAsia="zh-CN"/>
        </w:rPr>
        <w:t>月建成进入调试期，目前，</w:t>
      </w:r>
      <w:r>
        <w:rPr>
          <w:rFonts w:hint="default" w:ascii="Times New Roman" w:hAnsi="Times New Roman" w:eastAsia="宋体" w:cs="Times New Roman"/>
          <w:b w:val="0"/>
          <w:bCs/>
          <w:color w:val="auto"/>
          <w:sz w:val="21"/>
          <w:szCs w:val="21"/>
          <w:highlight w:val="none"/>
          <w:lang w:val="en-US" w:eastAsia="zh-CN"/>
        </w:rPr>
        <w:t>该项目已达到</w:t>
      </w:r>
      <w:r>
        <w:rPr>
          <w:rFonts w:hint="default" w:ascii="Times New Roman" w:hAnsi="Times New Roman" w:eastAsia="宋体" w:cs="Times New Roman"/>
          <w:b w:val="0"/>
          <w:bCs/>
          <w:color w:val="auto"/>
          <w:sz w:val="21"/>
          <w:szCs w:val="21"/>
          <w:highlight w:val="none"/>
        </w:rPr>
        <w:t>年产汽车零部件包装材料</w:t>
      </w:r>
      <w:r>
        <w:rPr>
          <w:rFonts w:hint="default" w:ascii="Times New Roman" w:hAnsi="Times New Roman" w:eastAsia="宋体" w:cs="Times New Roman"/>
          <w:b w:val="0"/>
          <w:bCs/>
          <w:color w:val="auto"/>
          <w:sz w:val="21"/>
          <w:szCs w:val="21"/>
          <w:highlight w:val="none"/>
          <w:lang w:val="en-US" w:eastAsia="zh-CN"/>
        </w:rPr>
        <w:t>2400</w:t>
      </w:r>
      <w:r>
        <w:rPr>
          <w:rFonts w:hint="default" w:ascii="Times New Roman" w:hAnsi="Times New Roman" w:eastAsia="宋体" w:cs="Times New Roman"/>
          <w:b w:val="0"/>
          <w:bCs/>
          <w:color w:val="auto"/>
          <w:sz w:val="21"/>
          <w:szCs w:val="21"/>
          <w:highlight w:val="none"/>
        </w:rPr>
        <w:t>吨、家装包装材料</w:t>
      </w:r>
      <w:r>
        <w:rPr>
          <w:rFonts w:hint="default" w:ascii="Times New Roman" w:hAnsi="Times New Roman" w:eastAsia="宋体" w:cs="Times New Roman"/>
          <w:b w:val="0"/>
          <w:bCs/>
          <w:color w:val="auto"/>
          <w:sz w:val="21"/>
          <w:szCs w:val="21"/>
          <w:highlight w:val="none"/>
          <w:lang w:val="en-US" w:eastAsia="zh-CN"/>
        </w:rPr>
        <w:t>1600</w:t>
      </w:r>
      <w:r>
        <w:rPr>
          <w:rFonts w:hint="default" w:ascii="Times New Roman" w:hAnsi="Times New Roman" w:eastAsia="宋体" w:cs="Times New Roman"/>
          <w:b w:val="0"/>
          <w:bCs/>
          <w:color w:val="auto"/>
          <w:sz w:val="21"/>
          <w:szCs w:val="21"/>
          <w:highlight w:val="none"/>
        </w:rPr>
        <w:t>吨、其他包装材料</w:t>
      </w:r>
      <w:r>
        <w:rPr>
          <w:rFonts w:hint="default" w:ascii="Times New Roman" w:hAnsi="Times New Roman" w:eastAsia="宋体" w:cs="Times New Roman"/>
          <w:b w:val="0"/>
          <w:bCs/>
          <w:color w:val="auto"/>
          <w:sz w:val="21"/>
          <w:szCs w:val="21"/>
          <w:highlight w:val="none"/>
          <w:lang w:val="en-US" w:eastAsia="zh-CN"/>
        </w:rPr>
        <w:t>1</w:t>
      </w:r>
      <w:r>
        <w:rPr>
          <w:rFonts w:hint="default" w:ascii="Times New Roman" w:hAnsi="Times New Roman" w:eastAsia="宋体" w:cs="Times New Roman"/>
          <w:b w:val="0"/>
          <w:bCs/>
          <w:color w:val="auto"/>
          <w:sz w:val="21"/>
          <w:szCs w:val="21"/>
          <w:highlight w:val="none"/>
        </w:rPr>
        <w:t>000吨</w:t>
      </w:r>
      <w:r>
        <w:rPr>
          <w:rFonts w:hint="default" w:ascii="Times New Roman" w:hAnsi="Times New Roman" w:eastAsia="宋体" w:cs="Times New Roman"/>
          <w:b w:val="0"/>
          <w:bCs/>
          <w:color w:val="auto"/>
          <w:sz w:val="21"/>
          <w:szCs w:val="21"/>
          <w:highlight w:val="none"/>
          <w:lang w:val="en-US" w:eastAsia="zh-CN"/>
        </w:rPr>
        <w:t>的生产能力</w:t>
      </w:r>
      <w:r>
        <w:rPr>
          <w:rFonts w:hint="default" w:ascii="Times New Roman" w:hAnsi="Times New Roman" w:eastAsia="宋体" w:cs="Times New Roman"/>
          <w:b w:val="0"/>
          <w:bCs w:val="0"/>
          <w:color w:val="auto"/>
          <w:sz w:val="21"/>
          <w:szCs w:val="21"/>
          <w:highlight w:val="none"/>
          <w:lang w:val="en-US" w:eastAsia="zh-CN"/>
        </w:rPr>
        <w:t>，因此本次验收为阶段验收。</w:t>
      </w:r>
    </w:p>
    <w:p w14:paraId="49E9413D">
      <w:pPr>
        <w:keepLines w:val="0"/>
        <w:kinsoku/>
        <w:wordWrap/>
        <w:overflowPunct/>
        <w:topLinePunct w:val="0"/>
        <w:autoSpaceDE/>
        <w:autoSpaceDN/>
        <w:bidi w:val="0"/>
        <w:adjustRightInd w:val="0"/>
        <w:snapToGrid w:val="0"/>
        <w:spacing w:after="0" w:line="360" w:lineRule="auto"/>
        <w:ind w:firstLine="420" w:firstLineChars="200"/>
        <w:jc w:val="both"/>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项目主体建设内容在环评设计范围内</w:t>
      </w:r>
      <w:r>
        <w:rPr>
          <w:rFonts w:hint="default" w:ascii="Times New Roman" w:hAnsi="Times New Roman" w:eastAsia="宋体" w:cs="Times New Roman"/>
          <w:color w:val="auto"/>
          <w:sz w:val="21"/>
          <w:szCs w:val="21"/>
          <w:highlight w:val="none"/>
          <w:lang w:val="en-US" w:eastAsia="zh-CN"/>
        </w:rPr>
        <w:t>，其他</w:t>
      </w:r>
      <w:r>
        <w:rPr>
          <w:rFonts w:hint="default" w:ascii="Times New Roman" w:hAnsi="Times New Roman" w:eastAsia="宋体" w:cs="Times New Roman"/>
          <w:color w:val="auto"/>
          <w:sz w:val="21"/>
          <w:szCs w:val="21"/>
          <w:highlight w:val="none"/>
        </w:rPr>
        <w:t>各项环保设施的建设均已按照设计要求与主体工程同时建设，运行情况良好，</w:t>
      </w:r>
      <w:r>
        <w:rPr>
          <w:rFonts w:hint="eastAsia" w:ascii="Times New Roman" w:hAnsi="Times New Roman" w:eastAsia="宋体" w:cs="Times New Roman"/>
          <w:color w:val="auto"/>
          <w:sz w:val="21"/>
          <w:szCs w:val="21"/>
          <w:highlight w:val="none"/>
          <w:lang w:val="en-US" w:eastAsia="zh-CN"/>
        </w:rPr>
        <w:t>企业已于</w:t>
      </w:r>
      <w:r>
        <w:rPr>
          <w:rFonts w:hint="default" w:ascii="Times New Roman" w:hAnsi="Times New Roman" w:eastAsia="宋体" w:cs="Times New Roman"/>
          <w:color w:val="auto"/>
          <w:sz w:val="21"/>
          <w:szCs w:val="21"/>
          <w:highlight w:val="none"/>
          <w:lang w:val="en-US" w:eastAsia="zh-CN"/>
        </w:rPr>
        <w:t>202</w:t>
      </w:r>
      <w:r>
        <w:rPr>
          <w:rFonts w:hint="eastAsia" w:ascii="Times New Roman" w:hAnsi="Times New Roman" w:eastAsia="宋体"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val="en-US" w:eastAsia="zh-CN"/>
        </w:rPr>
        <w:t>年</w:t>
      </w:r>
      <w:r>
        <w:rPr>
          <w:rFonts w:hint="eastAsia" w:ascii="Times New Roman" w:hAnsi="Times New Roman" w:eastAsia="宋体" w:cs="Times New Roman"/>
          <w:color w:val="auto"/>
          <w:sz w:val="21"/>
          <w:szCs w:val="21"/>
          <w:highlight w:val="none"/>
          <w:lang w:val="en-US" w:eastAsia="zh-CN"/>
        </w:rPr>
        <w:t>11</w:t>
      </w:r>
      <w:r>
        <w:rPr>
          <w:rFonts w:hint="default" w:ascii="Times New Roman" w:hAnsi="Times New Roman" w:eastAsia="宋体" w:cs="Times New Roman"/>
          <w:color w:val="auto"/>
          <w:sz w:val="21"/>
          <w:szCs w:val="21"/>
          <w:highlight w:val="none"/>
          <w:lang w:val="en-US" w:eastAsia="zh-CN"/>
        </w:rPr>
        <w:t>月</w:t>
      </w: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日</w:t>
      </w:r>
      <w:r>
        <w:rPr>
          <w:rFonts w:hint="eastAsia" w:ascii="Times New Roman" w:hAnsi="Times New Roman" w:eastAsia="宋体" w:cs="Times New Roman"/>
          <w:color w:val="auto"/>
          <w:sz w:val="21"/>
          <w:szCs w:val="21"/>
          <w:highlight w:val="none"/>
          <w:lang w:val="en-US" w:eastAsia="zh-CN"/>
        </w:rPr>
        <w:t>取得固定污染源排污登记回执</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登记</w:t>
      </w:r>
      <w:r>
        <w:rPr>
          <w:rFonts w:hint="default" w:ascii="Times New Roman" w:hAnsi="Times New Roman" w:eastAsia="宋体" w:cs="Times New Roman"/>
          <w:color w:val="auto"/>
          <w:sz w:val="21"/>
          <w:szCs w:val="21"/>
          <w:highlight w:val="none"/>
          <w:lang w:val="en-US" w:eastAsia="zh-CN"/>
        </w:rPr>
        <w:t>编号：</w:t>
      </w:r>
      <w:r>
        <w:rPr>
          <w:rFonts w:hint="default" w:ascii="Times New Roman" w:hAnsi="Times New Roman" w:eastAsia="宋体" w:cs="Times New Roman"/>
          <w:b w:val="0"/>
          <w:bCs/>
          <w:color w:val="auto"/>
          <w:sz w:val="21"/>
          <w:szCs w:val="21"/>
          <w:highlight w:val="none"/>
        </w:rPr>
        <w:t>91320413MA27RT687E</w:t>
      </w:r>
      <w:r>
        <w:rPr>
          <w:rFonts w:hint="default" w:ascii="Times New Roman" w:hAnsi="Times New Roman" w:eastAsia="宋体" w:cs="Times New Roman"/>
          <w:color w:val="auto"/>
          <w:sz w:val="21"/>
          <w:szCs w:val="21"/>
          <w:highlight w:val="none"/>
          <w:lang w:val="en-US" w:eastAsia="zh-CN"/>
        </w:rPr>
        <w:t>001Z）</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具备验收监测条件。</w:t>
      </w:r>
    </w:p>
    <w:p w14:paraId="4AA36FB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根据《建设项目竣工环境保护验收暂行办法》（国环规环评[2017]4号）文件的要求，</w:t>
      </w:r>
      <w:r>
        <w:rPr>
          <w:rFonts w:hint="eastAsia" w:ascii="Times New Roman" w:hAnsi="Times New Roman" w:eastAsia="宋体" w:cs="Times New Roman"/>
          <w:color w:val="auto"/>
          <w:sz w:val="21"/>
          <w:szCs w:val="21"/>
          <w:highlight w:val="none"/>
          <w:lang w:eastAsia="zh-CN"/>
        </w:rPr>
        <w:t>江苏汇富新型材料有限公司</w:t>
      </w:r>
      <w:r>
        <w:rPr>
          <w:rFonts w:hint="eastAsia" w:ascii="Times New Roman" w:hAnsi="Times New Roman" w:eastAsia="宋体" w:cs="Times New Roman"/>
          <w:color w:val="auto"/>
          <w:sz w:val="21"/>
          <w:szCs w:val="21"/>
          <w:highlight w:val="none"/>
        </w:rPr>
        <w:t>于202</w:t>
      </w:r>
      <w:r>
        <w:rPr>
          <w:rFonts w:hint="eastAsia" w:ascii="Times New Roman" w:hAnsi="Times New Roman" w:eastAsia="宋体" w:cs="Times New Roman"/>
          <w:color w:val="auto"/>
          <w:sz w:val="21"/>
          <w:szCs w:val="21"/>
          <w:highlight w:val="none"/>
          <w:lang w:val="en-US" w:eastAsia="zh-CN"/>
        </w:rPr>
        <w:t>4</w:t>
      </w:r>
      <w:r>
        <w:rPr>
          <w:rFonts w:hint="eastAsia" w:ascii="Times New Roman" w:hAnsi="Times New Roman" w:eastAsia="宋体" w:cs="Times New Roman"/>
          <w:color w:val="auto"/>
          <w:sz w:val="21"/>
          <w:szCs w:val="21"/>
          <w:highlight w:val="none"/>
        </w:rPr>
        <w:t>年</w:t>
      </w:r>
      <w:r>
        <w:rPr>
          <w:rFonts w:hint="eastAsia" w:ascii="Times New Roman" w:hAnsi="Times New Roman" w:eastAsia="宋体" w:cs="Times New Roman"/>
          <w:color w:val="auto"/>
          <w:sz w:val="21"/>
          <w:szCs w:val="21"/>
          <w:highlight w:val="none"/>
          <w:lang w:val="en-US" w:eastAsia="zh-CN"/>
        </w:rPr>
        <w:t>12月</w:t>
      </w:r>
      <w:r>
        <w:rPr>
          <w:rFonts w:hint="eastAsia" w:ascii="Times New Roman" w:hAnsi="Times New Roman" w:eastAsia="宋体" w:cs="Times New Roman"/>
          <w:color w:val="auto"/>
          <w:sz w:val="21"/>
          <w:szCs w:val="21"/>
          <w:highlight w:val="none"/>
        </w:rPr>
        <w:t>委托</w:t>
      </w:r>
      <w:r>
        <w:rPr>
          <w:rFonts w:hint="eastAsia" w:ascii="Times New Roman" w:hAnsi="Times New Roman" w:eastAsia="宋体" w:cs="Times New Roman"/>
          <w:color w:val="auto"/>
          <w:sz w:val="21"/>
          <w:szCs w:val="21"/>
          <w:highlight w:val="none"/>
          <w:lang w:eastAsia="zh-CN"/>
        </w:rPr>
        <w:t>江苏华睿巨辉环境检测有限公司</w:t>
      </w:r>
      <w:r>
        <w:rPr>
          <w:rFonts w:hint="eastAsia" w:ascii="Times New Roman" w:hAnsi="Times New Roman" w:eastAsia="宋体" w:cs="Times New Roman"/>
          <w:color w:val="auto"/>
          <w:sz w:val="21"/>
          <w:szCs w:val="21"/>
          <w:highlight w:val="none"/>
        </w:rPr>
        <w:t>对该项目进行竣工验收监测工作（检测项目包括废气以及噪声）</w:t>
      </w:r>
      <w:r>
        <w:rPr>
          <w:rFonts w:ascii="Times New Roman" w:hAnsi="Times New Roman" w:eastAsia="宋体" w:cs="Times New Roman"/>
          <w:color w:val="auto"/>
          <w:sz w:val="21"/>
          <w:szCs w:val="21"/>
          <w:highlight w:val="none"/>
        </w:rPr>
        <w:t>。</w:t>
      </w:r>
      <w:bookmarkStart w:id="4" w:name="_GoBack"/>
      <w:bookmarkEnd w:id="4"/>
    </w:p>
    <w:p w14:paraId="1A2E1C16">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eastAsia="宋体"/>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本项目从立项至调试过程中均无环境投诉、违法或出发记录。</w:t>
      </w:r>
    </w:p>
    <w:p w14:paraId="58964BA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3、投资情况</w:t>
      </w:r>
    </w:p>
    <w:p w14:paraId="7FA388FD">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本项目实际</w:t>
      </w:r>
      <w:r>
        <w:rPr>
          <w:rFonts w:hint="eastAsia" w:ascii="Times New Roman" w:hAnsi="Times New Roman" w:eastAsia="宋体" w:cs="Times New Roman"/>
          <w:color w:val="auto"/>
          <w:sz w:val="21"/>
          <w:szCs w:val="21"/>
          <w:highlight w:val="none"/>
          <w:lang w:val="en-US" w:eastAsia="zh-CN"/>
        </w:rPr>
        <w:t>总投</w:t>
      </w:r>
      <w:r>
        <w:rPr>
          <w:rFonts w:ascii="Times New Roman" w:hAnsi="Times New Roman" w:eastAsia="宋体"/>
          <w:color w:val="auto"/>
          <w:sz w:val="21"/>
          <w:szCs w:val="21"/>
          <w:highlight w:val="none"/>
        </w:rPr>
        <w:t>资</w:t>
      </w:r>
      <w:r>
        <w:rPr>
          <w:rFonts w:hint="eastAsia" w:ascii="Times New Roman" w:hAnsi="Times New Roman" w:eastAsia="宋体"/>
          <w:color w:val="auto"/>
          <w:sz w:val="21"/>
          <w:szCs w:val="21"/>
          <w:highlight w:val="none"/>
          <w:lang w:val="en-US" w:eastAsia="zh-CN"/>
        </w:rPr>
        <w:t>800</w:t>
      </w:r>
      <w:r>
        <w:rPr>
          <w:rFonts w:ascii="Times New Roman" w:hAnsi="Times New Roman" w:eastAsia="宋体"/>
          <w:color w:val="auto"/>
          <w:sz w:val="21"/>
          <w:szCs w:val="21"/>
          <w:highlight w:val="none"/>
        </w:rPr>
        <w:t>万元</w:t>
      </w:r>
      <w:r>
        <w:rPr>
          <w:rFonts w:hint="eastAsia" w:ascii="Times New Roman" w:hAnsi="Times New Roman" w:eastAsia="宋体"/>
          <w:color w:val="auto"/>
          <w:sz w:val="21"/>
          <w:szCs w:val="21"/>
          <w:highlight w:val="none"/>
          <w:lang w:eastAsia="zh-CN"/>
        </w:rPr>
        <w:t>，</w:t>
      </w:r>
      <w:r>
        <w:rPr>
          <w:rFonts w:hint="default" w:ascii="Times New Roman" w:hAnsi="Times New Roman" w:eastAsia="宋体" w:cs="Times New Roman"/>
          <w:color w:val="auto"/>
          <w:sz w:val="21"/>
          <w:szCs w:val="21"/>
          <w:highlight w:val="none"/>
        </w:rPr>
        <w:t>其中环保投资约</w:t>
      </w:r>
      <w:r>
        <w:rPr>
          <w:rFonts w:hint="eastAsia" w:ascii="Times New Roman" w:hAnsi="Times New Roman" w:eastAsia="宋体" w:cs="Times New Roman"/>
          <w:color w:val="auto"/>
          <w:sz w:val="21"/>
          <w:szCs w:val="21"/>
          <w:highlight w:val="none"/>
          <w:lang w:val="en-US" w:eastAsia="zh-CN"/>
        </w:rPr>
        <w:t>17</w:t>
      </w:r>
      <w:r>
        <w:rPr>
          <w:rFonts w:hint="default" w:ascii="Times New Roman" w:hAnsi="Times New Roman" w:eastAsia="宋体" w:cs="Times New Roman"/>
          <w:color w:val="auto"/>
          <w:sz w:val="21"/>
          <w:szCs w:val="21"/>
          <w:highlight w:val="none"/>
        </w:rPr>
        <w:t>万元，占总投资</w:t>
      </w:r>
      <w:r>
        <w:rPr>
          <w:rFonts w:hint="eastAsia" w:ascii="Times New Roman" w:hAnsi="Times New Roman" w:eastAsia="宋体" w:cs="Times New Roman"/>
          <w:color w:val="auto"/>
          <w:sz w:val="21"/>
          <w:szCs w:val="21"/>
          <w:highlight w:val="none"/>
          <w:lang w:val="en-US" w:eastAsia="zh-CN"/>
        </w:rPr>
        <w:t>2.1</w:t>
      </w:r>
      <w:r>
        <w:rPr>
          <w:rFonts w:hint="default" w:ascii="Times New Roman" w:hAnsi="Times New Roman" w:eastAsia="宋体" w:cs="Times New Roman"/>
          <w:color w:val="auto"/>
          <w:sz w:val="21"/>
          <w:szCs w:val="21"/>
          <w:highlight w:val="none"/>
        </w:rPr>
        <w:t>%。本项目环保设施落实情况详见下表。</w:t>
      </w:r>
    </w:p>
    <w:p w14:paraId="2C938A28">
      <w:pPr>
        <w:keepNext w:val="0"/>
        <w:keepLines w:val="0"/>
        <w:pageBreakBefore w:val="0"/>
        <w:widowControl/>
        <w:tabs>
          <w:tab w:val="left" w:pos="1446"/>
        </w:tabs>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b/>
          <w:bCs/>
          <w:color w:val="auto"/>
          <w:sz w:val="21"/>
          <w:szCs w:val="21"/>
          <w:highlight w:val="none"/>
          <w:lang w:val="en-US" w:eastAsia="zh-CN"/>
        </w:rPr>
      </w:pPr>
      <w:r>
        <w:rPr>
          <w:rFonts w:ascii="Times New Roman" w:hAnsi="Times New Roman" w:eastAsia="宋体"/>
          <w:b/>
          <w:color w:val="auto"/>
          <w:sz w:val="21"/>
          <w:szCs w:val="21"/>
          <w:highlight w:val="none"/>
          <w:lang w:val="en-US" w:eastAsia="zh-CN" w:bidi="ar-SA"/>
        </w:rPr>
        <w:t>表</w:t>
      </w:r>
      <w:r>
        <w:rPr>
          <w:rFonts w:hint="eastAsia" w:ascii="Times New Roman" w:hAnsi="Times New Roman" w:eastAsia="宋体"/>
          <w:b/>
          <w:color w:val="auto"/>
          <w:sz w:val="21"/>
          <w:szCs w:val="21"/>
          <w:highlight w:val="none"/>
          <w:lang w:val="en-US" w:eastAsia="zh-CN" w:bidi="ar-SA"/>
        </w:rPr>
        <w:t xml:space="preserve">1 </w:t>
      </w:r>
      <w:r>
        <w:rPr>
          <w:rFonts w:ascii="Times New Roman" w:hAnsi="Times New Roman" w:eastAsia="宋体"/>
          <w:b/>
          <w:color w:val="auto"/>
          <w:sz w:val="21"/>
          <w:szCs w:val="21"/>
          <w:highlight w:val="none"/>
          <w:lang w:val="en-US" w:eastAsia="zh-CN" w:bidi="ar-SA"/>
        </w:rPr>
        <w:t>环保投资</w:t>
      </w:r>
      <w:r>
        <w:rPr>
          <w:rFonts w:hint="eastAsia" w:ascii="Times New Roman" w:hAnsi="Times New Roman" w:eastAsia="宋体"/>
          <w:b/>
          <w:color w:val="auto"/>
          <w:sz w:val="21"/>
          <w:szCs w:val="21"/>
          <w:highlight w:val="none"/>
          <w:lang w:val="en-US" w:eastAsia="zh-CN" w:bidi="ar-SA"/>
        </w:rPr>
        <w:t>及</w:t>
      </w:r>
      <w:r>
        <w:rPr>
          <w:rFonts w:hint="default" w:ascii="Times New Roman" w:hAnsi="Times New Roman" w:eastAsia="宋体"/>
          <w:b/>
          <w:bCs/>
          <w:color w:val="auto"/>
          <w:sz w:val="21"/>
          <w:szCs w:val="21"/>
          <w:highlight w:val="none"/>
          <w:lang w:val="en-US" w:eastAsia="zh-CN"/>
        </w:rPr>
        <w:t>“三同时”落实情况</w:t>
      </w:r>
      <w:r>
        <w:rPr>
          <w:rFonts w:hint="eastAsia" w:ascii="Times New Roman" w:hAnsi="Times New Roman" w:eastAsia="宋体"/>
          <w:b/>
          <w:bCs/>
          <w:color w:val="auto"/>
          <w:sz w:val="21"/>
          <w:szCs w:val="21"/>
          <w:highlight w:val="none"/>
          <w:lang w:val="en-US" w:eastAsia="zh-CN"/>
        </w:rPr>
        <w:t>一览表</w:t>
      </w:r>
    </w:p>
    <w:tbl>
      <w:tblPr>
        <w:tblStyle w:val="1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482"/>
        <w:gridCol w:w="1196"/>
        <w:gridCol w:w="2059"/>
        <w:gridCol w:w="934"/>
        <w:gridCol w:w="2200"/>
        <w:gridCol w:w="896"/>
        <w:gridCol w:w="539"/>
      </w:tblGrid>
      <w:tr w14:paraId="365C575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10" w:type="pct"/>
            <w:gridSpan w:val="2"/>
            <w:vMerge w:val="restart"/>
            <w:noWrap w:val="0"/>
            <w:vAlign w:val="center"/>
          </w:tcPr>
          <w:p w14:paraId="3F4BEEB2">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名称</w:t>
            </w:r>
          </w:p>
        </w:tc>
        <w:tc>
          <w:tcPr>
            <w:tcW w:w="1801" w:type="pct"/>
            <w:gridSpan w:val="2"/>
            <w:noWrap w:val="0"/>
            <w:vAlign w:val="center"/>
          </w:tcPr>
          <w:p w14:paraId="2C76F1A3">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环评设计</w:t>
            </w:r>
          </w:p>
        </w:tc>
        <w:tc>
          <w:tcPr>
            <w:tcW w:w="1863" w:type="pct"/>
            <w:gridSpan w:val="2"/>
            <w:noWrap w:val="0"/>
            <w:vAlign w:val="center"/>
          </w:tcPr>
          <w:p w14:paraId="27166326">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实际建设</w:t>
            </w:r>
          </w:p>
        </w:tc>
        <w:tc>
          <w:tcPr>
            <w:tcW w:w="324" w:type="pct"/>
            <w:vMerge w:val="restart"/>
            <w:noWrap w:val="0"/>
            <w:vAlign w:val="center"/>
          </w:tcPr>
          <w:p w14:paraId="14F3E420">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备注</w:t>
            </w:r>
          </w:p>
        </w:tc>
      </w:tr>
      <w:tr w14:paraId="7638A76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10" w:type="pct"/>
            <w:gridSpan w:val="2"/>
            <w:vMerge w:val="continue"/>
            <w:noWrap w:val="0"/>
            <w:vAlign w:val="center"/>
          </w:tcPr>
          <w:p w14:paraId="7AF35E67">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p>
        </w:tc>
        <w:tc>
          <w:tcPr>
            <w:tcW w:w="1239" w:type="pct"/>
            <w:noWrap w:val="0"/>
            <w:vAlign w:val="center"/>
          </w:tcPr>
          <w:p w14:paraId="692351BF">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环保设施</w:t>
            </w:r>
          </w:p>
        </w:tc>
        <w:tc>
          <w:tcPr>
            <w:tcW w:w="562" w:type="pct"/>
            <w:noWrap w:val="0"/>
            <w:vAlign w:val="center"/>
          </w:tcPr>
          <w:p w14:paraId="386C4913">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环保投资（万元）</w:t>
            </w:r>
          </w:p>
        </w:tc>
        <w:tc>
          <w:tcPr>
            <w:tcW w:w="1324" w:type="pct"/>
            <w:noWrap w:val="0"/>
            <w:vAlign w:val="center"/>
          </w:tcPr>
          <w:p w14:paraId="797F29FA">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环保设施</w:t>
            </w:r>
          </w:p>
        </w:tc>
        <w:tc>
          <w:tcPr>
            <w:tcW w:w="539" w:type="pct"/>
            <w:noWrap w:val="0"/>
            <w:vAlign w:val="center"/>
          </w:tcPr>
          <w:p w14:paraId="4BDBEF96">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r>
              <w:rPr>
                <w:rFonts w:hint="default" w:ascii="Times New Roman" w:hAnsi="Times New Roman" w:eastAsia="宋体" w:cs="Times New Roman"/>
                <w:b/>
                <w:bCs/>
                <w:color w:val="auto"/>
                <w:sz w:val="21"/>
                <w:szCs w:val="21"/>
                <w:highlight w:val="none"/>
                <w:lang w:val="en-US" w:eastAsia="zh-CN"/>
              </w:rPr>
              <w:t>环保投资（万元）</w:t>
            </w:r>
          </w:p>
        </w:tc>
        <w:tc>
          <w:tcPr>
            <w:tcW w:w="324" w:type="pct"/>
            <w:vMerge w:val="continue"/>
            <w:noWrap w:val="0"/>
            <w:vAlign w:val="center"/>
          </w:tcPr>
          <w:p w14:paraId="786500AB">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b/>
                <w:bCs/>
                <w:color w:val="auto"/>
                <w:sz w:val="21"/>
                <w:szCs w:val="21"/>
                <w:highlight w:val="none"/>
                <w:lang w:val="en-US" w:eastAsia="zh-CN"/>
              </w:rPr>
            </w:pPr>
          </w:p>
        </w:tc>
      </w:tr>
      <w:tr w14:paraId="16C8FF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90" w:type="pct"/>
            <w:vMerge w:val="restart"/>
            <w:noWrap w:val="0"/>
            <w:vAlign w:val="center"/>
          </w:tcPr>
          <w:p w14:paraId="39345466">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废气</w:t>
            </w:r>
          </w:p>
        </w:tc>
        <w:tc>
          <w:tcPr>
            <w:tcW w:w="719" w:type="pct"/>
            <w:noWrap w:val="0"/>
            <w:vAlign w:val="center"/>
          </w:tcPr>
          <w:p w14:paraId="05A78FBF">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挤出成型有机废气</w:t>
            </w:r>
          </w:p>
        </w:tc>
        <w:tc>
          <w:tcPr>
            <w:tcW w:w="1239" w:type="pct"/>
            <w:noWrap w:val="0"/>
            <w:vAlign w:val="center"/>
          </w:tcPr>
          <w:p w14:paraId="79EEAD70">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1套集气罩装置+二级活性炭吸附装置+18排气筒</w:t>
            </w:r>
          </w:p>
        </w:tc>
        <w:tc>
          <w:tcPr>
            <w:tcW w:w="562" w:type="pct"/>
            <w:noWrap w:val="0"/>
            <w:vAlign w:val="center"/>
          </w:tcPr>
          <w:p w14:paraId="1DF20137">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10</w:t>
            </w:r>
          </w:p>
        </w:tc>
        <w:tc>
          <w:tcPr>
            <w:tcW w:w="1324" w:type="pct"/>
            <w:noWrap w:val="0"/>
            <w:vAlign w:val="center"/>
          </w:tcPr>
          <w:p w14:paraId="08FA3583">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1套集气罩装置+二级活性炭吸附装置+18排气筒</w:t>
            </w:r>
          </w:p>
        </w:tc>
        <w:tc>
          <w:tcPr>
            <w:tcW w:w="539" w:type="pct"/>
            <w:noWrap w:val="0"/>
            <w:vAlign w:val="center"/>
          </w:tcPr>
          <w:p w14:paraId="6B0D1F67">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5</w:t>
            </w:r>
          </w:p>
        </w:tc>
        <w:tc>
          <w:tcPr>
            <w:tcW w:w="324" w:type="pct"/>
            <w:noWrap w:val="0"/>
            <w:vAlign w:val="center"/>
          </w:tcPr>
          <w:p w14:paraId="14EBC912">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14:paraId="1A965BB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90" w:type="pct"/>
            <w:vMerge w:val="continue"/>
            <w:noWrap w:val="0"/>
            <w:vAlign w:val="center"/>
          </w:tcPr>
          <w:p w14:paraId="77C229ED">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p>
        </w:tc>
        <w:tc>
          <w:tcPr>
            <w:tcW w:w="719" w:type="pct"/>
            <w:noWrap w:val="0"/>
            <w:vAlign w:val="center"/>
          </w:tcPr>
          <w:p w14:paraId="6C60D237">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投料及破碎粉尘</w:t>
            </w:r>
          </w:p>
        </w:tc>
        <w:tc>
          <w:tcPr>
            <w:tcW w:w="1239" w:type="pct"/>
            <w:noWrap w:val="0"/>
            <w:tcMar>
              <w:top w:w="0" w:type="dxa"/>
              <w:left w:w="0" w:type="dxa"/>
              <w:bottom w:w="0" w:type="dxa"/>
              <w:right w:w="0" w:type="dxa"/>
            </w:tcMar>
            <w:vAlign w:val="center"/>
          </w:tcPr>
          <w:p w14:paraId="577F05C0">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移动式布袋除尘器1套</w:t>
            </w:r>
          </w:p>
        </w:tc>
        <w:tc>
          <w:tcPr>
            <w:tcW w:w="562" w:type="pct"/>
            <w:noWrap w:val="0"/>
            <w:vAlign w:val="center"/>
          </w:tcPr>
          <w:p w14:paraId="43A4C431">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w:t>
            </w:r>
          </w:p>
        </w:tc>
        <w:tc>
          <w:tcPr>
            <w:tcW w:w="1324" w:type="pct"/>
            <w:noWrap w:val="0"/>
            <w:tcMar>
              <w:top w:w="0" w:type="dxa"/>
              <w:left w:w="0" w:type="dxa"/>
              <w:bottom w:w="0" w:type="dxa"/>
              <w:right w:w="0" w:type="dxa"/>
            </w:tcMar>
            <w:vAlign w:val="center"/>
          </w:tcPr>
          <w:p w14:paraId="655807A7">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移动式布袋除尘器1套</w:t>
            </w:r>
          </w:p>
        </w:tc>
        <w:tc>
          <w:tcPr>
            <w:tcW w:w="539" w:type="pct"/>
            <w:noWrap w:val="0"/>
            <w:vAlign w:val="center"/>
          </w:tcPr>
          <w:p w14:paraId="187316A6">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324" w:type="pct"/>
            <w:noWrap w:val="0"/>
            <w:vAlign w:val="center"/>
          </w:tcPr>
          <w:p w14:paraId="5E71A77E">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14:paraId="334B557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10" w:type="pct"/>
            <w:gridSpan w:val="2"/>
            <w:noWrap w:val="0"/>
            <w:vAlign w:val="center"/>
          </w:tcPr>
          <w:p w14:paraId="7D1A44B6">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废水</w:t>
            </w:r>
          </w:p>
        </w:tc>
        <w:tc>
          <w:tcPr>
            <w:tcW w:w="1239" w:type="pct"/>
            <w:noWrap w:val="0"/>
            <w:vAlign w:val="center"/>
          </w:tcPr>
          <w:p w14:paraId="3234444E">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雨污分流，雨水接入市政雨水管网，污水接入市政污水管网，接管至常州金坛区第二污水处理有限公司，项目雨污水管网依托现有</w:t>
            </w:r>
          </w:p>
        </w:tc>
        <w:tc>
          <w:tcPr>
            <w:tcW w:w="562" w:type="pct"/>
            <w:noWrap w:val="0"/>
            <w:vAlign w:val="center"/>
          </w:tcPr>
          <w:p w14:paraId="519E2E7A">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0</w:t>
            </w:r>
          </w:p>
        </w:tc>
        <w:tc>
          <w:tcPr>
            <w:tcW w:w="1324" w:type="pct"/>
            <w:noWrap w:val="0"/>
            <w:vAlign w:val="center"/>
          </w:tcPr>
          <w:p w14:paraId="40D7DDB8">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雨污分流，雨水接入市政雨水管网，污水接入市政污水管网，接管至常州金坛区第二污水处理有限公司，项目雨污水管网依托现有</w:t>
            </w:r>
          </w:p>
        </w:tc>
        <w:tc>
          <w:tcPr>
            <w:tcW w:w="539" w:type="pct"/>
            <w:noWrap w:val="0"/>
            <w:vAlign w:val="center"/>
          </w:tcPr>
          <w:p w14:paraId="19DBFABD">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0</w:t>
            </w:r>
          </w:p>
        </w:tc>
        <w:tc>
          <w:tcPr>
            <w:tcW w:w="324" w:type="pct"/>
            <w:noWrap w:val="0"/>
            <w:vAlign w:val="center"/>
          </w:tcPr>
          <w:p w14:paraId="38C32A64">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依托现有</w:t>
            </w:r>
          </w:p>
        </w:tc>
      </w:tr>
      <w:tr w14:paraId="696DBA6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10" w:type="pct"/>
            <w:gridSpan w:val="2"/>
            <w:vMerge w:val="restart"/>
            <w:noWrap w:val="0"/>
            <w:vAlign w:val="center"/>
          </w:tcPr>
          <w:p w14:paraId="70F54441">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固废</w:t>
            </w:r>
          </w:p>
        </w:tc>
        <w:tc>
          <w:tcPr>
            <w:tcW w:w="1239" w:type="pct"/>
            <w:noWrap w:val="0"/>
            <w:vAlign w:val="center"/>
          </w:tcPr>
          <w:p w14:paraId="6ED226DE">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新建一座危废仓库（5m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）；委托有资质单位处置</w:t>
            </w:r>
          </w:p>
        </w:tc>
        <w:tc>
          <w:tcPr>
            <w:tcW w:w="562" w:type="pct"/>
            <w:noWrap w:val="0"/>
            <w:vAlign w:val="center"/>
          </w:tcPr>
          <w:p w14:paraId="6C1CC0A3">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5</w:t>
            </w:r>
          </w:p>
        </w:tc>
        <w:tc>
          <w:tcPr>
            <w:tcW w:w="1324" w:type="pct"/>
            <w:noWrap w:val="0"/>
            <w:vAlign w:val="center"/>
          </w:tcPr>
          <w:p w14:paraId="734B2ADA">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新建一座危废仓库（5m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）；委托有资质单位处置</w:t>
            </w:r>
          </w:p>
        </w:tc>
        <w:tc>
          <w:tcPr>
            <w:tcW w:w="539" w:type="pct"/>
            <w:noWrap w:val="0"/>
            <w:vAlign w:val="center"/>
          </w:tcPr>
          <w:p w14:paraId="00488F19">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4</w:t>
            </w:r>
          </w:p>
        </w:tc>
        <w:tc>
          <w:tcPr>
            <w:tcW w:w="324" w:type="pct"/>
            <w:noWrap w:val="0"/>
            <w:vAlign w:val="center"/>
          </w:tcPr>
          <w:p w14:paraId="780710BD">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14:paraId="20C0C0A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10" w:type="pct"/>
            <w:gridSpan w:val="2"/>
            <w:vMerge w:val="continue"/>
            <w:noWrap w:val="0"/>
            <w:vAlign w:val="center"/>
          </w:tcPr>
          <w:p w14:paraId="7030A428">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p>
        </w:tc>
        <w:tc>
          <w:tcPr>
            <w:tcW w:w="1239" w:type="pct"/>
            <w:noWrap w:val="0"/>
            <w:vAlign w:val="center"/>
          </w:tcPr>
          <w:p w14:paraId="221F58C5">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新建一座一般固废暂存区（30m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w:t>
            </w:r>
          </w:p>
        </w:tc>
        <w:tc>
          <w:tcPr>
            <w:tcW w:w="562" w:type="pct"/>
            <w:noWrap w:val="0"/>
            <w:vAlign w:val="center"/>
          </w:tcPr>
          <w:p w14:paraId="71DBDE42">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1324" w:type="pct"/>
            <w:noWrap w:val="0"/>
            <w:vAlign w:val="center"/>
          </w:tcPr>
          <w:p w14:paraId="0A0E5C45">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新建一座一般固废暂存区（30m</w:t>
            </w:r>
            <w:r>
              <w:rPr>
                <w:rFonts w:hint="default" w:ascii="Times New Roman" w:hAnsi="Times New Roman" w:eastAsia="宋体" w:cs="Times New Roman"/>
                <w:color w:val="auto"/>
                <w:sz w:val="21"/>
                <w:szCs w:val="21"/>
                <w:highlight w:val="none"/>
                <w:vertAlign w:val="superscript"/>
                <w:lang w:val="en-US" w:eastAsia="zh-CN"/>
              </w:rPr>
              <w:t>2</w:t>
            </w:r>
            <w:r>
              <w:rPr>
                <w:rFonts w:hint="default" w:ascii="Times New Roman" w:hAnsi="Times New Roman" w:eastAsia="宋体" w:cs="Times New Roman"/>
                <w:color w:val="auto"/>
                <w:sz w:val="21"/>
                <w:szCs w:val="21"/>
                <w:highlight w:val="none"/>
                <w:lang w:val="en-US" w:eastAsia="zh-CN"/>
              </w:rPr>
              <w:t>）</w:t>
            </w:r>
          </w:p>
        </w:tc>
        <w:tc>
          <w:tcPr>
            <w:tcW w:w="539" w:type="pct"/>
            <w:noWrap w:val="0"/>
            <w:vAlign w:val="center"/>
          </w:tcPr>
          <w:p w14:paraId="5B5C92E0">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324" w:type="pct"/>
            <w:noWrap w:val="0"/>
            <w:vAlign w:val="center"/>
          </w:tcPr>
          <w:p w14:paraId="3F69838B">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14:paraId="2AF360E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10" w:type="pct"/>
            <w:gridSpan w:val="2"/>
            <w:vMerge w:val="continue"/>
            <w:noWrap w:val="0"/>
            <w:vAlign w:val="center"/>
          </w:tcPr>
          <w:p w14:paraId="00677F6E">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p>
        </w:tc>
        <w:tc>
          <w:tcPr>
            <w:tcW w:w="1239" w:type="pct"/>
            <w:noWrap w:val="0"/>
            <w:vAlign w:val="center"/>
          </w:tcPr>
          <w:p w14:paraId="3C168A50">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生活垃圾桶若干</w:t>
            </w:r>
          </w:p>
        </w:tc>
        <w:tc>
          <w:tcPr>
            <w:tcW w:w="562" w:type="pct"/>
            <w:noWrap w:val="0"/>
            <w:vAlign w:val="center"/>
          </w:tcPr>
          <w:p w14:paraId="3FC986C3">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1324" w:type="pct"/>
            <w:noWrap w:val="0"/>
            <w:vAlign w:val="center"/>
          </w:tcPr>
          <w:p w14:paraId="6D3297DE">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生活垃圾桶若干</w:t>
            </w:r>
          </w:p>
        </w:tc>
        <w:tc>
          <w:tcPr>
            <w:tcW w:w="539" w:type="pct"/>
            <w:noWrap w:val="0"/>
            <w:vAlign w:val="center"/>
          </w:tcPr>
          <w:p w14:paraId="05B4B9F4">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324" w:type="pct"/>
            <w:noWrap w:val="0"/>
            <w:vAlign w:val="center"/>
          </w:tcPr>
          <w:p w14:paraId="16B5EF06">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14:paraId="754233C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10" w:type="pct"/>
            <w:gridSpan w:val="2"/>
            <w:noWrap w:val="0"/>
            <w:vAlign w:val="center"/>
          </w:tcPr>
          <w:p w14:paraId="568220B4">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噪声</w:t>
            </w:r>
          </w:p>
        </w:tc>
        <w:tc>
          <w:tcPr>
            <w:tcW w:w="1239" w:type="pct"/>
            <w:noWrap w:val="0"/>
            <w:vAlign w:val="center"/>
          </w:tcPr>
          <w:p w14:paraId="4C5B6FC0">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减振、隔声设施</w:t>
            </w:r>
          </w:p>
        </w:tc>
        <w:tc>
          <w:tcPr>
            <w:tcW w:w="562" w:type="pct"/>
            <w:noWrap w:val="0"/>
            <w:vAlign w:val="center"/>
          </w:tcPr>
          <w:p w14:paraId="0810586F">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1324" w:type="pct"/>
            <w:noWrap w:val="0"/>
            <w:vAlign w:val="center"/>
          </w:tcPr>
          <w:p w14:paraId="741EFD55">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减振、隔声设施</w:t>
            </w:r>
          </w:p>
        </w:tc>
        <w:tc>
          <w:tcPr>
            <w:tcW w:w="539" w:type="pct"/>
            <w:noWrap w:val="0"/>
            <w:vAlign w:val="center"/>
          </w:tcPr>
          <w:p w14:paraId="50212278">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324" w:type="pct"/>
            <w:noWrap w:val="0"/>
            <w:vAlign w:val="center"/>
          </w:tcPr>
          <w:p w14:paraId="37B06F2A">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14:paraId="33842C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10" w:type="pct"/>
            <w:gridSpan w:val="2"/>
            <w:noWrap w:val="0"/>
            <w:vAlign w:val="center"/>
          </w:tcPr>
          <w:p w14:paraId="2BFBF7C2">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环境应急管理</w:t>
            </w:r>
          </w:p>
        </w:tc>
        <w:tc>
          <w:tcPr>
            <w:tcW w:w="1239" w:type="pct"/>
            <w:noWrap w:val="0"/>
            <w:vAlign w:val="center"/>
          </w:tcPr>
          <w:p w14:paraId="0155540B">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应急物资等</w:t>
            </w:r>
          </w:p>
        </w:tc>
        <w:tc>
          <w:tcPr>
            <w:tcW w:w="562" w:type="pct"/>
            <w:noWrap w:val="0"/>
            <w:vAlign w:val="center"/>
          </w:tcPr>
          <w:p w14:paraId="3A5761D1">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1324" w:type="pct"/>
            <w:noWrap w:val="0"/>
            <w:vAlign w:val="center"/>
          </w:tcPr>
          <w:p w14:paraId="7A8D5E9A">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应急物资等</w:t>
            </w:r>
          </w:p>
        </w:tc>
        <w:tc>
          <w:tcPr>
            <w:tcW w:w="539" w:type="pct"/>
            <w:noWrap w:val="0"/>
            <w:vAlign w:val="center"/>
          </w:tcPr>
          <w:p w14:paraId="7B26BCF5">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w:t>
            </w:r>
          </w:p>
        </w:tc>
        <w:tc>
          <w:tcPr>
            <w:tcW w:w="324" w:type="pct"/>
            <w:noWrap w:val="0"/>
            <w:vAlign w:val="center"/>
          </w:tcPr>
          <w:p w14:paraId="3209C19F">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14:paraId="4302EF2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010" w:type="pct"/>
            <w:gridSpan w:val="2"/>
            <w:noWrap w:val="0"/>
            <w:vAlign w:val="center"/>
          </w:tcPr>
          <w:p w14:paraId="435F55D4">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其他</w:t>
            </w:r>
          </w:p>
        </w:tc>
        <w:tc>
          <w:tcPr>
            <w:tcW w:w="1239" w:type="pct"/>
            <w:noWrap w:val="0"/>
            <w:vAlign w:val="center"/>
          </w:tcPr>
          <w:p w14:paraId="4F9543B6">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排口标识牌、日常委托例行监测、环保设施的运行、维修和管理等</w:t>
            </w:r>
          </w:p>
        </w:tc>
        <w:tc>
          <w:tcPr>
            <w:tcW w:w="562" w:type="pct"/>
            <w:noWrap w:val="0"/>
            <w:vAlign w:val="center"/>
          </w:tcPr>
          <w:p w14:paraId="062C5101">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5</w:t>
            </w:r>
          </w:p>
        </w:tc>
        <w:tc>
          <w:tcPr>
            <w:tcW w:w="1324" w:type="pct"/>
            <w:noWrap w:val="0"/>
            <w:vAlign w:val="center"/>
          </w:tcPr>
          <w:p w14:paraId="750FE713">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排口标识牌、日常委托例行监测、环保设施的运行、维修和管理等</w:t>
            </w:r>
          </w:p>
        </w:tc>
        <w:tc>
          <w:tcPr>
            <w:tcW w:w="539" w:type="pct"/>
            <w:noWrap w:val="0"/>
            <w:vAlign w:val="center"/>
          </w:tcPr>
          <w:p w14:paraId="7BB29259">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w:t>
            </w:r>
          </w:p>
        </w:tc>
        <w:tc>
          <w:tcPr>
            <w:tcW w:w="324" w:type="pct"/>
            <w:noWrap w:val="0"/>
            <w:vAlign w:val="center"/>
          </w:tcPr>
          <w:p w14:paraId="2B794C99">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r w14:paraId="50EB55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49" w:type="pct"/>
            <w:gridSpan w:val="3"/>
            <w:noWrap w:val="0"/>
            <w:vAlign w:val="center"/>
          </w:tcPr>
          <w:p w14:paraId="05C11CC0">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合计</w:t>
            </w:r>
          </w:p>
        </w:tc>
        <w:tc>
          <w:tcPr>
            <w:tcW w:w="562" w:type="pct"/>
            <w:noWrap w:val="0"/>
            <w:vAlign w:val="center"/>
          </w:tcPr>
          <w:p w14:paraId="6B7436C3">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30</w:t>
            </w:r>
          </w:p>
        </w:tc>
        <w:tc>
          <w:tcPr>
            <w:tcW w:w="1324" w:type="pct"/>
            <w:noWrap w:val="0"/>
            <w:vAlign w:val="center"/>
          </w:tcPr>
          <w:p w14:paraId="238B43A7">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合计</w:t>
            </w:r>
          </w:p>
        </w:tc>
        <w:tc>
          <w:tcPr>
            <w:tcW w:w="539" w:type="pct"/>
            <w:noWrap w:val="0"/>
            <w:vAlign w:val="center"/>
          </w:tcPr>
          <w:p w14:paraId="770620E4">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17</w:t>
            </w:r>
          </w:p>
        </w:tc>
        <w:tc>
          <w:tcPr>
            <w:tcW w:w="324" w:type="pct"/>
            <w:noWrap w:val="0"/>
            <w:vAlign w:val="center"/>
          </w:tcPr>
          <w:p w14:paraId="23F58D2F">
            <w:pPr>
              <w:pStyle w:val="34"/>
              <w:keepNext w:val="0"/>
              <w:keepLines w:val="0"/>
              <w:pageBreakBefore w:val="0"/>
              <w:widowControl/>
              <w:kinsoku/>
              <w:wordWrap/>
              <w:overflowPunct/>
              <w:topLinePunct w:val="0"/>
              <w:autoSpaceDE/>
              <w:autoSpaceDN/>
              <w:bidi w:val="0"/>
              <w:adjustRightInd w:val="0"/>
              <w:snapToGrid w:val="0"/>
              <w:spacing w:beforeLines="0" w:after="0" w:afterLines="0" w:line="240" w:lineRule="auto"/>
              <w:jc w:val="center"/>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w:t>
            </w:r>
          </w:p>
        </w:tc>
      </w:tr>
    </w:tbl>
    <w:p w14:paraId="71002EAE">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4、验收范围</w:t>
      </w:r>
    </w:p>
    <w:p w14:paraId="5541246C">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本次验收为</w:t>
      </w:r>
      <w:r>
        <w:rPr>
          <w:rFonts w:hint="eastAsia" w:ascii="Times New Roman" w:hAnsi="Times New Roman" w:eastAsia="宋体" w:cs="Times New Roman"/>
          <w:color w:val="auto"/>
          <w:sz w:val="21"/>
          <w:szCs w:val="21"/>
          <w:highlight w:val="none"/>
          <w:lang w:val="en-US" w:eastAsia="zh-CN"/>
        </w:rPr>
        <w:t>整体验收</w:t>
      </w:r>
      <w:r>
        <w:rPr>
          <w:rFonts w:hint="default" w:ascii="Times New Roman" w:hAnsi="Times New Roman" w:eastAsia="宋体" w:cs="Times New Roman"/>
          <w:color w:val="auto"/>
          <w:sz w:val="21"/>
          <w:szCs w:val="21"/>
          <w:highlight w:val="none"/>
        </w:rPr>
        <w:t>，验收范围为</w:t>
      </w:r>
      <w:r>
        <w:rPr>
          <w:rFonts w:hint="eastAsia" w:ascii="Times New Roman" w:hAnsi="Times New Roman" w:eastAsia="宋体" w:cs="Times New Roman"/>
          <w:color w:val="auto"/>
          <w:sz w:val="21"/>
          <w:szCs w:val="21"/>
          <w:highlight w:val="none"/>
          <w:lang w:eastAsia="zh-CN"/>
        </w:rPr>
        <w:t>新建包装材料生产项目（</w:t>
      </w:r>
      <w:r>
        <w:rPr>
          <w:rFonts w:hint="default" w:ascii="Times New Roman" w:hAnsi="Times New Roman" w:eastAsia="宋体" w:cs="Times New Roman"/>
          <w:b w:val="0"/>
          <w:bCs/>
          <w:color w:val="auto"/>
          <w:sz w:val="21"/>
          <w:szCs w:val="21"/>
          <w:highlight w:val="none"/>
        </w:rPr>
        <w:t>年产汽车零部件包装材料</w:t>
      </w:r>
      <w:r>
        <w:rPr>
          <w:rFonts w:hint="eastAsia" w:ascii="Times New Roman" w:hAnsi="Times New Roman" w:eastAsia="宋体" w:cs="Times New Roman"/>
          <w:b w:val="0"/>
          <w:bCs/>
          <w:color w:val="auto"/>
          <w:sz w:val="21"/>
          <w:szCs w:val="21"/>
          <w:highlight w:val="none"/>
          <w:lang w:val="en-US" w:eastAsia="zh-CN"/>
        </w:rPr>
        <w:t>48</w:t>
      </w:r>
      <w:r>
        <w:rPr>
          <w:rFonts w:hint="default" w:ascii="Times New Roman" w:hAnsi="Times New Roman" w:eastAsia="宋体" w:cs="Times New Roman"/>
          <w:b w:val="0"/>
          <w:bCs/>
          <w:color w:val="auto"/>
          <w:sz w:val="21"/>
          <w:szCs w:val="21"/>
          <w:highlight w:val="none"/>
          <w:lang w:val="en-US" w:eastAsia="zh-CN"/>
        </w:rPr>
        <w:t>00</w:t>
      </w:r>
      <w:r>
        <w:rPr>
          <w:rFonts w:hint="default" w:ascii="Times New Roman" w:hAnsi="Times New Roman" w:eastAsia="宋体" w:cs="Times New Roman"/>
          <w:b w:val="0"/>
          <w:bCs/>
          <w:color w:val="auto"/>
          <w:sz w:val="21"/>
          <w:szCs w:val="21"/>
          <w:highlight w:val="none"/>
        </w:rPr>
        <w:t>吨、家装包装材料</w:t>
      </w:r>
      <w:r>
        <w:rPr>
          <w:rFonts w:hint="eastAsia" w:ascii="Times New Roman" w:hAnsi="Times New Roman" w:eastAsia="宋体" w:cs="Times New Roman"/>
          <w:b w:val="0"/>
          <w:bCs/>
          <w:color w:val="auto"/>
          <w:sz w:val="21"/>
          <w:szCs w:val="21"/>
          <w:highlight w:val="none"/>
          <w:lang w:val="en-US" w:eastAsia="zh-CN"/>
        </w:rPr>
        <w:t>32</w:t>
      </w:r>
      <w:r>
        <w:rPr>
          <w:rFonts w:hint="default" w:ascii="Times New Roman" w:hAnsi="Times New Roman" w:eastAsia="宋体" w:cs="Times New Roman"/>
          <w:b w:val="0"/>
          <w:bCs/>
          <w:color w:val="auto"/>
          <w:sz w:val="21"/>
          <w:szCs w:val="21"/>
          <w:highlight w:val="none"/>
          <w:lang w:val="en-US" w:eastAsia="zh-CN"/>
        </w:rPr>
        <w:t>00</w:t>
      </w:r>
      <w:r>
        <w:rPr>
          <w:rFonts w:hint="default" w:ascii="Times New Roman" w:hAnsi="Times New Roman" w:eastAsia="宋体" w:cs="Times New Roman"/>
          <w:b w:val="0"/>
          <w:bCs/>
          <w:color w:val="auto"/>
          <w:sz w:val="21"/>
          <w:szCs w:val="21"/>
          <w:highlight w:val="none"/>
        </w:rPr>
        <w:t>吨、其他包装材料</w:t>
      </w:r>
      <w:r>
        <w:rPr>
          <w:rFonts w:hint="eastAsia" w:ascii="Times New Roman" w:hAnsi="Times New Roman" w:eastAsia="宋体" w:cs="Times New Roman"/>
          <w:b w:val="0"/>
          <w:bCs/>
          <w:color w:val="auto"/>
          <w:sz w:val="21"/>
          <w:szCs w:val="21"/>
          <w:highlight w:val="none"/>
          <w:lang w:val="en-US" w:eastAsia="zh-CN"/>
        </w:rPr>
        <w:t>2</w:t>
      </w:r>
      <w:r>
        <w:rPr>
          <w:rFonts w:hint="default" w:ascii="Times New Roman" w:hAnsi="Times New Roman" w:eastAsia="宋体" w:cs="Times New Roman"/>
          <w:b w:val="0"/>
          <w:bCs/>
          <w:color w:val="auto"/>
          <w:sz w:val="21"/>
          <w:szCs w:val="21"/>
          <w:highlight w:val="none"/>
        </w:rPr>
        <w:t>000吨</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及其</w:t>
      </w:r>
      <w:r>
        <w:rPr>
          <w:rFonts w:hint="default" w:ascii="Times New Roman" w:hAnsi="Times New Roman" w:eastAsia="宋体" w:cs="Times New Roman"/>
          <w:color w:val="auto"/>
          <w:sz w:val="21"/>
          <w:szCs w:val="21"/>
          <w:highlight w:val="none"/>
          <w:lang w:val="en-US" w:eastAsia="zh-CN"/>
        </w:rPr>
        <w:t>环评报告和</w:t>
      </w:r>
      <w:r>
        <w:rPr>
          <w:rFonts w:hint="default" w:ascii="Times New Roman" w:hAnsi="Times New Roman" w:eastAsia="宋体" w:cs="Times New Roman"/>
          <w:color w:val="auto"/>
          <w:sz w:val="21"/>
          <w:szCs w:val="21"/>
          <w:highlight w:val="none"/>
        </w:rPr>
        <w:t>审批意见所述项目工程内容和环保治理设施。</w:t>
      </w:r>
    </w:p>
    <w:p w14:paraId="2A11C6AA">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二、工程变动情况</w:t>
      </w:r>
    </w:p>
    <w:p w14:paraId="318547B3">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color w:val="auto"/>
          <w:sz w:val="21"/>
          <w:szCs w:val="21"/>
          <w:highlight w:val="none"/>
        </w:rPr>
      </w:pPr>
      <w:r>
        <w:rPr>
          <w:rFonts w:ascii="宋体" w:hAnsi="宋体" w:eastAsia="宋体" w:cs="宋体"/>
          <w:color w:val="auto"/>
          <w:sz w:val="21"/>
          <w:szCs w:val="21"/>
          <w:highlight w:val="none"/>
        </w:rPr>
        <w:t>根据现场核查与原有环评资料，</w:t>
      </w:r>
      <w:r>
        <w:rPr>
          <w:rFonts w:hint="eastAsia" w:ascii="宋体" w:hAnsi="宋体" w:eastAsia="宋体" w:cs="宋体"/>
          <w:color w:val="auto"/>
          <w:sz w:val="21"/>
          <w:szCs w:val="21"/>
          <w:highlight w:val="none"/>
          <w:lang w:val="en-US" w:eastAsia="zh-CN"/>
        </w:rPr>
        <w:t>本项目变动情况详见下表</w:t>
      </w:r>
      <w:r>
        <w:rPr>
          <w:rFonts w:hint="eastAsia"/>
          <w:color w:val="auto"/>
          <w:sz w:val="21"/>
          <w:szCs w:val="21"/>
          <w:highlight w:val="none"/>
        </w:rPr>
        <w:t>。</w:t>
      </w:r>
    </w:p>
    <w:p w14:paraId="41DB5854">
      <w:pPr>
        <w:pStyle w:val="2"/>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表</w:t>
      </w:r>
      <w:r>
        <w:rPr>
          <w:rFonts w:hint="eastAsia" w:ascii="Times New Roman" w:hAnsi="Times New Roman" w:eastAsia="宋体"/>
          <w:b/>
          <w:bCs/>
          <w:color w:val="auto"/>
          <w:sz w:val="21"/>
          <w:szCs w:val="21"/>
          <w:highlight w:val="none"/>
          <w:lang w:val="en-US" w:eastAsia="zh-CN"/>
        </w:rPr>
        <w:t>2</w:t>
      </w:r>
      <w:r>
        <w:rPr>
          <w:rFonts w:ascii="Times New Roman" w:hAnsi="Times New Roman" w:eastAsia="宋体"/>
          <w:b/>
          <w:bCs/>
          <w:color w:val="auto"/>
          <w:sz w:val="21"/>
          <w:szCs w:val="21"/>
          <w:highlight w:val="none"/>
        </w:rPr>
        <w:t xml:space="preserve"> 建设项目变动清单</w:t>
      </w:r>
    </w:p>
    <w:tbl>
      <w:tblPr>
        <w:tblStyle w:val="15"/>
        <w:tblW w:w="4998"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0" w:type="dxa"/>
          <w:bottom w:w="0" w:type="dxa"/>
          <w:right w:w="0" w:type="dxa"/>
        </w:tblCellMar>
      </w:tblPr>
      <w:tblGrid>
        <w:gridCol w:w="834"/>
        <w:gridCol w:w="2204"/>
        <w:gridCol w:w="2279"/>
        <w:gridCol w:w="2986"/>
      </w:tblGrid>
      <w:tr w14:paraId="1523E06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502" w:type="pct"/>
            <w:noWrap w:val="0"/>
            <w:vAlign w:val="center"/>
          </w:tcPr>
          <w:p w14:paraId="29AE5E04">
            <w:pPr>
              <w:pStyle w:val="6"/>
              <w:spacing w:after="0"/>
              <w:ind w:left="0" w:leftChars="0"/>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类别</w:t>
            </w:r>
          </w:p>
        </w:tc>
        <w:tc>
          <w:tcPr>
            <w:tcW w:w="1327" w:type="pct"/>
            <w:noWrap w:val="0"/>
            <w:vAlign w:val="center"/>
          </w:tcPr>
          <w:p w14:paraId="62BBEDCA">
            <w:pPr>
              <w:pStyle w:val="6"/>
              <w:spacing w:after="0"/>
              <w:ind w:left="0" w:leftChars="0"/>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lang w:val="en-US" w:eastAsia="zh-CN"/>
              </w:rPr>
              <w:t>变动前</w:t>
            </w:r>
            <w:r>
              <w:rPr>
                <w:rFonts w:ascii="Times New Roman" w:hAnsi="Times New Roman" w:eastAsia="宋体"/>
                <w:b/>
                <w:bCs/>
                <w:color w:val="auto"/>
                <w:sz w:val="21"/>
                <w:szCs w:val="21"/>
                <w:highlight w:val="none"/>
              </w:rPr>
              <w:t>内容</w:t>
            </w:r>
          </w:p>
        </w:tc>
        <w:tc>
          <w:tcPr>
            <w:tcW w:w="1372" w:type="pct"/>
            <w:noWrap w:val="0"/>
            <w:vAlign w:val="center"/>
          </w:tcPr>
          <w:p w14:paraId="46F93818">
            <w:pPr>
              <w:pStyle w:val="6"/>
              <w:spacing w:after="0"/>
              <w:ind w:left="0" w:leftChars="0"/>
              <w:jc w:val="center"/>
              <w:rPr>
                <w:rFonts w:hint="default" w:ascii="Times New Roman" w:hAnsi="Times New Roman" w:eastAsia="宋体"/>
                <w:b/>
                <w:bCs/>
                <w:color w:val="auto"/>
                <w:sz w:val="21"/>
                <w:szCs w:val="21"/>
                <w:highlight w:val="none"/>
                <w:lang w:val="en-US" w:eastAsia="zh-CN"/>
              </w:rPr>
            </w:pPr>
            <w:r>
              <w:rPr>
                <w:rFonts w:hint="eastAsia" w:ascii="Times New Roman" w:hAnsi="Times New Roman" w:eastAsia="宋体"/>
                <w:b/>
                <w:bCs/>
                <w:color w:val="auto"/>
                <w:sz w:val="21"/>
                <w:szCs w:val="21"/>
                <w:highlight w:val="none"/>
                <w:lang w:val="en-US" w:eastAsia="zh-CN"/>
              </w:rPr>
              <w:t>变动后内容</w:t>
            </w:r>
          </w:p>
        </w:tc>
        <w:tc>
          <w:tcPr>
            <w:tcW w:w="1798" w:type="pct"/>
            <w:noWrap w:val="0"/>
            <w:vAlign w:val="center"/>
          </w:tcPr>
          <w:p w14:paraId="12998895">
            <w:pPr>
              <w:pStyle w:val="6"/>
              <w:spacing w:after="0"/>
              <w:ind w:left="0" w:leftChars="0"/>
              <w:jc w:val="center"/>
              <w:rPr>
                <w:rFonts w:ascii="Times New Roman" w:hAnsi="Times New Roman" w:eastAsia="宋体"/>
                <w:b/>
                <w:bCs/>
                <w:color w:val="auto"/>
                <w:sz w:val="21"/>
                <w:szCs w:val="21"/>
                <w:highlight w:val="none"/>
              </w:rPr>
            </w:pPr>
            <w:r>
              <w:rPr>
                <w:rFonts w:ascii="Times New Roman" w:hAnsi="Times New Roman" w:eastAsia="宋体"/>
                <w:b/>
                <w:bCs/>
                <w:color w:val="auto"/>
                <w:sz w:val="21"/>
                <w:szCs w:val="21"/>
                <w:highlight w:val="none"/>
              </w:rPr>
              <w:t>备注</w:t>
            </w:r>
          </w:p>
        </w:tc>
      </w:tr>
      <w:tr w14:paraId="26820822">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502" w:type="pct"/>
            <w:shd w:val="clear" w:color="auto" w:fill="auto"/>
            <w:noWrap w:val="0"/>
            <w:vAlign w:val="center"/>
          </w:tcPr>
          <w:p w14:paraId="193BE7A6">
            <w:pPr>
              <w:pStyle w:val="6"/>
              <w:spacing w:after="0" w:line="240" w:lineRule="auto"/>
              <w:ind w:left="0" w:lef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平面布置</w:t>
            </w:r>
          </w:p>
        </w:tc>
        <w:tc>
          <w:tcPr>
            <w:tcW w:w="1327" w:type="pct"/>
            <w:shd w:val="clear" w:color="auto" w:fill="auto"/>
            <w:noWrap w:val="0"/>
            <w:vAlign w:val="center"/>
          </w:tcPr>
          <w:p w14:paraId="3112DF16">
            <w:pPr>
              <w:pStyle w:val="6"/>
              <w:keepNext w:val="0"/>
              <w:keepLines w:val="0"/>
              <w:pageBreakBefore w:val="0"/>
              <w:widowControl/>
              <w:kinsoku/>
              <w:wordWrap/>
              <w:overflowPunct/>
              <w:topLinePunct w:val="0"/>
              <w:autoSpaceDE/>
              <w:autoSpaceDN/>
              <w:bidi w:val="0"/>
              <w:adjustRightInd w:val="0"/>
              <w:snapToGrid w:val="0"/>
              <w:spacing w:after="0" w:line="240" w:lineRule="auto"/>
              <w:ind w:left="0" w:left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主体生产车间位于1#车间3楼，危废仓库位于1#车间3楼内</w:t>
            </w:r>
          </w:p>
        </w:tc>
        <w:tc>
          <w:tcPr>
            <w:tcW w:w="1372" w:type="pct"/>
            <w:shd w:val="clear" w:color="auto" w:fill="auto"/>
            <w:noWrap w:val="0"/>
            <w:vAlign w:val="center"/>
          </w:tcPr>
          <w:p w14:paraId="50BF0429">
            <w:pPr>
              <w:pStyle w:val="6"/>
              <w:keepNext w:val="0"/>
              <w:keepLines w:val="0"/>
              <w:pageBreakBefore w:val="0"/>
              <w:widowControl/>
              <w:kinsoku/>
              <w:wordWrap/>
              <w:overflowPunct/>
              <w:topLinePunct w:val="0"/>
              <w:autoSpaceDE/>
              <w:autoSpaceDN/>
              <w:bidi w:val="0"/>
              <w:adjustRightInd w:val="0"/>
              <w:snapToGrid w:val="0"/>
              <w:spacing w:after="0" w:line="240" w:lineRule="auto"/>
              <w:ind w:left="0" w:leftChars="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主体生产车间位于2#车间1楼，危废仓库位于1#车间外北侧</w:t>
            </w:r>
          </w:p>
        </w:tc>
        <w:tc>
          <w:tcPr>
            <w:tcW w:w="1798" w:type="pct"/>
            <w:shd w:val="clear" w:color="auto" w:fill="auto"/>
            <w:noWrap w:val="0"/>
            <w:vAlign w:val="center"/>
          </w:tcPr>
          <w:p w14:paraId="7684ED78">
            <w:pPr>
              <w:pStyle w:val="6"/>
              <w:spacing w:after="0" w:line="240" w:lineRule="auto"/>
              <w:ind w:left="0" w:leftChars="0"/>
              <w:jc w:val="center"/>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生产车间由1#车间3楼调整到2#车间1楼，项目平面布置仅在原厂址附近调整，</w:t>
            </w:r>
            <w:r>
              <w:rPr>
                <w:rFonts w:hint="eastAsia" w:ascii="Times New Roman" w:hAnsi="Times New Roman" w:eastAsia="宋体"/>
                <w:color w:val="auto"/>
                <w:sz w:val="21"/>
                <w:szCs w:val="21"/>
                <w:highlight w:val="none"/>
                <w:lang w:val="en-US" w:eastAsia="zh-CN"/>
              </w:rPr>
              <w:t>导致</w:t>
            </w:r>
            <w:r>
              <w:rPr>
                <w:rFonts w:hint="eastAsia" w:ascii="Times New Roman" w:hAnsi="Times New Roman" w:eastAsia="宋体"/>
                <w:color w:val="auto"/>
                <w:sz w:val="21"/>
                <w:szCs w:val="21"/>
                <w:highlight w:val="none"/>
              </w:rPr>
              <w:t>卫生防护距离的改变，</w:t>
            </w:r>
            <w:r>
              <w:rPr>
                <w:rFonts w:hint="eastAsia" w:ascii="Times New Roman" w:hAnsi="Times New Roman" w:eastAsia="宋体"/>
                <w:color w:val="auto"/>
                <w:sz w:val="21"/>
                <w:szCs w:val="21"/>
                <w:highlight w:val="none"/>
                <w:lang w:val="en-US" w:eastAsia="zh-CN"/>
              </w:rPr>
              <w:t>但不新增敏感点，</w:t>
            </w:r>
            <w:r>
              <w:rPr>
                <w:rFonts w:hint="eastAsia" w:ascii="Times New Roman" w:hAnsi="Times New Roman" w:eastAsia="宋体"/>
                <w:color w:val="auto"/>
                <w:sz w:val="21"/>
                <w:szCs w:val="21"/>
                <w:highlight w:val="none"/>
              </w:rPr>
              <w:t>不属于重大变动</w:t>
            </w:r>
          </w:p>
        </w:tc>
      </w:tr>
      <w:tr w14:paraId="7DEC4FFD">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0" w:type="dxa"/>
            <w:bottom w:w="0" w:type="dxa"/>
            <w:right w:w="0" w:type="dxa"/>
          </w:tblCellMar>
        </w:tblPrEx>
        <w:trPr>
          <w:trHeight w:val="340" w:hRule="atLeast"/>
        </w:trPr>
        <w:tc>
          <w:tcPr>
            <w:tcW w:w="502" w:type="pct"/>
            <w:shd w:val="clear" w:color="auto" w:fill="auto"/>
            <w:noWrap w:val="0"/>
            <w:vAlign w:val="center"/>
          </w:tcPr>
          <w:p w14:paraId="3C29A840">
            <w:pPr>
              <w:pStyle w:val="6"/>
              <w:keepNext w:val="0"/>
              <w:keepLines w:val="0"/>
              <w:pageBreakBefore w:val="0"/>
              <w:widowControl/>
              <w:kinsoku/>
              <w:wordWrap/>
              <w:overflowPunct/>
              <w:topLinePunct w:val="0"/>
              <w:autoSpaceDE/>
              <w:autoSpaceDN/>
              <w:bidi w:val="0"/>
              <w:adjustRightInd w:val="0"/>
              <w:snapToGrid w:val="0"/>
              <w:spacing w:after="0" w:line="240" w:lineRule="auto"/>
              <w:ind w:left="0" w:leftChars="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执行标准</w:t>
            </w:r>
          </w:p>
        </w:tc>
        <w:tc>
          <w:tcPr>
            <w:tcW w:w="1327" w:type="pct"/>
            <w:shd w:val="clear" w:color="auto" w:fill="auto"/>
            <w:noWrap w:val="0"/>
            <w:vAlign w:val="center"/>
          </w:tcPr>
          <w:p w14:paraId="54306FDF">
            <w:pPr>
              <w:pStyle w:val="6"/>
              <w:keepNext w:val="0"/>
              <w:keepLines w:val="0"/>
              <w:pageBreakBefore w:val="0"/>
              <w:widowControl/>
              <w:kinsoku/>
              <w:wordWrap/>
              <w:overflowPunct/>
              <w:topLinePunct w:val="0"/>
              <w:autoSpaceDE/>
              <w:autoSpaceDN/>
              <w:bidi w:val="0"/>
              <w:adjustRightInd w:val="0"/>
              <w:snapToGrid w:val="0"/>
              <w:spacing w:after="0" w:line="240" w:lineRule="auto"/>
              <w:ind w:left="0" w:left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废气排放执行</w:t>
            </w:r>
            <w:r>
              <w:rPr>
                <w:rFonts w:hint="default" w:ascii="Times New Roman" w:hAnsi="Times New Roman" w:eastAsia="宋体" w:cs="Times New Roman"/>
                <w:color w:val="auto"/>
                <w:sz w:val="21"/>
                <w:szCs w:val="21"/>
                <w:highlight w:val="none"/>
              </w:rPr>
              <w:t>《合成树脂工业污染物排放标准》（GB31572-2015）</w:t>
            </w:r>
          </w:p>
        </w:tc>
        <w:tc>
          <w:tcPr>
            <w:tcW w:w="1372" w:type="pct"/>
            <w:shd w:val="clear" w:color="auto" w:fill="auto"/>
            <w:noWrap w:val="0"/>
            <w:vAlign w:val="center"/>
          </w:tcPr>
          <w:p w14:paraId="25DC8649">
            <w:pPr>
              <w:pStyle w:val="6"/>
              <w:keepNext w:val="0"/>
              <w:keepLines w:val="0"/>
              <w:pageBreakBefore w:val="0"/>
              <w:widowControl/>
              <w:kinsoku/>
              <w:wordWrap/>
              <w:overflowPunct/>
              <w:topLinePunct w:val="0"/>
              <w:autoSpaceDE/>
              <w:autoSpaceDN/>
              <w:bidi w:val="0"/>
              <w:adjustRightInd w:val="0"/>
              <w:snapToGrid w:val="0"/>
              <w:spacing w:after="0" w:line="240" w:lineRule="auto"/>
              <w:ind w:left="0" w:leftChars="0"/>
              <w:jc w:val="center"/>
              <w:textAlignment w:val="auto"/>
              <w:rPr>
                <w:rFonts w:hint="default"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废气排放执行</w:t>
            </w:r>
            <w:r>
              <w:rPr>
                <w:rFonts w:hint="default" w:ascii="Times New Roman" w:hAnsi="Times New Roman" w:eastAsia="宋体" w:cs="Times New Roman"/>
                <w:color w:val="auto"/>
                <w:sz w:val="21"/>
                <w:szCs w:val="21"/>
                <w:highlight w:val="none"/>
              </w:rPr>
              <w:t>《合成树脂工业污染物排放标准》（GB31572-2015）</w:t>
            </w:r>
            <w:r>
              <w:rPr>
                <w:rFonts w:hint="default" w:ascii="Times New Roman" w:hAnsi="Times New Roman" w:eastAsia="宋体" w:cs="Times New Roman"/>
                <w:bCs/>
                <w:color w:val="auto"/>
                <w:kern w:val="2"/>
                <w:sz w:val="21"/>
                <w:szCs w:val="21"/>
                <w:highlight w:val="none"/>
                <w:lang w:val="en-US" w:eastAsia="zh-CN"/>
              </w:rPr>
              <w:t>及2024年</w:t>
            </w:r>
            <w:r>
              <w:rPr>
                <w:rFonts w:hint="default" w:ascii="Times New Roman" w:hAnsi="Times New Roman" w:eastAsia="宋体" w:cs="Times New Roman"/>
                <w:color w:val="auto"/>
                <w:sz w:val="21"/>
                <w:szCs w:val="21"/>
                <w:highlight w:val="none"/>
                <w:lang w:val="en-US" w:eastAsia="zh-CN"/>
              </w:rPr>
              <w:t>修改单</w:t>
            </w:r>
          </w:p>
        </w:tc>
        <w:tc>
          <w:tcPr>
            <w:tcW w:w="1798" w:type="pct"/>
            <w:shd w:val="clear" w:color="auto" w:fill="auto"/>
            <w:noWrap w:val="0"/>
            <w:vAlign w:val="center"/>
          </w:tcPr>
          <w:p w14:paraId="7D193169">
            <w:pPr>
              <w:pStyle w:val="6"/>
              <w:spacing w:after="0" w:line="240" w:lineRule="auto"/>
              <w:ind w:left="0" w:leftChars="0"/>
              <w:jc w:val="center"/>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标准更新</w:t>
            </w:r>
          </w:p>
        </w:tc>
      </w:tr>
    </w:tbl>
    <w:p w14:paraId="40AB23C9">
      <w:pPr>
        <w:pStyle w:val="2"/>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0" w:firstLineChars="200"/>
        <w:textAlignment w:val="auto"/>
        <w:rPr>
          <w:rFonts w:hint="default"/>
          <w:color w:val="auto"/>
          <w:highlight w:val="none"/>
          <w:lang w:val="en-US"/>
        </w:rPr>
      </w:pPr>
      <w:r>
        <w:rPr>
          <w:rFonts w:ascii="Times New Roman" w:hAnsi="Times New Roman" w:eastAsia="宋体"/>
          <w:color w:val="auto"/>
          <w:sz w:val="21"/>
          <w:szCs w:val="21"/>
          <w:highlight w:val="none"/>
        </w:rPr>
        <w:t>针对建设项目以上变动，</w:t>
      </w:r>
      <w:r>
        <w:rPr>
          <w:rFonts w:hint="eastAsia" w:ascii="Times New Roman" w:hAnsi="Times New Roman" w:eastAsia="宋体"/>
          <w:color w:val="auto"/>
          <w:sz w:val="21"/>
          <w:szCs w:val="21"/>
          <w:highlight w:val="none"/>
          <w:lang w:eastAsia="zh-CN"/>
        </w:rPr>
        <w:t>江苏汇富新型材料有限公司</w:t>
      </w:r>
      <w:r>
        <w:rPr>
          <w:rFonts w:ascii="Times New Roman" w:hAnsi="Times New Roman" w:eastAsia="宋体"/>
          <w:color w:val="auto"/>
          <w:sz w:val="21"/>
          <w:szCs w:val="21"/>
          <w:highlight w:val="none"/>
        </w:rPr>
        <w:t>已</w:t>
      </w:r>
      <w:r>
        <w:rPr>
          <w:rFonts w:hint="eastAsia" w:ascii="Times New Roman" w:hAnsi="Times New Roman" w:eastAsia="宋体"/>
          <w:color w:val="auto"/>
          <w:sz w:val="21"/>
          <w:szCs w:val="21"/>
          <w:highlight w:val="none"/>
        </w:rPr>
        <w:t>委托</w:t>
      </w:r>
      <w:r>
        <w:rPr>
          <w:rFonts w:ascii="Times New Roman" w:hAnsi="Times New Roman" w:eastAsia="宋体"/>
          <w:color w:val="auto"/>
          <w:sz w:val="21"/>
          <w:szCs w:val="21"/>
          <w:highlight w:val="none"/>
        </w:rPr>
        <w:t>编制完成了《</w:t>
      </w:r>
      <w:r>
        <w:rPr>
          <w:rFonts w:hint="eastAsia" w:ascii="Times New Roman" w:hAnsi="Times New Roman" w:eastAsia="宋体"/>
          <w:color w:val="auto"/>
          <w:sz w:val="21"/>
          <w:szCs w:val="21"/>
          <w:highlight w:val="none"/>
          <w:lang w:eastAsia="zh-CN"/>
        </w:rPr>
        <w:t>江苏汇富新型材料有限公司新建包装材料生产项目</w:t>
      </w:r>
      <w:r>
        <w:rPr>
          <w:rFonts w:hint="eastAsia" w:ascii="Times New Roman" w:hAnsi="Times New Roman" w:eastAsia="宋体"/>
          <w:color w:val="auto"/>
          <w:sz w:val="21"/>
          <w:szCs w:val="21"/>
          <w:highlight w:val="none"/>
        </w:rPr>
        <w:t>一般变动</w:t>
      </w:r>
      <w:r>
        <w:rPr>
          <w:rFonts w:ascii="Times New Roman" w:hAnsi="Times New Roman" w:eastAsia="宋体"/>
          <w:color w:val="auto"/>
          <w:sz w:val="21"/>
          <w:szCs w:val="21"/>
          <w:highlight w:val="none"/>
        </w:rPr>
        <w:t>环境影响分析报告》（详见附件），根据</w:t>
      </w:r>
      <w:r>
        <w:rPr>
          <w:rFonts w:hint="eastAsia" w:ascii="宋体" w:hAnsi="宋体" w:eastAsia="宋体" w:cs="宋体"/>
          <w:color w:val="auto"/>
          <w:sz w:val="21"/>
          <w:szCs w:val="21"/>
          <w:highlight w:val="none"/>
        </w:rPr>
        <w:t>“一般变动环境影响分析报告”可知，</w:t>
      </w:r>
      <w:r>
        <w:rPr>
          <w:rFonts w:ascii="Times New Roman" w:hAnsi="Times New Roman" w:eastAsia="宋体"/>
          <w:color w:val="auto"/>
          <w:sz w:val="21"/>
          <w:szCs w:val="21"/>
          <w:highlight w:val="none"/>
        </w:rPr>
        <w:t>项目虽存在变动，但不属于重大变动。“</w:t>
      </w:r>
      <w:bookmarkStart w:id="0" w:name="_Hlk29063061"/>
      <w:r>
        <w:rPr>
          <w:rFonts w:ascii="Times New Roman" w:hAnsi="Times New Roman" w:eastAsia="宋体"/>
          <w:color w:val="auto"/>
          <w:sz w:val="21"/>
          <w:szCs w:val="21"/>
          <w:highlight w:val="none"/>
        </w:rPr>
        <w:t>建设项目存在变动但不属于重大变动的，纳入竣工环境保护验收管理。</w:t>
      </w:r>
      <w:bookmarkEnd w:id="0"/>
      <w:r>
        <w:rPr>
          <w:rFonts w:ascii="Times New Roman" w:hAnsi="Times New Roman" w:eastAsia="宋体"/>
          <w:color w:val="auto"/>
          <w:sz w:val="21"/>
          <w:szCs w:val="21"/>
          <w:highlight w:val="none"/>
        </w:rPr>
        <w:t>”因此本项目变动内容直接纳入竣工环境保护验收中。</w:t>
      </w:r>
    </w:p>
    <w:p w14:paraId="28AA44A8">
      <w:pPr>
        <w:keepNext w:val="0"/>
        <w:keepLines w:val="0"/>
        <w:pageBreakBefore w:val="0"/>
        <w:kinsoku/>
        <w:wordWrap/>
        <w:overflowPunct/>
        <w:topLinePunct w:val="0"/>
        <w:autoSpaceDE/>
        <w:autoSpaceDN/>
        <w:bidi w:val="0"/>
        <w:adjustRightInd w:val="0"/>
        <w:snapToGrid w:val="0"/>
        <w:spacing w:line="360" w:lineRule="auto"/>
        <w:ind w:firstLine="482" w:firstLineChars="200"/>
        <w:jc w:val="both"/>
        <w:textAlignment w:val="auto"/>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三、环境保护设施建设情况</w:t>
      </w:r>
    </w:p>
    <w:p w14:paraId="6B59C956">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1、</w:t>
      </w:r>
      <w:r>
        <w:rPr>
          <w:rFonts w:ascii="Times New Roman" w:hAnsi="Times New Roman" w:eastAsia="宋体" w:cs="Times New Roman"/>
          <w:color w:val="auto"/>
          <w:sz w:val="21"/>
          <w:szCs w:val="21"/>
          <w:highlight w:val="none"/>
        </w:rPr>
        <w:t>废水</w:t>
      </w:r>
    </w:p>
    <w:p w14:paraId="6F7A990B">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eastAsia" w:ascii="Times New Roman" w:hAnsi="Times New Roman" w:eastAsia="宋体" w:cs="Times New Roman"/>
          <w:color w:val="auto"/>
          <w:sz w:val="21"/>
          <w:szCs w:val="21"/>
          <w:highlight w:val="none"/>
        </w:rPr>
      </w:pPr>
      <w:bookmarkStart w:id="1" w:name="_Hlk61016957"/>
      <w:r>
        <w:rPr>
          <w:rFonts w:hint="eastAsia" w:ascii="Times New Roman" w:hAnsi="Times New Roman" w:eastAsia="宋体"/>
          <w:color w:val="auto"/>
          <w:sz w:val="21"/>
          <w:szCs w:val="21"/>
          <w:highlight w:val="none"/>
        </w:rPr>
        <w:t>根据</w:t>
      </w:r>
      <w:r>
        <w:rPr>
          <w:rFonts w:hint="eastAsia" w:ascii="Times New Roman" w:hAnsi="Times New Roman" w:eastAsia="宋体"/>
          <w:color w:val="auto"/>
          <w:sz w:val="21"/>
          <w:szCs w:val="21"/>
          <w:highlight w:val="none"/>
          <w:lang w:val="en-US" w:eastAsia="zh-CN"/>
        </w:rPr>
        <w:t>调试期实际生产可知</w:t>
      </w:r>
      <w:r>
        <w:rPr>
          <w:rFonts w:hint="eastAsia" w:ascii="Times New Roman" w:hAnsi="Times New Roman" w:eastAsia="宋体"/>
          <w:color w:val="auto"/>
          <w:sz w:val="21"/>
          <w:szCs w:val="21"/>
          <w:highlight w:val="none"/>
        </w:rPr>
        <w:t>，</w:t>
      </w:r>
      <w:bookmarkEnd w:id="1"/>
      <w:r>
        <w:rPr>
          <w:rFonts w:hint="eastAsia" w:ascii="Times New Roman" w:hAnsi="Times New Roman" w:eastAsia="宋体" w:cs="Times New Roman"/>
          <w:color w:val="auto"/>
          <w:sz w:val="21"/>
          <w:szCs w:val="21"/>
          <w:highlight w:val="none"/>
        </w:rPr>
        <w:t>项目无生产废水外排，厂区生活污水</w:t>
      </w:r>
      <w:r>
        <w:rPr>
          <w:rFonts w:hint="eastAsia" w:ascii="Times New Roman" w:hAnsi="Times New Roman" w:eastAsia="宋体" w:cs="Times New Roman"/>
          <w:color w:val="auto"/>
          <w:sz w:val="21"/>
          <w:szCs w:val="21"/>
          <w:highlight w:val="none"/>
          <w:lang w:val="en-US" w:eastAsia="zh-CN"/>
        </w:rPr>
        <w:t>接管</w:t>
      </w:r>
      <w:r>
        <w:rPr>
          <w:rFonts w:hint="eastAsia" w:ascii="Times New Roman" w:hAnsi="Times New Roman" w:eastAsia="宋体"/>
          <w:color w:val="auto"/>
          <w:sz w:val="21"/>
          <w:szCs w:val="21"/>
          <w:highlight w:val="none"/>
          <w:lang w:val="en-US" w:eastAsia="zh-CN"/>
        </w:rPr>
        <w:t>常州金坛区第二污水处理有限公司</w:t>
      </w:r>
      <w:r>
        <w:rPr>
          <w:rFonts w:hint="eastAsia" w:ascii="Times New Roman" w:hAnsi="Times New Roman" w:eastAsia="宋体" w:cs="Times New Roman"/>
          <w:color w:val="auto"/>
          <w:sz w:val="21"/>
          <w:szCs w:val="21"/>
          <w:highlight w:val="none"/>
          <w:lang w:val="en-US" w:eastAsia="zh-CN"/>
        </w:rPr>
        <w:t>集中处理</w:t>
      </w:r>
      <w:r>
        <w:rPr>
          <w:rFonts w:hint="eastAsia" w:ascii="Times New Roman" w:hAnsi="Times New Roman" w:eastAsia="宋体" w:cs="Times New Roman"/>
          <w:color w:val="auto"/>
          <w:sz w:val="21"/>
          <w:szCs w:val="21"/>
          <w:highlight w:val="none"/>
        </w:rPr>
        <w:t>。</w:t>
      </w:r>
    </w:p>
    <w:p w14:paraId="740F94F8">
      <w:pPr>
        <w:keepNext w:val="0"/>
        <w:keepLines w:val="0"/>
        <w:pageBreakBefore w:val="0"/>
        <w:kinsoku/>
        <w:wordWrap/>
        <w:overflowPunct/>
        <w:topLinePunct w:val="0"/>
        <w:autoSpaceDE/>
        <w:autoSpaceDN/>
        <w:bidi w:val="0"/>
        <w:adjustRightInd w:val="0"/>
        <w:snapToGrid w:val="0"/>
        <w:spacing w:line="360" w:lineRule="auto"/>
        <w:ind w:firstLine="420" w:firstLineChars="200"/>
        <w:jc w:val="both"/>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2、</w:t>
      </w:r>
      <w:r>
        <w:rPr>
          <w:rFonts w:ascii="Times New Roman" w:hAnsi="Times New Roman" w:eastAsia="宋体" w:cs="Times New Roman"/>
          <w:color w:val="auto"/>
          <w:sz w:val="21"/>
          <w:szCs w:val="21"/>
          <w:highlight w:val="none"/>
        </w:rPr>
        <w:t>废气</w:t>
      </w:r>
    </w:p>
    <w:p w14:paraId="39448725">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hint="eastAsia" w:ascii="Times New Roman" w:hAnsi="Times New Roman" w:eastAsia="宋体"/>
          <w:color w:val="auto"/>
          <w:sz w:val="21"/>
          <w:szCs w:val="21"/>
          <w:highlight w:val="none"/>
        </w:rPr>
      </w:pPr>
      <w:r>
        <w:rPr>
          <w:rFonts w:hint="default" w:ascii="Times New Roman" w:hAnsi="Times New Roman" w:eastAsia="宋体" w:cs="Times New Roman"/>
          <w:color w:val="auto"/>
          <w:sz w:val="21"/>
          <w:szCs w:val="21"/>
          <w:highlight w:val="none"/>
          <w:lang w:val="en-US" w:eastAsia="zh-CN"/>
        </w:rPr>
        <w:t>挤出</w:t>
      </w:r>
      <w:r>
        <w:rPr>
          <w:rFonts w:hint="default" w:ascii="Times New Roman" w:hAnsi="Times New Roman" w:eastAsia="宋体" w:cs="Times New Roman"/>
          <w:color w:val="auto"/>
          <w:sz w:val="21"/>
          <w:szCs w:val="21"/>
          <w:highlight w:val="none"/>
        </w:rPr>
        <w:t>成型</w:t>
      </w:r>
      <w:r>
        <w:rPr>
          <w:rFonts w:hint="default" w:ascii="Times New Roman" w:hAnsi="Times New Roman" w:eastAsia="宋体" w:cs="Times New Roman"/>
          <w:bCs/>
          <w:color w:val="auto"/>
          <w:sz w:val="21"/>
          <w:szCs w:val="21"/>
          <w:highlight w:val="none"/>
        </w:rPr>
        <w:t>工序产生的有机废气经半密闭集气罩收集进入一套“二级活性炭吸附装置”处理后通过1根18m排气筒DA001达标排放</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val="en-US" w:eastAsia="zh-CN"/>
        </w:rPr>
        <w:t>投料及破碎粉尘经移动式布袋除尘器收集处理后呈无组织排放</w:t>
      </w:r>
      <w:r>
        <w:rPr>
          <w:rFonts w:hint="eastAsia" w:ascii="Times New Roman" w:hAnsi="Times New Roman" w:eastAsia="宋体" w:cs="Times New Roman"/>
          <w:color w:val="auto"/>
          <w:sz w:val="21"/>
          <w:szCs w:val="21"/>
          <w:highlight w:val="none"/>
          <w:lang w:val="en-US" w:eastAsia="zh-CN"/>
        </w:rPr>
        <w:t>。</w:t>
      </w:r>
      <w:r>
        <w:rPr>
          <w:rFonts w:hint="eastAsia" w:ascii="Times New Roman" w:hAnsi="Times New Roman" w:eastAsia="宋体"/>
          <w:color w:val="auto"/>
          <w:sz w:val="21"/>
          <w:szCs w:val="21"/>
          <w:highlight w:val="none"/>
          <w:lang w:val="en-US" w:eastAsia="zh-CN"/>
        </w:rPr>
        <w:t>本次验收</w:t>
      </w:r>
      <w:r>
        <w:rPr>
          <w:rFonts w:ascii="Times New Roman" w:hAnsi="Times New Roman" w:eastAsia="宋体"/>
          <w:color w:val="auto"/>
          <w:sz w:val="21"/>
          <w:szCs w:val="21"/>
          <w:highlight w:val="none"/>
        </w:rPr>
        <w:t>废气排放及防治措施见表</w:t>
      </w:r>
      <w:r>
        <w:rPr>
          <w:rFonts w:hint="eastAsia" w:ascii="Times New Roman" w:hAnsi="Times New Roman" w:eastAsia="宋体"/>
          <w:color w:val="auto"/>
          <w:sz w:val="21"/>
          <w:szCs w:val="21"/>
          <w:highlight w:val="none"/>
          <w:lang w:val="en-US" w:eastAsia="zh-CN"/>
        </w:rPr>
        <w:t>3</w:t>
      </w:r>
      <w:r>
        <w:rPr>
          <w:rFonts w:hint="eastAsia" w:ascii="Times New Roman" w:hAnsi="Times New Roman" w:eastAsia="宋体"/>
          <w:color w:val="auto"/>
          <w:sz w:val="21"/>
          <w:szCs w:val="21"/>
          <w:highlight w:val="none"/>
        </w:rPr>
        <w:t>。</w:t>
      </w:r>
    </w:p>
    <w:p w14:paraId="1059CE6F">
      <w:pPr>
        <w:keepNext w:val="0"/>
        <w:keepLines w:val="0"/>
        <w:pageBreakBefore w:val="0"/>
        <w:widowControl w:val="0"/>
        <w:kinsoku/>
        <w:wordWrap/>
        <w:overflowPunct/>
        <w:topLinePunct w:val="0"/>
        <w:autoSpaceDE/>
        <w:autoSpaceDN/>
        <w:bidi w:val="0"/>
        <w:adjustRightInd w:val="0"/>
        <w:snapToGrid w:val="0"/>
        <w:spacing w:after="0" w:line="240" w:lineRule="auto"/>
        <w:jc w:val="center"/>
        <w:textAlignment w:val="auto"/>
        <w:rPr>
          <w:rFonts w:hint="eastAsia" w:ascii="Times New Roman" w:hAnsi="Times New Roman" w:eastAsia="宋体"/>
          <w:b/>
          <w:bCs/>
          <w:color w:val="auto"/>
          <w:kern w:val="2"/>
          <w:sz w:val="21"/>
          <w:szCs w:val="21"/>
          <w:highlight w:val="none"/>
          <w:lang w:val="en-US" w:eastAsia="zh-CN"/>
        </w:rPr>
      </w:pPr>
      <w:r>
        <w:rPr>
          <w:rFonts w:ascii="Times New Roman" w:hAnsi="Times New Roman" w:eastAsia="宋体"/>
          <w:b/>
          <w:bCs/>
          <w:color w:val="auto"/>
          <w:kern w:val="2"/>
          <w:sz w:val="21"/>
          <w:szCs w:val="21"/>
          <w:highlight w:val="none"/>
        </w:rPr>
        <w:t>表</w:t>
      </w:r>
      <w:r>
        <w:rPr>
          <w:rFonts w:hint="eastAsia" w:ascii="Times New Roman" w:hAnsi="Times New Roman" w:eastAsia="宋体"/>
          <w:b/>
          <w:bCs/>
          <w:color w:val="auto"/>
          <w:kern w:val="2"/>
          <w:sz w:val="21"/>
          <w:szCs w:val="21"/>
          <w:highlight w:val="none"/>
          <w:lang w:val="en-US" w:eastAsia="zh-CN"/>
        </w:rPr>
        <w:t xml:space="preserve">3 </w:t>
      </w:r>
      <w:r>
        <w:rPr>
          <w:rFonts w:ascii="Times New Roman" w:hAnsi="Times New Roman" w:eastAsia="宋体"/>
          <w:b/>
          <w:bCs/>
          <w:color w:val="auto"/>
          <w:kern w:val="2"/>
          <w:sz w:val="21"/>
          <w:szCs w:val="21"/>
          <w:highlight w:val="none"/>
        </w:rPr>
        <w:t>废气排放及防治措施</w:t>
      </w:r>
      <w:r>
        <w:rPr>
          <w:rFonts w:hint="eastAsia" w:ascii="Times New Roman" w:hAnsi="Times New Roman" w:eastAsia="宋体"/>
          <w:b/>
          <w:bCs/>
          <w:color w:val="auto"/>
          <w:kern w:val="2"/>
          <w:sz w:val="21"/>
          <w:szCs w:val="21"/>
          <w:highlight w:val="none"/>
          <w:lang w:val="en-US" w:eastAsia="zh-CN"/>
        </w:rPr>
        <w:t>一览表</w:t>
      </w:r>
    </w:p>
    <w:tbl>
      <w:tblPr>
        <w:tblStyle w:val="15"/>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0" w:type="dxa"/>
          <w:bottom w:w="0" w:type="dxa"/>
          <w:right w:w="0" w:type="dxa"/>
        </w:tblCellMar>
      </w:tblPr>
      <w:tblGrid>
        <w:gridCol w:w="1163"/>
        <w:gridCol w:w="906"/>
        <w:gridCol w:w="778"/>
        <w:gridCol w:w="750"/>
        <w:gridCol w:w="1227"/>
        <w:gridCol w:w="674"/>
        <w:gridCol w:w="623"/>
        <w:gridCol w:w="584"/>
        <w:gridCol w:w="532"/>
        <w:gridCol w:w="525"/>
        <w:gridCol w:w="544"/>
      </w:tblGrid>
      <w:tr w14:paraId="0863CC6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00" w:type="pct"/>
            <w:vMerge w:val="restart"/>
            <w:tcBorders>
              <w:tl2br w:val="nil"/>
              <w:tr2bl w:val="nil"/>
            </w:tcBorders>
            <w:noWrap w:val="0"/>
            <w:vAlign w:val="center"/>
          </w:tcPr>
          <w:p w14:paraId="43A22364">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r>
              <w:rPr>
                <w:rFonts w:ascii="Times New Roman" w:hAnsi="Times New Roman" w:eastAsia="宋体"/>
                <w:b/>
                <w:color w:val="auto"/>
                <w:kern w:val="2"/>
                <w:sz w:val="21"/>
                <w:szCs w:val="21"/>
                <w:highlight w:val="none"/>
              </w:rPr>
              <w:t>废气名称</w:t>
            </w:r>
          </w:p>
        </w:tc>
        <w:tc>
          <w:tcPr>
            <w:tcW w:w="545" w:type="pct"/>
            <w:vMerge w:val="restart"/>
            <w:tcBorders>
              <w:tl2br w:val="nil"/>
              <w:tr2bl w:val="nil"/>
            </w:tcBorders>
            <w:noWrap w:val="0"/>
            <w:vAlign w:val="center"/>
          </w:tcPr>
          <w:p w14:paraId="75E4864A">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r>
              <w:rPr>
                <w:rFonts w:ascii="Times New Roman" w:hAnsi="Times New Roman" w:eastAsia="宋体"/>
                <w:b/>
                <w:color w:val="auto"/>
                <w:kern w:val="2"/>
                <w:sz w:val="21"/>
                <w:szCs w:val="21"/>
                <w:highlight w:val="none"/>
              </w:rPr>
              <w:t>废气来源</w:t>
            </w:r>
          </w:p>
        </w:tc>
        <w:tc>
          <w:tcPr>
            <w:tcW w:w="468" w:type="pct"/>
            <w:vMerge w:val="restart"/>
            <w:tcBorders>
              <w:tl2br w:val="nil"/>
              <w:tr2bl w:val="nil"/>
            </w:tcBorders>
            <w:noWrap w:val="0"/>
            <w:vAlign w:val="center"/>
          </w:tcPr>
          <w:p w14:paraId="0096885E">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r>
              <w:rPr>
                <w:rFonts w:ascii="Times New Roman" w:hAnsi="Times New Roman" w:eastAsia="宋体"/>
                <w:b/>
                <w:color w:val="auto"/>
                <w:kern w:val="2"/>
                <w:sz w:val="21"/>
                <w:szCs w:val="21"/>
                <w:highlight w:val="none"/>
              </w:rPr>
              <w:t>污染物种类</w:t>
            </w:r>
          </w:p>
        </w:tc>
        <w:tc>
          <w:tcPr>
            <w:tcW w:w="451" w:type="pct"/>
            <w:vMerge w:val="restart"/>
            <w:tcBorders>
              <w:tl2br w:val="nil"/>
              <w:tr2bl w:val="nil"/>
            </w:tcBorders>
            <w:noWrap w:val="0"/>
            <w:vAlign w:val="center"/>
          </w:tcPr>
          <w:p w14:paraId="52EEF70A">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r>
              <w:rPr>
                <w:rFonts w:ascii="Times New Roman" w:hAnsi="Times New Roman" w:eastAsia="宋体"/>
                <w:b/>
                <w:color w:val="auto"/>
                <w:kern w:val="2"/>
                <w:sz w:val="21"/>
                <w:szCs w:val="21"/>
                <w:highlight w:val="none"/>
              </w:rPr>
              <w:t>排放方式</w:t>
            </w:r>
          </w:p>
        </w:tc>
        <w:tc>
          <w:tcPr>
            <w:tcW w:w="738" w:type="pct"/>
            <w:vMerge w:val="restart"/>
            <w:tcBorders>
              <w:tl2br w:val="nil"/>
              <w:tr2bl w:val="nil"/>
            </w:tcBorders>
            <w:noWrap w:val="0"/>
            <w:vAlign w:val="center"/>
          </w:tcPr>
          <w:p w14:paraId="68A06474">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Times New Roman" w:hAnsi="Times New Roman" w:eastAsia="宋体"/>
                <w:b/>
                <w:color w:val="auto"/>
                <w:sz w:val="21"/>
                <w:szCs w:val="21"/>
                <w:highlight w:val="none"/>
              </w:rPr>
            </w:pPr>
            <w:r>
              <w:rPr>
                <w:rFonts w:ascii="Times New Roman" w:hAnsi="Times New Roman" w:eastAsia="宋体"/>
                <w:b/>
                <w:color w:val="auto"/>
                <w:sz w:val="21"/>
                <w:szCs w:val="21"/>
                <w:highlight w:val="none"/>
              </w:rPr>
              <w:t>治理设施</w:t>
            </w:r>
          </w:p>
        </w:tc>
        <w:tc>
          <w:tcPr>
            <w:tcW w:w="780" w:type="pct"/>
            <w:gridSpan w:val="2"/>
            <w:tcBorders>
              <w:tl2br w:val="nil"/>
              <w:tr2bl w:val="nil"/>
            </w:tcBorders>
            <w:noWrap w:val="0"/>
            <w:vAlign w:val="center"/>
          </w:tcPr>
          <w:p w14:paraId="1ADAAFC9">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r>
              <w:rPr>
                <w:rFonts w:ascii="Times New Roman" w:hAnsi="Times New Roman" w:eastAsia="宋体"/>
                <w:b/>
                <w:color w:val="auto"/>
                <w:kern w:val="2"/>
                <w:sz w:val="21"/>
                <w:szCs w:val="21"/>
                <w:highlight w:val="none"/>
              </w:rPr>
              <w:t>设计指标</w:t>
            </w:r>
          </w:p>
        </w:tc>
        <w:tc>
          <w:tcPr>
            <w:tcW w:w="671" w:type="pct"/>
            <w:gridSpan w:val="2"/>
            <w:tcBorders>
              <w:tl2br w:val="nil"/>
              <w:tr2bl w:val="nil"/>
            </w:tcBorders>
            <w:noWrap w:val="0"/>
            <w:vAlign w:val="center"/>
          </w:tcPr>
          <w:p w14:paraId="0DF5989E">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b/>
                <w:color w:val="auto"/>
                <w:kern w:val="2"/>
                <w:sz w:val="21"/>
                <w:szCs w:val="21"/>
                <w:highlight w:val="none"/>
                <w:lang w:val="en-US" w:eastAsia="zh-CN"/>
              </w:rPr>
            </w:pPr>
            <w:r>
              <w:rPr>
                <w:rFonts w:hint="eastAsia" w:ascii="Times New Roman" w:hAnsi="Times New Roman" w:eastAsia="宋体"/>
                <w:b/>
                <w:color w:val="auto"/>
                <w:kern w:val="2"/>
                <w:sz w:val="21"/>
                <w:szCs w:val="21"/>
                <w:highlight w:val="none"/>
                <w:lang w:val="en-US" w:eastAsia="zh-CN"/>
              </w:rPr>
              <w:t>排气筒</w:t>
            </w:r>
          </w:p>
        </w:tc>
        <w:tc>
          <w:tcPr>
            <w:tcW w:w="316" w:type="pct"/>
            <w:vMerge w:val="restart"/>
            <w:tcBorders>
              <w:tl2br w:val="nil"/>
              <w:tr2bl w:val="nil"/>
            </w:tcBorders>
            <w:noWrap w:val="0"/>
            <w:vAlign w:val="center"/>
          </w:tcPr>
          <w:p w14:paraId="104773DF">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lang w:val="en-US" w:eastAsia="zh-CN" w:bidi="ar-SA"/>
              </w:rPr>
            </w:pPr>
            <w:r>
              <w:rPr>
                <w:rFonts w:ascii="Times New Roman" w:hAnsi="Times New Roman" w:eastAsia="宋体"/>
                <w:b/>
                <w:color w:val="auto"/>
                <w:kern w:val="2"/>
                <w:sz w:val="21"/>
                <w:szCs w:val="21"/>
                <w:highlight w:val="none"/>
              </w:rPr>
              <w:t>排放去向</w:t>
            </w:r>
          </w:p>
        </w:tc>
        <w:tc>
          <w:tcPr>
            <w:tcW w:w="327" w:type="pct"/>
            <w:vMerge w:val="restart"/>
            <w:tcBorders>
              <w:tl2br w:val="nil"/>
              <w:tr2bl w:val="nil"/>
            </w:tcBorders>
            <w:noWrap w:val="0"/>
            <w:vAlign w:val="center"/>
          </w:tcPr>
          <w:p w14:paraId="0DC7BB46">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b/>
                <w:color w:val="auto"/>
                <w:kern w:val="2"/>
                <w:sz w:val="21"/>
                <w:szCs w:val="21"/>
                <w:highlight w:val="none"/>
                <w:lang w:val="en-US" w:eastAsia="zh-CN"/>
              </w:rPr>
            </w:pPr>
            <w:r>
              <w:rPr>
                <w:rFonts w:hint="eastAsia" w:ascii="Times New Roman" w:hAnsi="Times New Roman" w:eastAsia="宋体"/>
                <w:b/>
                <w:color w:val="auto"/>
                <w:kern w:val="2"/>
                <w:sz w:val="21"/>
                <w:szCs w:val="21"/>
                <w:highlight w:val="none"/>
                <w:lang w:val="en-US" w:eastAsia="zh-CN"/>
              </w:rPr>
              <w:t>开孔情况</w:t>
            </w:r>
          </w:p>
        </w:tc>
      </w:tr>
      <w:tr w14:paraId="6B6DFD7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00" w:type="pct"/>
            <w:vMerge w:val="continue"/>
            <w:tcBorders>
              <w:tl2br w:val="nil"/>
              <w:tr2bl w:val="nil"/>
            </w:tcBorders>
            <w:noWrap w:val="0"/>
            <w:vAlign w:val="center"/>
          </w:tcPr>
          <w:p w14:paraId="48A9C364">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p>
        </w:tc>
        <w:tc>
          <w:tcPr>
            <w:tcW w:w="545" w:type="pct"/>
            <w:vMerge w:val="continue"/>
            <w:tcBorders>
              <w:tl2br w:val="nil"/>
              <w:tr2bl w:val="nil"/>
            </w:tcBorders>
            <w:noWrap w:val="0"/>
            <w:vAlign w:val="center"/>
          </w:tcPr>
          <w:p w14:paraId="3DE4CA8C">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p>
        </w:tc>
        <w:tc>
          <w:tcPr>
            <w:tcW w:w="468" w:type="pct"/>
            <w:vMerge w:val="continue"/>
            <w:tcBorders>
              <w:tl2br w:val="nil"/>
              <w:tr2bl w:val="nil"/>
            </w:tcBorders>
            <w:noWrap w:val="0"/>
            <w:vAlign w:val="center"/>
          </w:tcPr>
          <w:p w14:paraId="4B5C45DD">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p>
        </w:tc>
        <w:tc>
          <w:tcPr>
            <w:tcW w:w="451" w:type="pct"/>
            <w:vMerge w:val="continue"/>
            <w:tcBorders>
              <w:tl2br w:val="nil"/>
              <w:tr2bl w:val="nil"/>
            </w:tcBorders>
            <w:noWrap w:val="0"/>
            <w:vAlign w:val="center"/>
          </w:tcPr>
          <w:p w14:paraId="21D05DA1">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p>
        </w:tc>
        <w:tc>
          <w:tcPr>
            <w:tcW w:w="738" w:type="pct"/>
            <w:vMerge w:val="continue"/>
            <w:tcBorders>
              <w:tl2br w:val="nil"/>
              <w:tr2bl w:val="nil"/>
            </w:tcBorders>
            <w:noWrap w:val="0"/>
            <w:vAlign w:val="center"/>
          </w:tcPr>
          <w:p w14:paraId="33DC7307">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ascii="Times New Roman" w:hAnsi="Times New Roman" w:eastAsia="宋体"/>
                <w:b/>
                <w:color w:val="auto"/>
                <w:sz w:val="21"/>
                <w:szCs w:val="21"/>
                <w:highlight w:val="none"/>
              </w:rPr>
            </w:pPr>
          </w:p>
        </w:tc>
        <w:tc>
          <w:tcPr>
            <w:tcW w:w="405" w:type="pct"/>
            <w:tcBorders>
              <w:tl2br w:val="nil"/>
              <w:tr2bl w:val="nil"/>
            </w:tcBorders>
            <w:noWrap w:val="0"/>
            <w:vAlign w:val="center"/>
          </w:tcPr>
          <w:p w14:paraId="3C9BB552">
            <w:pPr>
              <w:pStyle w:val="13"/>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jc w:val="center"/>
              <w:textAlignment w:val="auto"/>
              <w:rPr>
                <w:rFonts w:ascii="Times New Roman" w:hAnsi="Times New Roman" w:eastAsia="宋体"/>
                <w:b/>
                <w:color w:val="auto"/>
                <w:kern w:val="2"/>
                <w:sz w:val="21"/>
                <w:szCs w:val="21"/>
                <w:highlight w:val="none"/>
              </w:rPr>
            </w:pPr>
            <w:r>
              <w:rPr>
                <w:rFonts w:hint="default" w:ascii="Times New Roman" w:hAnsi="Times New Roman" w:eastAsia="宋体"/>
                <w:b/>
                <w:color w:val="auto"/>
                <w:kern w:val="2"/>
                <w:sz w:val="21"/>
                <w:szCs w:val="21"/>
                <w:highlight w:val="none"/>
                <w:lang w:bidi="ar"/>
              </w:rPr>
              <w:t>去除效率%</w:t>
            </w:r>
          </w:p>
        </w:tc>
        <w:tc>
          <w:tcPr>
            <w:tcW w:w="375" w:type="pct"/>
            <w:tcBorders>
              <w:tl2br w:val="nil"/>
              <w:tr2bl w:val="nil"/>
            </w:tcBorders>
            <w:noWrap w:val="0"/>
            <w:vAlign w:val="center"/>
          </w:tcPr>
          <w:p w14:paraId="3239C807">
            <w:pPr>
              <w:pStyle w:val="13"/>
              <w:keepNext w:val="0"/>
              <w:keepLines w:val="0"/>
              <w:pageBreakBefore w:val="0"/>
              <w:widowControl/>
              <w:kinsoku/>
              <w:wordWrap/>
              <w:overflowPunct/>
              <w:topLinePunct w:val="0"/>
              <w:autoSpaceDE/>
              <w:autoSpaceDN/>
              <w:bidi w:val="0"/>
              <w:adjustRightInd w:val="0"/>
              <w:snapToGrid w:val="0"/>
              <w:spacing w:beforeAutospacing="0" w:afterAutospacing="0" w:line="240" w:lineRule="auto"/>
              <w:jc w:val="center"/>
              <w:textAlignment w:val="auto"/>
              <w:rPr>
                <w:rFonts w:ascii="Times New Roman" w:hAnsi="Times New Roman" w:eastAsia="宋体"/>
                <w:b/>
                <w:color w:val="auto"/>
                <w:kern w:val="2"/>
                <w:sz w:val="21"/>
                <w:szCs w:val="21"/>
                <w:highlight w:val="none"/>
              </w:rPr>
            </w:pPr>
            <w:r>
              <w:rPr>
                <w:rFonts w:hint="default" w:ascii="Times New Roman" w:hAnsi="Times New Roman" w:eastAsia="宋体"/>
                <w:b/>
                <w:color w:val="auto"/>
                <w:kern w:val="2"/>
                <w:sz w:val="21"/>
                <w:szCs w:val="21"/>
                <w:highlight w:val="none"/>
                <w:lang w:bidi="ar"/>
              </w:rPr>
              <w:t>风量m</w:t>
            </w:r>
            <w:r>
              <w:rPr>
                <w:rFonts w:hint="default" w:ascii="Times New Roman" w:hAnsi="Times New Roman" w:eastAsia="宋体"/>
                <w:b/>
                <w:color w:val="auto"/>
                <w:kern w:val="2"/>
                <w:sz w:val="21"/>
                <w:szCs w:val="21"/>
                <w:highlight w:val="none"/>
                <w:vertAlign w:val="superscript"/>
                <w:lang w:bidi="ar"/>
              </w:rPr>
              <w:t>3</w:t>
            </w:r>
            <w:r>
              <w:rPr>
                <w:rFonts w:hint="default" w:ascii="Times New Roman" w:hAnsi="Times New Roman" w:eastAsia="宋体"/>
                <w:b/>
                <w:color w:val="auto"/>
                <w:kern w:val="2"/>
                <w:sz w:val="21"/>
                <w:szCs w:val="21"/>
                <w:highlight w:val="none"/>
                <w:lang w:bidi="ar"/>
              </w:rPr>
              <w:t>/h</w:t>
            </w:r>
          </w:p>
        </w:tc>
        <w:tc>
          <w:tcPr>
            <w:tcW w:w="351" w:type="pct"/>
            <w:tcBorders>
              <w:tl2br w:val="nil"/>
              <w:tr2bl w:val="nil"/>
            </w:tcBorders>
            <w:noWrap w:val="0"/>
            <w:vAlign w:val="center"/>
          </w:tcPr>
          <w:p w14:paraId="56E0D289">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b/>
                <w:color w:val="auto"/>
                <w:kern w:val="2"/>
                <w:sz w:val="21"/>
                <w:szCs w:val="21"/>
                <w:highlight w:val="none"/>
                <w:lang w:val="en-US" w:eastAsia="zh-CN"/>
              </w:rPr>
            </w:pPr>
            <w:r>
              <w:rPr>
                <w:rFonts w:hint="eastAsia" w:ascii="Times New Roman" w:hAnsi="Times New Roman" w:eastAsia="宋体"/>
                <w:b/>
                <w:color w:val="auto"/>
                <w:kern w:val="2"/>
                <w:sz w:val="21"/>
                <w:szCs w:val="21"/>
                <w:highlight w:val="none"/>
                <w:lang w:val="en-US" w:eastAsia="zh-CN"/>
              </w:rPr>
              <w:t>高度m</w:t>
            </w:r>
          </w:p>
        </w:tc>
        <w:tc>
          <w:tcPr>
            <w:tcW w:w="320" w:type="pct"/>
            <w:tcBorders>
              <w:tl2br w:val="nil"/>
              <w:tr2bl w:val="nil"/>
            </w:tcBorders>
            <w:noWrap w:val="0"/>
            <w:vAlign w:val="center"/>
          </w:tcPr>
          <w:p w14:paraId="04ABC1C8">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b/>
                <w:color w:val="auto"/>
                <w:kern w:val="2"/>
                <w:sz w:val="21"/>
                <w:szCs w:val="21"/>
                <w:highlight w:val="none"/>
                <w:lang w:val="en-US" w:eastAsia="zh-CN"/>
              </w:rPr>
            </w:pPr>
            <w:r>
              <w:rPr>
                <w:rFonts w:hint="eastAsia" w:ascii="Times New Roman" w:hAnsi="Times New Roman" w:eastAsia="宋体"/>
                <w:b/>
                <w:color w:val="auto"/>
                <w:kern w:val="2"/>
                <w:sz w:val="21"/>
                <w:szCs w:val="21"/>
                <w:highlight w:val="none"/>
                <w:lang w:val="en-US" w:eastAsia="zh-CN"/>
              </w:rPr>
              <w:t>内径m</w:t>
            </w:r>
          </w:p>
        </w:tc>
        <w:tc>
          <w:tcPr>
            <w:tcW w:w="316" w:type="pct"/>
            <w:vMerge w:val="continue"/>
            <w:tcBorders>
              <w:tl2br w:val="nil"/>
              <w:tr2bl w:val="nil"/>
            </w:tcBorders>
            <w:noWrap w:val="0"/>
            <w:vAlign w:val="center"/>
          </w:tcPr>
          <w:p w14:paraId="45B551C9">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New Roman" w:hAnsi="Times New Roman" w:eastAsia="宋体"/>
                <w:b/>
                <w:color w:val="auto"/>
                <w:kern w:val="2"/>
                <w:sz w:val="21"/>
                <w:szCs w:val="21"/>
                <w:highlight w:val="none"/>
              </w:rPr>
            </w:pPr>
          </w:p>
        </w:tc>
        <w:tc>
          <w:tcPr>
            <w:tcW w:w="327" w:type="pct"/>
            <w:vMerge w:val="continue"/>
            <w:tcBorders>
              <w:tl2br w:val="nil"/>
              <w:tr2bl w:val="nil"/>
            </w:tcBorders>
            <w:noWrap w:val="0"/>
            <w:vAlign w:val="center"/>
          </w:tcPr>
          <w:p w14:paraId="5C1631F7">
            <w:pPr>
              <w:pStyle w:val="25"/>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宋体"/>
                <w:b/>
                <w:color w:val="auto"/>
                <w:kern w:val="2"/>
                <w:sz w:val="21"/>
                <w:szCs w:val="21"/>
                <w:highlight w:val="none"/>
                <w:lang w:val="en-US" w:eastAsia="zh-CN"/>
              </w:rPr>
            </w:pPr>
          </w:p>
        </w:tc>
      </w:tr>
      <w:tr w14:paraId="19A9083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00" w:type="pct"/>
            <w:tcBorders>
              <w:tl2br w:val="nil"/>
              <w:tr2bl w:val="nil"/>
            </w:tcBorders>
            <w:noWrap w:val="0"/>
            <w:vAlign w:val="center"/>
          </w:tcPr>
          <w:p w14:paraId="5C6E3E62">
            <w:pPr>
              <w:spacing w:after="0" w:line="240" w:lineRule="auto"/>
              <w:jc w:val="center"/>
              <w:rPr>
                <w:rFonts w:hint="default" w:ascii="Times New Roman" w:hAnsi="Times New Roman" w:eastAsia="宋体"/>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挤出</w:t>
            </w:r>
            <w:r>
              <w:rPr>
                <w:rFonts w:hint="default" w:ascii="Times New Roman" w:hAnsi="Times New Roman" w:eastAsia="宋体" w:cs="Times New Roman"/>
                <w:color w:val="auto"/>
                <w:sz w:val="21"/>
                <w:szCs w:val="21"/>
                <w:highlight w:val="none"/>
              </w:rPr>
              <w:t>成型</w:t>
            </w:r>
            <w:r>
              <w:rPr>
                <w:rFonts w:hint="default" w:ascii="Times New Roman" w:hAnsi="Times New Roman" w:eastAsia="宋体" w:cs="Times New Roman"/>
                <w:bCs/>
                <w:color w:val="auto"/>
                <w:sz w:val="21"/>
                <w:szCs w:val="21"/>
                <w:highlight w:val="none"/>
              </w:rPr>
              <w:t>工序产生的有机废气</w:t>
            </w:r>
          </w:p>
        </w:tc>
        <w:tc>
          <w:tcPr>
            <w:tcW w:w="545" w:type="pct"/>
            <w:tcBorders>
              <w:tl2br w:val="nil"/>
              <w:tr2bl w:val="nil"/>
            </w:tcBorders>
            <w:noWrap w:val="0"/>
            <w:vAlign w:val="center"/>
          </w:tcPr>
          <w:p w14:paraId="66625D65">
            <w:pPr>
              <w:spacing w:after="0" w:line="240" w:lineRule="auto"/>
              <w:jc w:val="center"/>
              <w:rPr>
                <w:rFonts w:hint="default" w:ascii="Times New Roman" w:hAnsi="Times New Roman" w:eastAsia="宋体"/>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挤出</w:t>
            </w:r>
            <w:r>
              <w:rPr>
                <w:rFonts w:hint="default" w:ascii="Times New Roman" w:hAnsi="Times New Roman" w:eastAsia="宋体" w:cs="Times New Roman"/>
                <w:color w:val="auto"/>
                <w:sz w:val="21"/>
                <w:szCs w:val="21"/>
                <w:highlight w:val="none"/>
              </w:rPr>
              <w:t>成型</w:t>
            </w:r>
          </w:p>
        </w:tc>
        <w:tc>
          <w:tcPr>
            <w:tcW w:w="468" w:type="pct"/>
            <w:tcBorders>
              <w:tl2br w:val="nil"/>
              <w:tr2bl w:val="nil"/>
            </w:tcBorders>
            <w:noWrap w:val="0"/>
            <w:vAlign w:val="center"/>
          </w:tcPr>
          <w:p w14:paraId="744D8A08">
            <w:pPr>
              <w:pStyle w:val="2"/>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lang w:val="en-US" w:eastAsia="zh-CN"/>
              </w:rPr>
              <w:t>非甲烷总烃</w:t>
            </w:r>
          </w:p>
        </w:tc>
        <w:tc>
          <w:tcPr>
            <w:tcW w:w="451" w:type="pct"/>
            <w:tcBorders>
              <w:tl2br w:val="nil"/>
              <w:tr2bl w:val="nil"/>
            </w:tcBorders>
            <w:noWrap w:val="0"/>
            <w:vAlign w:val="center"/>
          </w:tcPr>
          <w:p w14:paraId="6DCDC2E7">
            <w:pPr>
              <w:spacing w:after="0" w:line="240" w:lineRule="auto"/>
              <w:jc w:val="center"/>
              <w:rPr>
                <w:rFonts w:hint="eastAsia" w:ascii="Times New Roman" w:hAnsi="Times New Roman" w:eastAsia="宋体"/>
                <w:bCs/>
                <w:color w:val="auto"/>
                <w:kern w:val="0"/>
                <w:sz w:val="21"/>
                <w:szCs w:val="21"/>
                <w:highlight w:val="none"/>
                <w:lang w:val="en-US" w:eastAsia="zh-CN"/>
              </w:rPr>
            </w:pPr>
            <w:r>
              <w:rPr>
                <w:rFonts w:hint="eastAsia" w:ascii="Times New Roman" w:hAnsi="Times New Roman" w:eastAsia="宋体"/>
                <w:bCs/>
                <w:color w:val="auto"/>
                <w:kern w:val="0"/>
                <w:sz w:val="21"/>
                <w:szCs w:val="21"/>
                <w:highlight w:val="none"/>
                <w:lang w:val="en-US" w:eastAsia="zh-CN"/>
              </w:rPr>
              <w:t>DA001</w:t>
            </w:r>
            <w:r>
              <w:rPr>
                <w:rFonts w:ascii="Times New Roman" w:hAnsi="Times New Roman" w:eastAsia="宋体"/>
                <w:bCs/>
                <w:color w:val="auto"/>
                <w:kern w:val="0"/>
                <w:sz w:val="21"/>
                <w:szCs w:val="21"/>
                <w:highlight w:val="none"/>
              </w:rPr>
              <w:t>排气筒</w:t>
            </w:r>
          </w:p>
        </w:tc>
        <w:tc>
          <w:tcPr>
            <w:tcW w:w="738" w:type="pct"/>
            <w:tcBorders>
              <w:tl2br w:val="nil"/>
              <w:tr2bl w:val="nil"/>
            </w:tcBorders>
            <w:noWrap w:val="0"/>
            <w:vAlign w:val="center"/>
          </w:tcPr>
          <w:p w14:paraId="11319459">
            <w:pPr>
              <w:spacing w:after="0" w:line="240" w:lineRule="auto"/>
              <w:jc w:val="center"/>
              <w:rPr>
                <w:rFonts w:hint="eastAsia"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lang w:val="en-US" w:eastAsia="zh-CN"/>
              </w:rPr>
              <w:t>二级活性炭吸附装置</w:t>
            </w:r>
          </w:p>
        </w:tc>
        <w:tc>
          <w:tcPr>
            <w:tcW w:w="405" w:type="pct"/>
            <w:tcBorders>
              <w:tl2br w:val="nil"/>
              <w:tr2bl w:val="nil"/>
            </w:tcBorders>
            <w:noWrap w:val="0"/>
            <w:vAlign w:val="center"/>
          </w:tcPr>
          <w:p w14:paraId="54C8F2D7">
            <w:pPr>
              <w:pStyle w:val="13"/>
              <w:spacing w:beforeAutospacing="0" w:afterAutospacing="0" w:line="240" w:lineRule="auto"/>
              <w:jc w:val="center"/>
              <w:rPr>
                <w:rFonts w:hint="default" w:ascii="Times New Roman" w:hAnsi="Times New Roman" w:eastAsia="宋体"/>
                <w:bCs/>
                <w:color w:val="auto"/>
                <w:kern w:val="2"/>
                <w:sz w:val="21"/>
                <w:szCs w:val="21"/>
                <w:highlight w:val="none"/>
                <w:lang w:val="en-US" w:eastAsia="zh-CN" w:bidi="ar"/>
              </w:rPr>
            </w:pPr>
            <w:r>
              <w:rPr>
                <w:rFonts w:hint="eastAsia" w:ascii="Times New Roman" w:hAnsi="Times New Roman" w:eastAsia="宋体"/>
                <w:bCs/>
                <w:color w:val="auto"/>
                <w:kern w:val="2"/>
                <w:sz w:val="21"/>
                <w:szCs w:val="21"/>
                <w:highlight w:val="none"/>
                <w:lang w:val="en-US" w:eastAsia="zh-CN" w:bidi="ar"/>
              </w:rPr>
              <w:t>90</w:t>
            </w:r>
          </w:p>
        </w:tc>
        <w:tc>
          <w:tcPr>
            <w:tcW w:w="375" w:type="pct"/>
            <w:tcBorders>
              <w:tl2br w:val="nil"/>
              <w:tr2bl w:val="nil"/>
            </w:tcBorders>
            <w:noWrap w:val="0"/>
            <w:vAlign w:val="center"/>
          </w:tcPr>
          <w:p w14:paraId="2504BAC7">
            <w:pPr>
              <w:pStyle w:val="13"/>
              <w:spacing w:beforeAutospacing="0" w:afterAutospacing="0" w:line="240" w:lineRule="auto"/>
              <w:jc w:val="center"/>
              <w:rPr>
                <w:rFonts w:hint="default" w:ascii="Times New Roman" w:hAnsi="Times New Roman" w:eastAsia="宋体"/>
                <w:bCs/>
                <w:color w:val="auto"/>
                <w:kern w:val="2"/>
                <w:sz w:val="21"/>
                <w:szCs w:val="21"/>
                <w:highlight w:val="none"/>
                <w:lang w:val="en-US" w:eastAsia="zh-CN" w:bidi="ar"/>
              </w:rPr>
            </w:pPr>
            <w:r>
              <w:rPr>
                <w:rFonts w:hint="eastAsia" w:ascii="Times New Roman" w:hAnsi="Times New Roman" w:eastAsia="宋体"/>
                <w:bCs/>
                <w:color w:val="auto"/>
                <w:kern w:val="2"/>
                <w:sz w:val="21"/>
                <w:szCs w:val="21"/>
                <w:highlight w:val="none"/>
                <w:lang w:val="en-US" w:eastAsia="zh-CN" w:bidi="ar"/>
              </w:rPr>
              <w:t>8000</w:t>
            </w:r>
          </w:p>
        </w:tc>
        <w:tc>
          <w:tcPr>
            <w:tcW w:w="351" w:type="pct"/>
            <w:tcBorders>
              <w:tl2br w:val="nil"/>
              <w:tr2bl w:val="nil"/>
            </w:tcBorders>
            <w:noWrap w:val="0"/>
            <w:vAlign w:val="center"/>
          </w:tcPr>
          <w:p w14:paraId="5CAC33B6">
            <w:pPr>
              <w:spacing w:after="0" w:line="240" w:lineRule="auto"/>
              <w:jc w:val="center"/>
              <w:rPr>
                <w:rFonts w:hint="default" w:ascii="Times New Roman" w:hAnsi="Times New Roman" w:eastAsia="宋体"/>
                <w:color w:val="auto"/>
                <w:sz w:val="21"/>
                <w:szCs w:val="21"/>
                <w:highlight w:val="none"/>
                <w:lang w:val="en-US" w:eastAsia="zh-CN" w:bidi="ar-SA"/>
              </w:rPr>
            </w:pPr>
            <w:r>
              <w:rPr>
                <w:rFonts w:hint="eastAsia" w:ascii="Times New Roman" w:hAnsi="Times New Roman" w:eastAsia="宋体"/>
                <w:color w:val="auto"/>
                <w:sz w:val="21"/>
                <w:szCs w:val="21"/>
                <w:highlight w:val="none"/>
                <w:lang w:val="en-US" w:eastAsia="zh-CN"/>
              </w:rPr>
              <w:t>18</w:t>
            </w:r>
          </w:p>
        </w:tc>
        <w:tc>
          <w:tcPr>
            <w:tcW w:w="320" w:type="pct"/>
            <w:tcBorders>
              <w:tl2br w:val="nil"/>
              <w:tr2bl w:val="nil"/>
            </w:tcBorders>
            <w:noWrap w:val="0"/>
            <w:vAlign w:val="center"/>
          </w:tcPr>
          <w:p w14:paraId="1329E339">
            <w:pPr>
              <w:spacing w:after="0" w:line="240" w:lineRule="auto"/>
              <w:jc w:val="center"/>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lang w:val="en-US" w:eastAsia="zh-CN"/>
              </w:rPr>
              <w:t>0.45</w:t>
            </w:r>
          </w:p>
        </w:tc>
        <w:tc>
          <w:tcPr>
            <w:tcW w:w="316" w:type="pct"/>
            <w:tcBorders>
              <w:tl2br w:val="nil"/>
              <w:tr2bl w:val="nil"/>
            </w:tcBorders>
            <w:noWrap w:val="0"/>
            <w:vAlign w:val="center"/>
          </w:tcPr>
          <w:p w14:paraId="39AFE9EF">
            <w:pPr>
              <w:spacing w:after="0" w:line="240" w:lineRule="auto"/>
              <w:jc w:val="center"/>
              <w:rPr>
                <w:rFonts w:hint="default" w:ascii="Times New Roman" w:hAnsi="Times New Roman" w:eastAsia="宋体"/>
                <w:color w:val="auto"/>
                <w:sz w:val="21"/>
                <w:szCs w:val="21"/>
                <w:highlight w:val="none"/>
                <w:lang w:val="en-US" w:eastAsia="zh-CN" w:bidi="ar-SA"/>
              </w:rPr>
            </w:pPr>
            <w:r>
              <w:rPr>
                <w:rFonts w:hint="eastAsia" w:ascii="Times New Roman" w:hAnsi="Times New Roman" w:eastAsia="宋体"/>
                <w:color w:val="auto"/>
                <w:sz w:val="21"/>
                <w:szCs w:val="21"/>
                <w:highlight w:val="none"/>
                <w:lang w:val="en-US" w:eastAsia="zh-CN" w:bidi="ar-SA"/>
              </w:rPr>
              <w:t>大气环境</w:t>
            </w:r>
          </w:p>
        </w:tc>
        <w:tc>
          <w:tcPr>
            <w:tcW w:w="327" w:type="pct"/>
            <w:tcBorders>
              <w:tl2br w:val="nil"/>
              <w:tr2bl w:val="nil"/>
            </w:tcBorders>
            <w:noWrap w:val="0"/>
            <w:vAlign w:val="center"/>
          </w:tcPr>
          <w:p w14:paraId="48DC71B6">
            <w:pPr>
              <w:spacing w:after="0" w:line="240" w:lineRule="auto"/>
              <w:jc w:val="center"/>
              <w:rPr>
                <w:rFonts w:hint="eastAsia" w:ascii="Times New Roman" w:hAnsi="Times New Roman" w:eastAsia="宋体"/>
                <w:color w:val="auto"/>
                <w:sz w:val="21"/>
                <w:szCs w:val="21"/>
                <w:highlight w:val="none"/>
                <w:lang w:val="en-US" w:eastAsia="zh-CN" w:bidi="ar-SA"/>
              </w:rPr>
            </w:pPr>
            <w:r>
              <w:rPr>
                <w:rFonts w:hint="eastAsia" w:ascii="Times New Roman" w:hAnsi="Times New Roman" w:eastAsia="宋体"/>
                <w:color w:val="auto"/>
                <w:sz w:val="21"/>
                <w:szCs w:val="21"/>
                <w:highlight w:val="none"/>
                <w:lang w:val="en-US" w:eastAsia="zh-CN"/>
              </w:rPr>
              <w:t>已开孔</w:t>
            </w:r>
          </w:p>
        </w:tc>
      </w:tr>
      <w:tr w14:paraId="172F475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700" w:type="pct"/>
            <w:tcBorders>
              <w:tl2br w:val="nil"/>
              <w:tr2bl w:val="nil"/>
            </w:tcBorders>
            <w:noWrap w:val="0"/>
            <w:vAlign w:val="center"/>
          </w:tcPr>
          <w:p w14:paraId="27855BB6">
            <w:pPr>
              <w:spacing w:after="0"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投料及破碎粉尘</w:t>
            </w:r>
          </w:p>
        </w:tc>
        <w:tc>
          <w:tcPr>
            <w:tcW w:w="545" w:type="pct"/>
            <w:tcBorders>
              <w:tl2br w:val="nil"/>
              <w:tr2bl w:val="nil"/>
            </w:tcBorders>
            <w:noWrap w:val="0"/>
            <w:vAlign w:val="center"/>
          </w:tcPr>
          <w:p w14:paraId="42765D0D">
            <w:pPr>
              <w:spacing w:after="0" w:line="240" w:lineRule="auto"/>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投料、破碎</w:t>
            </w:r>
          </w:p>
        </w:tc>
        <w:tc>
          <w:tcPr>
            <w:tcW w:w="468" w:type="pct"/>
            <w:tcBorders>
              <w:tl2br w:val="nil"/>
              <w:tr2bl w:val="nil"/>
            </w:tcBorders>
            <w:noWrap w:val="0"/>
            <w:vAlign w:val="center"/>
          </w:tcPr>
          <w:p w14:paraId="01205776">
            <w:pPr>
              <w:pStyle w:val="2"/>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lang w:val="en-US" w:eastAsia="zh-CN"/>
              </w:rPr>
              <w:t>颗粒物</w:t>
            </w:r>
          </w:p>
        </w:tc>
        <w:tc>
          <w:tcPr>
            <w:tcW w:w="451" w:type="pct"/>
            <w:tcBorders>
              <w:tl2br w:val="nil"/>
              <w:tr2bl w:val="nil"/>
            </w:tcBorders>
            <w:noWrap w:val="0"/>
            <w:vAlign w:val="center"/>
          </w:tcPr>
          <w:p w14:paraId="38C1F801">
            <w:pPr>
              <w:spacing w:after="0" w:line="240" w:lineRule="auto"/>
              <w:jc w:val="center"/>
              <w:rPr>
                <w:rFonts w:hint="default" w:ascii="Times New Roman" w:hAnsi="Times New Roman" w:eastAsia="宋体"/>
                <w:bCs/>
                <w:color w:val="auto"/>
                <w:kern w:val="0"/>
                <w:sz w:val="21"/>
                <w:szCs w:val="21"/>
                <w:highlight w:val="none"/>
                <w:lang w:val="en-US" w:eastAsia="zh-CN"/>
              </w:rPr>
            </w:pPr>
            <w:r>
              <w:rPr>
                <w:rFonts w:hint="eastAsia" w:ascii="Times New Roman" w:hAnsi="Times New Roman" w:eastAsia="宋体"/>
                <w:bCs/>
                <w:color w:val="auto"/>
                <w:kern w:val="0"/>
                <w:sz w:val="21"/>
                <w:szCs w:val="21"/>
                <w:highlight w:val="none"/>
                <w:lang w:val="en-US" w:eastAsia="zh-CN"/>
              </w:rPr>
              <w:t>无组织</w:t>
            </w:r>
          </w:p>
        </w:tc>
        <w:tc>
          <w:tcPr>
            <w:tcW w:w="738" w:type="pct"/>
            <w:tcBorders>
              <w:tl2br w:val="nil"/>
              <w:tr2bl w:val="nil"/>
            </w:tcBorders>
            <w:noWrap w:val="0"/>
            <w:vAlign w:val="center"/>
          </w:tcPr>
          <w:p w14:paraId="3AE97EFE">
            <w:pPr>
              <w:spacing w:after="0" w:line="240" w:lineRule="auto"/>
              <w:jc w:val="center"/>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lang w:val="en-US" w:eastAsia="zh-CN"/>
              </w:rPr>
              <w:t>移动式袋式除尘器</w:t>
            </w:r>
          </w:p>
        </w:tc>
        <w:tc>
          <w:tcPr>
            <w:tcW w:w="405" w:type="pct"/>
            <w:tcBorders>
              <w:tl2br w:val="nil"/>
              <w:tr2bl w:val="nil"/>
            </w:tcBorders>
            <w:noWrap w:val="0"/>
            <w:vAlign w:val="center"/>
          </w:tcPr>
          <w:p w14:paraId="2122F029">
            <w:pPr>
              <w:pStyle w:val="13"/>
              <w:spacing w:beforeAutospacing="0" w:afterAutospacing="0" w:line="240" w:lineRule="auto"/>
              <w:jc w:val="center"/>
              <w:rPr>
                <w:rFonts w:hint="default" w:ascii="Times New Roman" w:hAnsi="Times New Roman" w:eastAsia="宋体"/>
                <w:bCs/>
                <w:color w:val="auto"/>
                <w:kern w:val="2"/>
                <w:sz w:val="21"/>
                <w:szCs w:val="21"/>
                <w:highlight w:val="none"/>
                <w:lang w:val="en-US" w:eastAsia="zh-CN" w:bidi="ar"/>
              </w:rPr>
            </w:pPr>
            <w:r>
              <w:rPr>
                <w:rFonts w:hint="eastAsia" w:ascii="Times New Roman" w:hAnsi="Times New Roman" w:eastAsia="宋体"/>
                <w:bCs/>
                <w:color w:val="auto"/>
                <w:kern w:val="2"/>
                <w:sz w:val="21"/>
                <w:szCs w:val="21"/>
                <w:highlight w:val="none"/>
                <w:lang w:val="en-US" w:eastAsia="zh-CN" w:bidi="ar"/>
              </w:rPr>
              <w:t>80</w:t>
            </w:r>
          </w:p>
        </w:tc>
        <w:tc>
          <w:tcPr>
            <w:tcW w:w="375" w:type="pct"/>
            <w:tcBorders>
              <w:tl2br w:val="nil"/>
              <w:tr2bl w:val="nil"/>
            </w:tcBorders>
            <w:noWrap w:val="0"/>
            <w:vAlign w:val="center"/>
          </w:tcPr>
          <w:p w14:paraId="724BEA54">
            <w:pPr>
              <w:pStyle w:val="13"/>
              <w:spacing w:beforeAutospacing="0" w:afterAutospacing="0" w:line="240" w:lineRule="auto"/>
              <w:jc w:val="center"/>
              <w:rPr>
                <w:rFonts w:hint="default" w:ascii="Times New Roman" w:hAnsi="Times New Roman" w:eastAsia="宋体"/>
                <w:bCs/>
                <w:color w:val="auto"/>
                <w:kern w:val="2"/>
                <w:sz w:val="21"/>
                <w:szCs w:val="21"/>
                <w:highlight w:val="none"/>
                <w:lang w:val="en-US" w:eastAsia="zh-CN" w:bidi="ar"/>
              </w:rPr>
            </w:pPr>
            <w:r>
              <w:rPr>
                <w:rFonts w:hint="eastAsia" w:ascii="Times New Roman" w:hAnsi="Times New Roman" w:eastAsia="宋体"/>
                <w:bCs/>
                <w:color w:val="auto"/>
                <w:kern w:val="2"/>
                <w:sz w:val="21"/>
                <w:szCs w:val="21"/>
                <w:highlight w:val="none"/>
                <w:lang w:val="en-US" w:eastAsia="zh-CN" w:bidi="ar"/>
              </w:rPr>
              <w:t>/</w:t>
            </w:r>
          </w:p>
        </w:tc>
        <w:tc>
          <w:tcPr>
            <w:tcW w:w="351" w:type="pct"/>
            <w:tcBorders>
              <w:tl2br w:val="nil"/>
              <w:tr2bl w:val="nil"/>
            </w:tcBorders>
            <w:noWrap w:val="0"/>
            <w:vAlign w:val="center"/>
          </w:tcPr>
          <w:p w14:paraId="3D2BF01D">
            <w:pPr>
              <w:spacing w:after="0" w:line="240" w:lineRule="auto"/>
              <w:jc w:val="center"/>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lang w:val="en-US" w:eastAsia="zh-CN"/>
              </w:rPr>
              <w:t>/</w:t>
            </w:r>
          </w:p>
        </w:tc>
        <w:tc>
          <w:tcPr>
            <w:tcW w:w="320" w:type="pct"/>
            <w:tcBorders>
              <w:tl2br w:val="nil"/>
              <w:tr2bl w:val="nil"/>
            </w:tcBorders>
            <w:noWrap w:val="0"/>
            <w:vAlign w:val="center"/>
          </w:tcPr>
          <w:p w14:paraId="0612DCF8">
            <w:pPr>
              <w:spacing w:after="0" w:line="240" w:lineRule="auto"/>
              <w:jc w:val="center"/>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lang w:val="en-US" w:eastAsia="zh-CN"/>
              </w:rPr>
              <w:t>/</w:t>
            </w:r>
          </w:p>
        </w:tc>
        <w:tc>
          <w:tcPr>
            <w:tcW w:w="316" w:type="pct"/>
            <w:tcBorders>
              <w:tl2br w:val="nil"/>
              <w:tr2bl w:val="nil"/>
            </w:tcBorders>
            <w:noWrap w:val="0"/>
            <w:vAlign w:val="center"/>
          </w:tcPr>
          <w:p w14:paraId="038AB27A">
            <w:pPr>
              <w:spacing w:after="0" w:line="240" w:lineRule="auto"/>
              <w:jc w:val="center"/>
              <w:rPr>
                <w:rFonts w:hint="default" w:ascii="Times New Roman" w:hAnsi="Times New Roman" w:eastAsia="宋体"/>
                <w:color w:val="auto"/>
                <w:sz w:val="21"/>
                <w:szCs w:val="21"/>
                <w:highlight w:val="none"/>
                <w:lang w:val="en-US" w:eastAsia="zh-CN" w:bidi="ar-SA"/>
              </w:rPr>
            </w:pPr>
            <w:r>
              <w:rPr>
                <w:rFonts w:hint="eastAsia" w:ascii="Times New Roman" w:hAnsi="Times New Roman" w:eastAsia="宋体"/>
                <w:color w:val="auto"/>
                <w:sz w:val="21"/>
                <w:szCs w:val="21"/>
                <w:highlight w:val="none"/>
                <w:lang w:val="en-US" w:eastAsia="zh-CN" w:bidi="ar-SA"/>
              </w:rPr>
              <w:t>大气环境</w:t>
            </w:r>
          </w:p>
        </w:tc>
        <w:tc>
          <w:tcPr>
            <w:tcW w:w="327" w:type="pct"/>
            <w:tcBorders>
              <w:tl2br w:val="nil"/>
              <w:tr2bl w:val="nil"/>
            </w:tcBorders>
            <w:noWrap w:val="0"/>
            <w:vAlign w:val="center"/>
          </w:tcPr>
          <w:p w14:paraId="5CCD4BEC">
            <w:pPr>
              <w:spacing w:after="0" w:line="240" w:lineRule="auto"/>
              <w:jc w:val="center"/>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lang w:val="en-US" w:eastAsia="zh-CN"/>
              </w:rPr>
              <w:t>/</w:t>
            </w:r>
          </w:p>
        </w:tc>
      </w:tr>
    </w:tbl>
    <w:p w14:paraId="409042FE">
      <w:pPr>
        <w:keepNext w:val="0"/>
        <w:keepLines w:val="0"/>
        <w:pageBreakBefore w:val="0"/>
        <w:widowControl/>
        <w:numPr>
          <w:ilvl w:val="0"/>
          <w:numId w:val="2"/>
        </w:numPr>
        <w:kinsoku/>
        <w:wordWrap/>
        <w:overflowPunct/>
        <w:topLinePunct w:val="0"/>
        <w:autoSpaceDE/>
        <w:autoSpaceDN/>
        <w:bidi w:val="0"/>
        <w:adjustRightInd w:val="0"/>
        <w:snapToGrid w:val="0"/>
        <w:spacing w:before="157" w:beforeLines="50" w:after="0" w:line="360" w:lineRule="auto"/>
        <w:ind w:left="0" w:leftChars="0"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噪声</w:t>
      </w:r>
    </w:p>
    <w:p w14:paraId="306A6290">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根据现场勘察，项目在</w:t>
      </w:r>
      <w:r>
        <w:rPr>
          <w:rFonts w:hint="default" w:ascii="Times New Roman" w:hAnsi="Times New Roman" w:eastAsia="宋体" w:cs="Times New Roman"/>
          <w:color w:val="auto"/>
          <w:sz w:val="21"/>
          <w:szCs w:val="21"/>
          <w:highlight w:val="none"/>
          <w:lang w:val="en-US" w:eastAsia="zh-CN"/>
        </w:rPr>
        <w:t>试生产</w:t>
      </w:r>
      <w:r>
        <w:rPr>
          <w:rFonts w:hint="default" w:ascii="Times New Roman" w:hAnsi="Times New Roman" w:eastAsia="宋体" w:cs="Times New Roman"/>
          <w:color w:val="auto"/>
          <w:sz w:val="21"/>
          <w:szCs w:val="21"/>
          <w:highlight w:val="none"/>
        </w:rPr>
        <w:t>期间，本次验收主要噪声源</w:t>
      </w:r>
      <w:r>
        <w:rPr>
          <w:rFonts w:hint="eastAsia" w:ascii="Times New Roman" w:hAnsi="Times New Roman" w:eastAsia="宋体" w:cs="Times New Roman"/>
          <w:color w:val="auto"/>
          <w:sz w:val="21"/>
          <w:szCs w:val="21"/>
          <w:highlight w:val="none"/>
          <w:lang w:val="en-US" w:eastAsia="zh-CN"/>
        </w:rPr>
        <w:t>为挤出成型机、修边机、压花机、分切机等设备产生的噪声，经</w:t>
      </w:r>
      <w:r>
        <w:rPr>
          <w:rFonts w:hint="eastAsia" w:ascii="Times New Roman" w:hAnsi="宋体" w:eastAsia="宋体"/>
          <w:color w:val="auto"/>
          <w:sz w:val="21"/>
          <w:szCs w:val="21"/>
          <w:highlight w:val="none"/>
        </w:rPr>
        <w:t>合</w:t>
      </w:r>
      <w:r>
        <w:rPr>
          <w:rFonts w:hint="eastAsia" w:ascii="宋体" w:hAnsi="宋体" w:eastAsia="宋体" w:cs="宋体"/>
          <w:color w:val="auto"/>
          <w:sz w:val="21"/>
          <w:szCs w:val="21"/>
          <w:highlight w:val="none"/>
        </w:rPr>
        <w:t>理布局，采取厂房隔声、衰减等措施</w:t>
      </w:r>
      <w:r>
        <w:rPr>
          <w:rFonts w:hint="eastAsia" w:ascii="Times New Roman" w:hAnsi="Times New Roman" w:eastAsia="宋体"/>
          <w:color w:val="auto"/>
          <w:sz w:val="21"/>
          <w:szCs w:val="21"/>
          <w:highlight w:val="none"/>
          <w:lang w:bidi="ar"/>
        </w:rPr>
        <w:t>来降低噪声</w:t>
      </w:r>
      <w:r>
        <w:rPr>
          <w:rFonts w:ascii="Times New Roman" w:hAnsi="Times New Roman" w:eastAsia="宋体" w:cs="Times New Roman"/>
          <w:color w:val="auto"/>
          <w:sz w:val="21"/>
          <w:szCs w:val="21"/>
          <w:highlight w:val="none"/>
        </w:rPr>
        <w:t>，减少对周围环境的影响。</w:t>
      </w:r>
      <w:r>
        <w:rPr>
          <w:rFonts w:hint="eastAsia" w:ascii="Times New Roman" w:hAnsi="Times New Roman" w:eastAsia="宋体" w:cs="Times New Roman"/>
          <w:color w:val="auto"/>
          <w:sz w:val="21"/>
          <w:szCs w:val="21"/>
          <w:highlight w:val="none"/>
          <w:lang w:val="en-US" w:eastAsia="zh-CN"/>
        </w:rPr>
        <w:t>项目周边50范围内无噪声敏感点。</w:t>
      </w:r>
    </w:p>
    <w:p w14:paraId="3527C551">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kern w:val="2"/>
          <w:sz w:val="21"/>
          <w:szCs w:val="21"/>
          <w:highlight w:val="none"/>
          <w:lang w:val="en-US" w:eastAsia="zh-CN"/>
        </w:rPr>
      </w:pPr>
      <w:r>
        <w:rPr>
          <w:rFonts w:hint="eastAsia" w:ascii="Times New Roman" w:hAnsi="Times New Roman" w:eastAsia="宋体" w:cs="Times New Roman"/>
          <w:color w:val="auto"/>
          <w:kern w:val="2"/>
          <w:sz w:val="21"/>
          <w:szCs w:val="21"/>
          <w:highlight w:val="none"/>
          <w:lang w:val="en-US" w:eastAsia="zh-CN"/>
        </w:rPr>
        <w:t>4、</w:t>
      </w:r>
      <w:r>
        <w:rPr>
          <w:rFonts w:hint="default" w:ascii="Times New Roman" w:hAnsi="Times New Roman" w:eastAsia="宋体" w:cs="Times New Roman"/>
          <w:color w:val="auto"/>
          <w:kern w:val="2"/>
          <w:sz w:val="21"/>
          <w:szCs w:val="21"/>
          <w:highlight w:val="none"/>
          <w:lang w:val="en-US" w:eastAsia="zh-CN"/>
        </w:rPr>
        <w:t>固体废物（废物种类和处理方式）</w:t>
      </w:r>
    </w:p>
    <w:p w14:paraId="02B3E585">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eastAsia" w:ascii="Times New Roman" w:hAnsi="Times New Roman" w:eastAsia="宋体"/>
          <w:color w:val="auto"/>
          <w:kern w:val="2"/>
          <w:sz w:val="21"/>
          <w:szCs w:val="21"/>
          <w:highlight w:val="none"/>
          <w:lang w:val="en-US" w:eastAsia="zh-CN"/>
        </w:rPr>
        <w:t>本次验收</w:t>
      </w:r>
      <w:r>
        <w:rPr>
          <w:rFonts w:hint="default" w:ascii="Times New Roman" w:hAnsi="Times New Roman" w:eastAsia="宋体" w:cs="Times New Roman"/>
          <w:b w:val="0"/>
          <w:bCs w:val="0"/>
          <w:color w:val="auto"/>
          <w:kern w:val="0"/>
          <w:sz w:val="21"/>
          <w:szCs w:val="21"/>
          <w:highlight w:val="none"/>
          <w:lang w:val="en-US" w:eastAsia="zh-CN" w:bidi="ar-SA"/>
        </w:rPr>
        <w:t>项目产生的</w:t>
      </w:r>
      <w:r>
        <w:rPr>
          <w:rFonts w:hint="default" w:ascii="Times New Roman" w:hAnsi="Times New Roman" w:eastAsia="宋体" w:cs="Times New Roman"/>
          <w:color w:val="auto"/>
          <w:kern w:val="2"/>
          <w:sz w:val="21"/>
          <w:szCs w:val="21"/>
          <w:highlight w:val="none"/>
          <w:lang w:val="en-US" w:eastAsia="zh-CN"/>
        </w:rPr>
        <w:t>一般固废包括</w:t>
      </w:r>
      <w:r>
        <w:rPr>
          <w:rFonts w:hint="eastAsia" w:ascii="Times New Roman" w:hAnsi="Times New Roman" w:eastAsia="宋体" w:cs="Times New Roman"/>
          <w:color w:val="auto"/>
          <w:kern w:val="2"/>
          <w:sz w:val="21"/>
          <w:szCs w:val="21"/>
          <w:highlight w:val="none"/>
          <w:lang w:val="en-US" w:eastAsia="zh-CN"/>
        </w:rPr>
        <w:t>废包装袋，</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委托</w:t>
      </w:r>
      <w:r>
        <w:rPr>
          <w:rFonts w:hint="eastAsia" w:ascii="Times New Roman" w:hAnsi="Times New Roman" w:eastAsia="宋体" w:cs="Times New Roman"/>
          <w:color w:val="000000" w:themeColor="text1"/>
          <w:kern w:val="2"/>
          <w:sz w:val="21"/>
          <w:szCs w:val="21"/>
          <w:highlight w:val="none"/>
          <w:lang w:val="en-US" w:eastAsia="zh-CN"/>
          <w14:textFill>
            <w14:solidFill>
              <w14:schemeClr w14:val="tx1"/>
            </w14:solidFill>
          </w14:textFill>
        </w:rPr>
        <w:t>物资公司</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回收</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利用；</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危险废物包括废活性炭</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委托</w:t>
      </w:r>
      <w:r>
        <w:rPr>
          <w:rFonts w:hint="default" w:ascii="Times New Roman" w:hAnsi="Times New Roman" w:eastAsia="宋体" w:cs="Times New Roman"/>
          <w:color w:val="000000" w:themeColor="text1"/>
          <w:kern w:val="2"/>
          <w:sz w:val="21"/>
          <w:szCs w:val="21"/>
          <w:highlight w:val="none"/>
          <w:lang w:val="en-US" w:eastAsia="zh-CN"/>
          <w14:textFill>
            <w14:solidFill>
              <w14:schemeClr w14:val="tx1"/>
            </w14:solidFill>
          </w14:textFill>
        </w:rPr>
        <w:t>镇江普境新能源科技有限公司</w:t>
      </w:r>
      <w:r>
        <w:rPr>
          <w:rFonts w:hint="eastAsia" w:ascii="Times New Roman" w:hAnsi="Times New Roman" w:eastAsia="宋体" w:cs="Times New Roman"/>
          <w:color w:val="000000" w:themeColor="text1"/>
          <w:kern w:val="2"/>
          <w:sz w:val="21"/>
          <w:szCs w:val="21"/>
          <w:highlight w:val="none"/>
          <w:lang w:val="en-US" w:eastAsia="zh-CN"/>
          <w14:textFill>
            <w14:solidFill>
              <w14:schemeClr w14:val="tx1"/>
            </w14:solidFill>
          </w14:textFill>
        </w:rPr>
        <w:t>处置</w:t>
      </w: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kern w:val="0"/>
          <w:sz w:val="21"/>
          <w:szCs w:val="21"/>
          <w:highlight w:val="none"/>
          <w:lang w:val="en-US" w:eastAsia="zh-CN" w:bidi="ar-SA"/>
          <w14:textFill>
            <w14:solidFill>
              <w14:schemeClr w14:val="tx1"/>
            </w14:solidFill>
          </w14:textFill>
        </w:rPr>
        <w:t>生活垃圾由环卫部门清运</w:t>
      </w:r>
      <w: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t>。</w:t>
      </w:r>
      <w:r>
        <w:rPr>
          <w:rFonts w:hint="eastAsia" w:ascii="Times New Roman" w:hAnsi="Times New Roman" w:eastAsia="宋体"/>
          <w:b w:val="0"/>
          <w:bCs w:val="0"/>
          <w:color w:val="000000" w:themeColor="text1"/>
          <w:sz w:val="21"/>
          <w:szCs w:val="21"/>
          <w:highlight w:val="none"/>
          <w:lang w:val="en-US" w:eastAsia="zh-CN"/>
          <w14:textFill>
            <w14:solidFill>
              <w14:schemeClr w14:val="tx1"/>
            </w14:solidFill>
          </w14:textFill>
        </w:rPr>
        <w:t>本项目</w:t>
      </w:r>
      <w:r>
        <w:rPr>
          <w:rFonts w:hint="eastAsia"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新建</w:t>
      </w:r>
      <w:r>
        <w:rPr>
          <w:rFonts w:hint="default"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一座</w:t>
      </w:r>
      <w:r>
        <w:rPr>
          <w:rFonts w:hint="eastAsia"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危废仓库</w:t>
      </w:r>
      <w:r>
        <w:rPr>
          <w:rFonts w:hint="default"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3</w:t>
      </w:r>
      <w:r>
        <w:rPr>
          <w:rFonts w:hint="default"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m</w:t>
      </w:r>
      <w:r>
        <w:rPr>
          <w:rFonts w:hint="default" w:ascii="Times New Roman" w:hAnsi="Times New Roman" w:eastAsia="宋体" w:cs="Times New Roman"/>
          <w:b w:val="0"/>
          <w:bCs w:val="0"/>
          <w:color w:val="000000" w:themeColor="text1"/>
          <w:kern w:val="18"/>
          <w:sz w:val="21"/>
          <w:szCs w:val="21"/>
          <w:highlight w:val="none"/>
          <w:vertAlign w:val="superscript"/>
          <w:lang w:val="en-US" w:eastAsia="zh-CN" w:bidi="ar-SA"/>
          <w14:textFill>
            <w14:solidFill>
              <w14:schemeClr w14:val="tx1"/>
            </w14:solidFill>
          </w14:textFill>
        </w:rPr>
        <w:t>2</w:t>
      </w:r>
      <w:r>
        <w:rPr>
          <w:rFonts w:hint="default"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和</w:t>
      </w:r>
      <w:r>
        <w:rPr>
          <w:rFonts w:hint="default"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一</w:t>
      </w:r>
      <w:r>
        <w:rPr>
          <w:rFonts w:hint="eastAsia"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处</w:t>
      </w:r>
      <w:r>
        <w:rPr>
          <w:rFonts w:hint="default"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一般固废</w:t>
      </w:r>
      <w:r>
        <w:rPr>
          <w:rFonts w:hint="eastAsia"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暂存区</w:t>
      </w:r>
      <w:r>
        <w:rPr>
          <w:rFonts w:hint="default"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30</w:t>
      </w:r>
      <w:r>
        <w:rPr>
          <w:rFonts w:hint="default"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m</w:t>
      </w:r>
      <w:r>
        <w:rPr>
          <w:rFonts w:hint="default" w:ascii="Times New Roman" w:hAnsi="Times New Roman" w:eastAsia="宋体" w:cs="Times New Roman"/>
          <w:b w:val="0"/>
          <w:bCs w:val="0"/>
          <w:color w:val="000000" w:themeColor="text1"/>
          <w:kern w:val="18"/>
          <w:sz w:val="21"/>
          <w:szCs w:val="21"/>
          <w:highlight w:val="none"/>
          <w:vertAlign w:val="superscript"/>
          <w:lang w:val="en-US" w:eastAsia="zh-CN" w:bidi="ar-SA"/>
          <w14:textFill>
            <w14:solidFill>
              <w14:schemeClr w14:val="tx1"/>
            </w14:solidFill>
          </w14:textFill>
        </w:rPr>
        <w:t>2</w:t>
      </w:r>
      <w:r>
        <w:rPr>
          <w:rFonts w:hint="default"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w:t>
      </w:r>
      <w:r>
        <w:rPr>
          <w:rFonts w:hint="eastAsia" w:ascii="Times New Roman" w:hAnsi="Times New Roman" w:eastAsia="宋体" w:cs="Times New Roman"/>
          <w:b w:val="0"/>
          <w:bCs w:val="0"/>
          <w:color w:val="000000" w:themeColor="text1"/>
          <w:kern w:val="18"/>
          <w:sz w:val="21"/>
          <w:szCs w:val="21"/>
          <w:highlight w:val="none"/>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满足实际暂存需求</w:t>
      </w:r>
      <w:r>
        <w:rPr>
          <w:rFonts w:hint="default" w:ascii="Times New Roman" w:hAnsi="Times New Roman" w:eastAsia="宋体" w:cs="Times New Roman"/>
          <w:color w:val="000000" w:themeColor="text1"/>
          <w:sz w:val="21"/>
          <w:szCs w:val="21"/>
          <w:highlight w:val="none"/>
          <w14:textFill>
            <w14:solidFill>
              <w14:schemeClr w14:val="tx1"/>
            </w14:solidFill>
          </w14:textFill>
        </w:rPr>
        <w:t>。</w:t>
      </w:r>
    </w:p>
    <w:p w14:paraId="20F9A5F4">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其他环境保护设施</w:t>
      </w:r>
    </w:p>
    <w:p w14:paraId="32F8BEF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1</w:t>
      </w:r>
      <w:r>
        <w:rPr>
          <w:rFonts w:hint="eastAsia"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排污口规范化过程</w:t>
      </w:r>
    </w:p>
    <w:p w14:paraId="567802A4">
      <w:pPr>
        <w:keepNext w:val="0"/>
        <w:keepLines w:val="0"/>
        <w:pageBreakBefore w:val="0"/>
        <w:widowControl/>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fldChar w:fldCharType="begin"/>
      </w:r>
      <w:r>
        <w:rPr>
          <w:rFonts w:hint="default" w:ascii="Times New Roman" w:hAnsi="Times New Roman" w:eastAsia="宋体" w:cs="Times New Roman"/>
          <w:color w:val="auto"/>
          <w:sz w:val="21"/>
          <w:szCs w:val="21"/>
          <w:highlight w:val="none"/>
          <w:lang w:val="en-US" w:eastAsia="zh-CN"/>
        </w:rPr>
        <w:instrText xml:space="preserve"> = 1 \* GB3 \* MERGEFORMAT </w:instrText>
      </w:r>
      <w:r>
        <w:rPr>
          <w:rFonts w:hint="default" w:ascii="Times New Roman" w:hAnsi="Times New Roman" w:eastAsia="宋体" w:cs="Times New Roman"/>
          <w:color w:val="auto"/>
          <w:sz w:val="21"/>
          <w:szCs w:val="21"/>
          <w:highlight w:val="none"/>
          <w:lang w:val="en-US" w:eastAsia="zh-CN"/>
        </w:rPr>
        <w:fldChar w:fldCharType="separate"/>
      </w:r>
      <w:r>
        <w:rPr>
          <w:rFonts w:hint="default" w:ascii="Times New Roman" w:hAnsi="Times New Roman" w:eastAsia="宋体" w:cs="Times New Roman"/>
          <w:color w:val="auto"/>
          <w:sz w:val="21"/>
          <w:szCs w:val="21"/>
          <w:highlight w:val="none"/>
        </w:rPr>
        <w:t>①</w:t>
      </w:r>
      <w:r>
        <w:rPr>
          <w:rFonts w:hint="default" w:ascii="Times New Roman" w:hAnsi="Times New Roman" w:eastAsia="宋体" w:cs="Times New Roman"/>
          <w:color w:val="auto"/>
          <w:sz w:val="21"/>
          <w:szCs w:val="21"/>
          <w:highlight w:val="none"/>
          <w:lang w:val="en-US" w:eastAsia="zh-CN"/>
        </w:rPr>
        <w:fldChar w:fldCharType="end"/>
      </w:r>
      <w:r>
        <w:rPr>
          <w:rFonts w:hint="default" w:ascii="Times New Roman" w:hAnsi="Times New Roman" w:eastAsia="宋体" w:cs="Times New Roman"/>
          <w:color w:val="auto"/>
          <w:sz w:val="21"/>
          <w:szCs w:val="21"/>
          <w:highlight w:val="none"/>
          <w:lang w:val="en-US" w:eastAsia="zh-CN"/>
        </w:rPr>
        <w:t>废气排放口</w:t>
      </w:r>
    </w:p>
    <w:p w14:paraId="54FE9EBA">
      <w:pPr>
        <w:keepNext w:val="0"/>
        <w:keepLines w:val="0"/>
        <w:pageBreakBefore w:val="0"/>
        <w:widowControl/>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本次验收项目</w:t>
      </w:r>
      <w:r>
        <w:rPr>
          <w:rFonts w:hint="default" w:ascii="Times New Roman" w:hAnsi="Times New Roman" w:eastAsia="宋体" w:cs="Times New Roman"/>
          <w:color w:val="auto"/>
          <w:sz w:val="21"/>
          <w:szCs w:val="21"/>
          <w:highlight w:val="none"/>
          <w:lang w:val="en-US" w:eastAsia="zh-CN"/>
        </w:rPr>
        <w:t>已设置</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lang w:val="en-US" w:eastAsia="zh-CN"/>
        </w:rPr>
        <w:t>根</w:t>
      </w:r>
      <w:r>
        <w:rPr>
          <w:rFonts w:hint="eastAsia" w:ascii="Times New Roman" w:hAnsi="Times New Roman" w:eastAsia="宋体" w:cs="Times New Roman"/>
          <w:color w:val="auto"/>
          <w:sz w:val="21"/>
          <w:szCs w:val="21"/>
          <w:highlight w:val="none"/>
          <w:lang w:val="en-US" w:eastAsia="zh-CN"/>
        </w:rPr>
        <w:t>18</w:t>
      </w:r>
      <w:r>
        <w:rPr>
          <w:rFonts w:hint="default" w:ascii="Times New Roman" w:hAnsi="Times New Roman" w:eastAsia="宋体" w:cs="Times New Roman"/>
          <w:color w:val="auto"/>
          <w:sz w:val="21"/>
          <w:szCs w:val="21"/>
          <w:highlight w:val="none"/>
          <w:lang w:val="en-US" w:eastAsia="zh-CN"/>
        </w:rPr>
        <w:t>米高排气筒，排气筒的高度满足环评报告（</w:t>
      </w:r>
      <w:r>
        <w:rPr>
          <w:rFonts w:hint="eastAsia" w:ascii="Times New Roman" w:hAnsi="Times New Roman" w:eastAsia="宋体" w:cs="Times New Roman"/>
          <w:color w:val="auto"/>
          <w:sz w:val="21"/>
          <w:szCs w:val="21"/>
          <w:highlight w:val="none"/>
          <w:lang w:val="en-US" w:eastAsia="zh-CN"/>
        </w:rPr>
        <w:t>18</w:t>
      </w:r>
      <w:r>
        <w:rPr>
          <w:rFonts w:hint="default" w:ascii="Times New Roman" w:hAnsi="Times New Roman" w:eastAsia="宋体" w:cs="Times New Roman"/>
          <w:color w:val="auto"/>
          <w:sz w:val="21"/>
          <w:szCs w:val="21"/>
          <w:highlight w:val="none"/>
          <w:lang w:val="en-US" w:eastAsia="zh-CN"/>
        </w:rPr>
        <w:t>米）要求</w:t>
      </w:r>
      <w:r>
        <w:rPr>
          <w:rFonts w:hint="eastAsia" w:ascii="Times New Roman" w:hAnsi="Times New Roman" w:eastAsia="宋体" w:cs="Times New Roman"/>
          <w:color w:val="auto"/>
          <w:sz w:val="21"/>
          <w:szCs w:val="21"/>
          <w:highlight w:val="none"/>
          <w:lang w:val="en-US" w:eastAsia="zh-CN"/>
        </w:rPr>
        <w:t>；目前建设单位已按照要求分别在二级活性炭设施进出口设置采样孔，并配有废气排口标识牌，具体详见附图。</w:t>
      </w:r>
    </w:p>
    <w:p w14:paraId="544FF40C">
      <w:pPr>
        <w:keepNext w:val="0"/>
        <w:keepLines w:val="0"/>
        <w:pageBreakBefore w:val="0"/>
        <w:widowControl/>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fldChar w:fldCharType="begin"/>
      </w:r>
      <w:r>
        <w:rPr>
          <w:rFonts w:hint="default" w:ascii="Times New Roman" w:hAnsi="Times New Roman" w:eastAsia="宋体" w:cs="Times New Roman"/>
          <w:color w:val="auto"/>
          <w:sz w:val="21"/>
          <w:szCs w:val="21"/>
          <w:highlight w:val="none"/>
          <w:lang w:val="en-US" w:eastAsia="zh-CN"/>
        </w:rPr>
        <w:instrText xml:space="preserve"> = 2 \* GB3 \* MERGEFORMAT </w:instrText>
      </w:r>
      <w:r>
        <w:rPr>
          <w:rFonts w:hint="default" w:ascii="Times New Roman" w:hAnsi="Times New Roman" w:eastAsia="宋体" w:cs="Times New Roman"/>
          <w:color w:val="auto"/>
          <w:sz w:val="21"/>
          <w:szCs w:val="21"/>
          <w:highlight w:val="none"/>
          <w:lang w:val="en-US" w:eastAsia="zh-CN"/>
        </w:rPr>
        <w:fldChar w:fldCharType="separate"/>
      </w:r>
      <w:r>
        <w:rPr>
          <w:rFonts w:hint="default" w:ascii="Times New Roman" w:hAnsi="Times New Roman" w:eastAsia="宋体" w:cs="Times New Roman"/>
          <w:color w:val="auto"/>
          <w:sz w:val="21"/>
          <w:szCs w:val="21"/>
          <w:highlight w:val="none"/>
        </w:rPr>
        <w:t>②</w:t>
      </w:r>
      <w:r>
        <w:rPr>
          <w:rFonts w:hint="default" w:ascii="Times New Roman" w:hAnsi="Times New Roman" w:eastAsia="宋体" w:cs="Times New Roman"/>
          <w:color w:val="auto"/>
          <w:sz w:val="21"/>
          <w:szCs w:val="21"/>
          <w:highlight w:val="none"/>
          <w:lang w:val="en-US" w:eastAsia="zh-CN"/>
        </w:rPr>
        <w:fldChar w:fldCharType="end"/>
      </w:r>
      <w:r>
        <w:rPr>
          <w:rFonts w:hint="default" w:ascii="Times New Roman" w:hAnsi="Times New Roman" w:eastAsia="宋体" w:cs="Times New Roman"/>
          <w:color w:val="auto"/>
          <w:sz w:val="21"/>
          <w:szCs w:val="21"/>
          <w:highlight w:val="none"/>
          <w:lang w:val="en-US" w:eastAsia="zh-CN"/>
        </w:rPr>
        <w:t>废水排放口：</w:t>
      </w:r>
      <w:r>
        <w:rPr>
          <w:rFonts w:hint="eastAsia" w:ascii="Times New Roman" w:hAnsi="Times New Roman" w:eastAsia="宋体" w:cs="Times New Roman"/>
          <w:color w:val="auto"/>
          <w:sz w:val="21"/>
          <w:szCs w:val="21"/>
          <w:highlight w:val="none"/>
          <w:lang w:val="en-US" w:eastAsia="zh-CN"/>
        </w:rPr>
        <w:t>本项目生活污水依托现有污水排放口，排污口位于厂区西侧DW001。</w:t>
      </w:r>
    </w:p>
    <w:p w14:paraId="3B8D1826">
      <w:pPr>
        <w:keepNext w:val="0"/>
        <w:keepLines w:val="0"/>
        <w:pageBreakBefore w:val="0"/>
        <w:widowControl/>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hint="default"/>
          <w:color w:val="auto"/>
          <w:highlight w:val="none"/>
          <w:lang w:val="en-US"/>
        </w:rPr>
      </w:pPr>
      <w:r>
        <w:rPr>
          <w:rFonts w:hint="default" w:ascii="Times New Roman" w:hAnsi="Times New Roman" w:eastAsia="宋体" w:cs="Times New Roman"/>
          <w:color w:val="auto"/>
          <w:sz w:val="21"/>
          <w:szCs w:val="21"/>
          <w:highlight w:val="none"/>
          <w:lang w:val="en-US" w:eastAsia="zh-CN"/>
        </w:rPr>
        <w:fldChar w:fldCharType="begin"/>
      </w:r>
      <w:r>
        <w:rPr>
          <w:rFonts w:hint="default" w:ascii="Times New Roman" w:hAnsi="Times New Roman" w:eastAsia="宋体" w:cs="Times New Roman"/>
          <w:color w:val="auto"/>
          <w:sz w:val="21"/>
          <w:szCs w:val="21"/>
          <w:highlight w:val="none"/>
          <w:lang w:val="en-US" w:eastAsia="zh-CN"/>
        </w:rPr>
        <w:instrText xml:space="preserve"> = 3 \* GB3 \* MERGEFORMAT </w:instrText>
      </w:r>
      <w:r>
        <w:rPr>
          <w:rFonts w:hint="default" w:ascii="Times New Roman" w:hAnsi="Times New Roman" w:eastAsia="宋体" w:cs="Times New Roman"/>
          <w:color w:val="auto"/>
          <w:sz w:val="21"/>
          <w:szCs w:val="21"/>
          <w:highlight w:val="none"/>
          <w:lang w:val="en-US" w:eastAsia="zh-CN"/>
        </w:rPr>
        <w:fldChar w:fldCharType="separate"/>
      </w:r>
      <w:r>
        <w:rPr>
          <w:rFonts w:hint="default" w:ascii="Times New Roman" w:hAnsi="Times New Roman" w:eastAsia="宋体" w:cs="Times New Roman"/>
          <w:color w:val="auto"/>
          <w:sz w:val="21"/>
          <w:szCs w:val="21"/>
          <w:highlight w:val="none"/>
        </w:rPr>
        <w:t>③</w:t>
      </w:r>
      <w:r>
        <w:rPr>
          <w:rFonts w:hint="default" w:ascii="Times New Roman" w:hAnsi="Times New Roman" w:eastAsia="宋体" w:cs="Times New Roman"/>
          <w:color w:val="auto"/>
          <w:sz w:val="21"/>
          <w:szCs w:val="21"/>
          <w:highlight w:val="none"/>
          <w:lang w:val="en-US" w:eastAsia="zh-CN"/>
        </w:rPr>
        <w:fldChar w:fldCharType="end"/>
      </w:r>
      <w:r>
        <w:rPr>
          <w:rFonts w:hint="default" w:ascii="Times New Roman" w:hAnsi="Times New Roman" w:eastAsia="宋体" w:cs="Times New Roman"/>
          <w:color w:val="auto"/>
          <w:sz w:val="21"/>
          <w:szCs w:val="21"/>
          <w:highlight w:val="none"/>
          <w:lang w:val="en-US" w:eastAsia="zh-CN"/>
        </w:rPr>
        <w:t>雨水排放口：</w:t>
      </w:r>
      <w:r>
        <w:rPr>
          <w:rFonts w:hint="eastAsia" w:ascii="Times New Roman" w:hAnsi="Times New Roman" w:eastAsia="宋体" w:cs="Times New Roman"/>
          <w:color w:val="auto"/>
          <w:sz w:val="21"/>
          <w:szCs w:val="21"/>
          <w:highlight w:val="none"/>
          <w:lang w:val="en-US" w:eastAsia="zh-CN"/>
        </w:rPr>
        <w:t>本项目雨水排口依托现有雨水排放口，雨水排口位于西侧YS001。</w:t>
      </w:r>
    </w:p>
    <w:p w14:paraId="7F30DEAF">
      <w:pPr>
        <w:keepNext w:val="0"/>
        <w:keepLines w:val="0"/>
        <w:pageBreakBefore w:val="0"/>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（2）监测设施情况</w:t>
      </w:r>
    </w:p>
    <w:p w14:paraId="72A7027E">
      <w:pPr>
        <w:keepNext w:val="0"/>
        <w:keepLines w:val="0"/>
        <w:pageBreakBefore w:val="0"/>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根据环评报告内容，项目废水</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废气</w:t>
      </w:r>
      <w:r>
        <w:rPr>
          <w:rFonts w:hint="default" w:ascii="Times New Roman" w:hAnsi="Times New Roman" w:eastAsia="宋体" w:cs="Times New Roman"/>
          <w:color w:val="auto"/>
          <w:sz w:val="21"/>
          <w:szCs w:val="21"/>
          <w:highlight w:val="none"/>
        </w:rPr>
        <w:t>无需安装在线监测装置。</w:t>
      </w:r>
    </w:p>
    <w:p w14:paraId="3515F903">
      <w:pPr>
        <w:keepNext w:val="0"/>
        <w:keepLines w:val="0"/>
        <w:pageBreakBefore w:val="0"/>
        <w:numPr>
          <w:ilvl w:val="0"/>
          <w:numId w:val="3"/>
        </w:numPr>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环境风险防范措施</w:t>
      </w:r>
    </w:p>
    <w:p w14:paraId="59D6E26D">
      <w:pPr>
        <w:keepNext w:val="0"/>
        <w:keepLines w:val="0"/>
        <w:pageBreakBefore w:val="0"/>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ascii="Times New Roman" w:hAnsi="Times New Roman" w:eastAsia="宋体"/>
          <w:color w:val="auto"/>
          <w:sz w:val="21"/>
          <w:szCs w:val="21"/>
          <w:highlight w:val="none"/>
        </w:rPr>
      </w:pPr>
      <w:bookmarkStart w:id="2" w:name="_Hlk19969591"/>
      <w:r>
        <w:rPr>
          <w:rFonts w:ascii="Times New Roman" w:hAnsi="Times New Roman" w:eastAsia="宋体"/>
          <w:color w:val="auto"/>
          <w:sz w:val="21"/>
          <w:szCs w:val="21"/>
          <w:highlight w:val="none"/>
        </w:rPr>
        <w:fldChar w:fldCharType="begin"/>
      </w:r>
      <w:r>
        <w:rPr>
          <w:rFonts w:ascii="Times New Roman" w:hAnsi="Times New Roman" w:eastAsia="宋体"/>
          <w:color w:val="auto"/>
          <w:sz w:val="21"/>
          <w:szCs w:val="21"/>
          <w:highlight w:val="none"/>
        </w:rPr>
        <w:instrText xml:space="preserve"> </w:instrText>
      </w:r>
      <w:r>
        <w:rPr>
          <w:rFonts w:hint="eastAsia" w:ascii="Times New Roman" w:hAnsi="Times New Roman" w:eastAsia="宋体"/>
          <w:color w:val="auto"/>
          <w:sz w:val="21"/>
          <w:szCs w:val="21"/>
          <w:highlight w:val="none"/>
        </w:rPr>
        <w:instrText xml:space="preserve">= 1 \* GB3</w:instrText>
      </w:r>
      <w:r>
        <w:rPr>
          <w:rFonts w:ascii="Times New Roman" w:hAnsi="Times New Roman" w:eastAsia="宋体"/>
          <w:color w:val="auto"/>
          <w:sz w:val="21"/>
          <w:szCs w:val="21"/>
          <w:highlight w:val="none"/>
        </w:rPr>
        <w:instrText xml:space="preserve"> </w:instrText>
      </w:r>
      <w:r>
        <w:rPr>
          <w:rFonts w:ascii="Times New Roman" w:hAnsi="Times New Roman" w:eastAsia="宋体"/>
          <w:color w:val="auto"/>
          <w:sz w:val="21"/>
          <w:szCs w:val="21"/>
          <w:highlight w:val="none"/>
        </w:rPr>
        <w:fldChar w:fldCharType="separate"/>
      </w:r>
      <w:r>
        <w:rPr>
          <w:rFonts w:hint="eastAsia" w:ascii="Times New Roman" w:hAnsi="Times New Roman" w:eastAsia="宋体"/>
          <w:color w:val="auto"/>
          <w:sz w:val="21"/>
          <w:szCs w:val="21"/>
          <w:highlight w:val="none"/>
        </w:rPr>
        <w:t>①</w:t>
      </w:r>
      <w:r>
        <w:rPr>
          <w:rFonts w:ascii="Times New Roman" w:hAnsi="Times New Roman" w:eastAsia="宋体"/>
          <w:color w:val="auto"/>
          <w:sz w:val="21"/>
          <w:szCs w:val="21"/>
          <w:highlight w:val="none"/>
        </w:rPr>
        <w:fldChar w:fldCharType="end"/>
      </w:r>
      <w:r>
        <w:rPr>
          <w:rFonts w:hint="eastAsia" w:ascii="Times New Roman" w:hAnsi="Times New Roman" w:eastAsia="宋体"/>
          <w:color w:val="auto"/>
          <w:sz w:val="21"/>
          <w:szCs w:val="21"/>
          <w:highlight w:val="none"/>
          <w:lang w:val="en-US" w:eastAsia="zh-CN"/>
        </w:rPr>
        <w:t>本项目</w:t>
      </w:r>
      <w:r>
        <w:rPr>
          <w:rFonts w:ascii="Times New Roman" w:hAnsi="Times New Roman" w:eastAsia="宋体"/>
          <w:color w:val="auto"/>
          <w:sz w:val="21"/>
          <w:szCs w:val="21"/>
          <w:highlight w:val="none"/>
        </w:rPr>
        <w:t>厂区内配置</w:t>
      </w:r>
      <w:r>
        <w:rPr>
          <w:rFonts w:hint="eastAsia" w:ascii="Times New Roman" w:hAnsi="Times New Roman" w:eastAsia="宋体"/>
          <w:color w:val="auto"/>
          <w:sz w:val="21"/>
          <w:szCs w:val="21"/>
          <w:highlight w:val="none"/>
          <w:lang w:val="en-US" w:eastAsia="zh-CN"/>
        </w:rPr>
        <w:t>足量</w:t>
      </w:r>
      <w:r>
        <w:rPr>
          <w:rFonts w:ascii="Times New Roman" w:hAnsi="Times New Roman" w:eastAsia="宋体"/>
          <w:color w:val="auto"/>
          <w:sz w:val="21"/>
          <w:szCs w:val="21"/>
          <w:highlight w:val="none"/>
        </w:rPr>
        <w:t>消防</w:t>
      </w:r>
      <w:r>
        <w:rPr>
          <w:rFonts w:hint="eastAsia" w:ascii="Times New Roman" w:hAnsi="Times New Roman" w:eastAsia="宋体"/>
          <w:color w:val="auto"/>
          <w:sz w:val="21"/>
          <w:szCs w:val="21"/>
          <w:highlight w:val="none"/>
          <w:lang w:val="en-US" w:eastAsia="zh-CN"/>
        </w:rPr>
        <w:t>应急材料。</w:t>
      </w:r>
    </w:p>
    <w:p w14:paraId="7D869D99">
      <w:pPr>
        <w:keepNext w:val="0"/>
        <w:keepLines w:val="0"/>
        <w:pageBreakBefore w:val="0"/>
        <w:widowControl/>
        <w:tabs>
          <w:tab w:val="left" w:pos="1200"/>
        </w:tabs>
        <w:kinsoku/>
        <w:wordWrap/>
        <w:overflowPunct/>
        <w:topLinePunct w:val="0"/>
        <w:autoSpaceDE/>
        <w:autoSpaceDN/>
        <w:bidi w:val="0"/>
        <w:adjustRightInd w:val="0"/>
        <w:snapToGrid w:val="0"/>
        <w:spacing w:after="0" w:line="360" w:lineRule="auto"/>
        <w:ind w:firstLine="420" w:firstLineChars="200"/>
        <w:jc w:val="both"/>
        <w:textAlignment w:val="auto"/>
        <w:rPr>
          <w:rFonts w:ascii="Times New Roman" w:hAnsi="Times New Roman" w:eastAsia="宋体"/>
          <w:color w:val="auto"/>
          <w:sz w:val="21"/>
          <w:szCs w:val="21"/>
          <w:highlight w:val="none"/>
        </w:rPr>
      </w:pPr>
      <w:r>
        <w:rPr>
          <w:rFonts w:ascii="Times New Roman" w:hAnsi="Times New Roman" w:eastAsia="宋体"/>
          <w:color w:val="auto"/>
          <w:sz w:val="21"/>
          <w:szCs w:val="21"/>
          <w:highlight w:val="none"/>
        </w:rPr>
        <w:fldChar w:fldCharType="begin"/>
      </w:r>
      <w:r>
        <w:rPr>
          <w:rFonts w:ascii="Times New Roman" w:hAnsi="Times New Roman" w:eastAsia="宋体"/>
          <w:color w:val="auto"/>
          <w:sz w:val="21"/>
          <w:szCs w:val="21"/>
          <w:highlight w:val="none"/>
        </w:rPr>
        <w:instrText xml:space="preserve"> </w:instrText>
      </w:r>
      <w:r>
        <w:rPr>
          <w:rFonts w:hint="eastAsia" w:ascii="Times New Roman" w:hAnsi="Times New Roman" w:eastAsia="宋体"/>
          <w:color w:val="auto"/>
          <w:sz w:val="21"/>
          <w:szCs w:val="21"/>
          <w:highlight w:val="none"/>
        </w:rPr>
        <w:instrText xml:space="preserve">= 2 \* GB3</w:instrText>
      </w:r>
      <w:r>
        <w:rPr>
          <w:rFonts w:ascii="Times New Roman" w:hAnsi="Times New Roman" w:eastAsia="宋体"/>
          <w:color w:val="auto"/>
          <w:sz w:val="21"/>
          <w:szCs w:val="21"/>
          <w:highlight w:val="none"/>
        </w:rPr>
        <w:instrText xml:space="preserve"> </w:instrText>
      </w:r>
      <w:r>
        <w:rPr>
          <w:rFonts w:ascii="Times New Roman" w:hAnsi="Times New Roman" w:eastAsia="宋体"/>
          <w:color w:val="auto"/>
          <w:sz w:val="21"/>
          <w:szCs w:val="21"/>
          <w:highlight w:val="none"/>
        </w:rPr>
        <w:fldChar w:fldCharType="separate"/>
      </w:r>
      <w:r>
        <w:rPr>
          <w:rFonts w:hint="eastAsia" w:ascii="Times New Roman" w:hAnsi="Times New Roman" w:eastAsia="宋体"/>
          <w:color w:val="auto"/>
          <w:sz w:val="21"/>
          <w:szCs w:val="21"/>
          <w:highlight w:val="none"/>
        </w:rPr>
        <w:t>②</w:t>
      </w:r>
      <w:r>
        <w:rPr>
          <w:rFonts w:ascii="Times New Roman" w:hAnsi="Times New Roman" w:eastAsia="宋体"/>
          <w:color w:val="auto"/>
          <w:sz w:val="21"/>
          <w:szCs w:val="21"/>
          <w:highlight w:val="none"/>
        </w:rPr>
        <w:fldChar w:fldCharType="end"/>
      </w:r>
      <w:r>
        <w:rPr>
          <w:rFonts w:hint="eastAsia" w:ascii="Times New Roman" w:hAnsi="Times New Roman" w:eastAsia="宋体" w:cs="Times New Roman"/>
          <w:color w:val="auto"/>
          <w:sz w:val="21"/>
          <w:szCs w:val="21"/>
          <w:highlight w:val="none"/>
          <w:lang w:val="en-US" w:eastAsia="zh-CN" w:bidi="ar-SA"/>
        </w:rPr>
        <w:t>企业已</w:t>
      </w:r>
      <w:r>
        <w:rPr>
          <w:rFonts w:hint="default" w:ascii="Times New Roman" w:hAnsi="Times New Roman" w:eastAsia="宋体" w:cs="Times New Roman"/>
          <w:color w:val="auto"/>
          <w:sz w:val="21"/>
          <w:szCs w:val="21"/>
          <w:highlight w:val="none"/>
          <w:lang w:val="en-US" w:eastAsia="zh-CN" w:bidi="ar-SA"/>
        </w:rPr>
        <w:t>设置兼职环境应急救援队伍，并定期开展应急演练，用于紧急状态下的应急救援工作。</w:t>
      </w:r>
    </w:p>
    <w:p w14:paraId="258C8E73">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bidi="ar-SA"/>
        </w:rPr>
        <w:fldChar w:fldCharType="begin"/>
      </w:r>
      <w:r>
        <w:rPr>
          <w:rFonts w:hint="default" w:ascii="Times New Roman" w:hAnsi="Times New Roman" w:eastAsia="宋体" w:cs="Times New Roman"/>
          <w:color w:val="auto"/>
          <w:sz w:val="21"/>
          <w:szCs w:val="21"/>
          <w:highlight w:val="none"/>
          <w:lang w:val="en-US" w:eastAsia="zh-CN" w:bidi="ar-SA"/>
        </w:rPr>
        <w:instrText xml:space="preserve"> = 3 \* GB3 \* MERGEFORMAT </w:instrText>
      </w:r>
      <w:r>
        <w:rPr>
          <w:rFonts w:hint="default" w:ascii="Times New Roman" w:hAnsi="Times New Roman" w:eastAsia="宋体" w:cs="Times New Roman"/>
          <w:color w:val="auto"/>
          <w:sz w:val="21"/>
          <w:szCs w:val="21"/>
          <w:highlight w:val="none"/>
          <w:lang w:val="en-US" w:eastAsia="zh-CN" w:bidi="ar-SA"/>
        </w:rPr>
        <w:fldChar w:fldCharType="separate"/>
      </w:r>
      <w:r>
        <w:rPr>
          <w:rFonts w:hint="eastAsia" w:ascii="Times New Roman" w:hAnsi="Times New Roman" w:eastAsia="宋体" w:cs="Times New Roman"/>
          <w:color w:val="auto"/>
          <w:sz w:val="21"/>
          <w:szCs w:val="21"/>
          <w:highlight w:val="none"/>
          <w:lang w:val="en-US" w:eastAsia="zh-CN" w:bidi="ar-SA"/>
        </w:rPr>
        <w:t>③</w:t>
      </w:r>
      <w:r>
        <w:rPr>
          <w:rFonts w:hint="default" w:ascii="Times New Roman" w:hAnsi="Times New Roman" w:eastAsia="宋体" w:cs="Times New Roman"/>
          <w:color w:val="auto"/>
          <w:sz w:val="21"/>
          <w:szCs w:val="21"/>
          <w:highlight w:val="none"/>
          <w:lang w:val="en-US" w:eastAsia="zh-CN" w:bidi="ar-SA"/>
        </w:rPr>
        <w:fldChar w:fldCharType="end"/>
      </w:r>
      <w:r>
        <w:rPr>
          <w:rFonts w:hint="eastAsia" w:ascii="Times New Roman" w:hAnsi="Times New Roman" w:eastAsia="宋体" w:cs="Times New Roman"/>
          <w:color w:val="auto"/>
          <w:sz w:val="21"/>
          <w:szCs w:val="21"/>
          <w:highlight w:val="none"/>
          <w:lang w:val="en-US" w:eastAsia="zh-CN" w:bidi="ar-SA"/>
        </w:rPr>
        <w:t>江苏汇富新型材料有限公司已经建立了相应的安全保护规章制度，指定专人负责工作</w:t>
      </w:r>
      <w:r>
        <w:rPr>
          <w:rFonts w:hint="default" w:ascii="Times New Roman" w:hAnsi="Times New Roman" w:eastAsia="宋体" w:cs="Times New Roman"/>
          <w:color w:val="auto"/>
          <w:sz w:val="21"/>
          <w:szCs w:val="21"/>
          <w:highlight w:val="none"/>
          <w:lang w:val="en-US" w:eastAsia="zh-CN" w:bidi="ar-SA"/>
        </w:rPr>
        <w:t>，</w:t>
      </w:r>
      <w:r>
        <w:rPr>
          <w:rFonts w:hint="default" w:ascii="Times New Roman" w:hAnsi="Times New Roman" w:eastAsia="宋体" w:cs="Times New Roman"/>
          <w:color w:val="auto"/>
          <w:sz w:val="21"/>
          <w:szCs w:val="21"/>
          <w:highlight w:val="none"/>
        </w:rPr>
        <w:t>负责监督实施管理公司的安全生产、环境保护</w:t>
      </w:r>
      <w:r>
        <w:rPr>
          <w:rFonts w:hint="default" w:ascii="Times New Roman" w:hAnsi="Times New Roman" w:eastAsia="宋体" w:cs="Times New Roman"/>
          <w:color w:val="auto"/>
          <w:sz w:val="21"/>
          <w:szCs w:val="21"/>
          <w:highlight w:val="none"/>
          <w:lang w:val="en-US" w:eastAsia="zh-CN"/>
        </w:rPr>
        <w:t>等工作。</w:t>
      </w:r>
    </w:p>
    <w:bookmarkEnd w:id="2"/>
    <w:p w14:paraId="7DE9082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四、环境保护设施调试效果</w:t>
      </w:r>
    </w:p>
    <w:p w14:paraId="337A738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1、废水</w:t>
      </w:r>
    </w:p>
    <w:p w14:paraId="6FC91BAB">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hint="eastAsia" w:ascii="Times New Roman" w:hAnsi="Times New Roman" w:eastAsia="宋体"/>
          <w:color w:val="auto"/>
          <w:sz w:val="21"/>
          <w:szCs w:val="21"/>
          <w:highlight w:val="none"/>
        </w:rPr>
      </w:pPr>
      <w:r>
        <w:rPr>
          <w:rFonts w:hint="eastAsia" w:ascii="Times New Roman" w:hAnsi="Times New Roman" w:eastAsia="宋体" w:cs="Times New Roman"/>
          <w:color w:val="auto"/>
          <w:sz w:val="21"/>
          <w:szCs w:val="21"/>
          <w:highlight w:val="none"/>
          <w:lang w:eastAsia="zh-CN"/>
        </w:rPr>
        <w:t>江苏华睿巨辉环境检测有限公司</w:t>
      </w:r>
      <w:r>
        <w:rPr>
          <w:rFonts w:hint="default" w:ascii="Times New Roman" w:hAnsi="Times New Roman" w:eastAsia="宋体" w:cs="Times New Roman"/>
          <w:color w:val="auto"/>
          <w:sz w:val="21"/>
          <w:szCs w:val="21"/>
          <w:highlight w:val="none"/>
        </w:rPr>
        <w:t>于</w:t>
      </w:r>
      <w:r>
        <w:rPr>
          <w:rFonts w:hint="default" w:ascii="Times New Roman" w:hAnsi="Times New Roman" w:eastAsia="宋体" w:cs="Times New Roman"/>
          <w:color w:val="auto"/>
          <w:kern w:val="2"/>
          <w:sz w:val="21"/>
          <w:szCs w:val="21"/>
          <w:highlight w:val="none"/>
        </w:rPr>
        <w:t>20</w:t>
      </w:r>
      <w:r>
        <w:rPr>
          <w:rFonts w:hint="default" w:ascii="Times New Roman" w:hAnsi="Times New Roman" w:eastAsia="宋体" w:cs="Times New Roman"/>
          <w:color w:val="auto"/>
          <w:kern w:val="2"/>
          <w:sz w:val="21"/>
          <w:szCs w:val="21"/>
          <w:highlight w:val="none"/>
          <w:lang w:val="en-US" w:eastAsia="zh-CN"/>
        </w:rPr>
        <w:t>2</w:t>
      </w:r>
      <w:r>
        <w:rPr>
          <w:rFonts w:hint="eastAsia" w:ascii="Times New Roman" w:hAnsi="Times New Roman" w:eastAsia="宋体" w:cs="Times New Roman"/>
          <w:color w:val="auto"/>
          <w:kern w:val="2"/>
          <w:sz w:val="21"/>
          <w:szCs w:val="21"/>
          <w:highlight w:val="none"/>
          <w:lang w:val="en-US" w:eastAsia="zh-CN"/>
        </w:rPr>
        <w:t>5</w:t>
      </w:r>
      <w:r>
        <w:rPr>
          <w:rFonts w:hint="default" w:ascii="Times New Roman" w:hAnsi="Times New Roman" w:eastAsia="宋体" w:cs="Times New Roman"/>
          <w:color w:val="auto"/>
          <w:kern w:val="2"/>
          <w:sz w:val="21"/>
          <w:szCs w:val="21"/>
          <w:highlight w:val="none"/>
        </w:rPr>
        <w:t>年</w:t>
      </w:r>
      <w:r>
        <w:rPr>
          <w:rFonts w:hint="eastAsia" w:ascii="Times New Roman" w:hAnsi="Times New Roman" w:eastAsia="宋体" w:cs="Times New Roman"/>
          <w:color w:val="auto"/>
          <w:kern w:val="2"/>
          <w:sz w:val="21"/>
          <w:szCs w:val="21"/>
          <w:highlight w:val="none"/>
          <w:lang w:val="en-US" w:eastAsia="zh-CN"/>
        </w:rPr>
        <w:t>12</w:t>
      </w:r>
      <w:r>
        <w:rPr>
          <w:rFonts w:hint="default" w:ascii="Times New Roman" w:hAnsi="Times New Roman" w:eastAsia="宋体" w:cs="Times New Roman"/>
          <w:color w:val="auto"/>
          <w:kern w:val="2"/>
          <w:sz w:val="21"/>
          <w:szCs w:val="21"/>
          <w:highlight w:val="none"/>
          <w:lang w:val="en-US" w:eastAsia="zh-CN"/>
        </w:rPr>
        <w:t>月</w:t>
      </w:r>
      <w:r>
        <w:rPr>
          <w:rFonts w:hint="eastAsia" w:ascii="Times New Roman" w:hAnsi="Times New Roman" w:eastAsia="宋体" w:cs="Times New Roman"/>
          <w:color w:val="auto"/>
          <w:kern w:val="2"/>
          <w:sz w:val="21"/>
          <w:szCs w:val="21"/>
          <w:highlight w:val="none"/>
          <w:lang w:val="en-US" w:eastAsia="zh-CN"/>
        </w:rPr>
        <w:t>6</w:t>
      </w:r>
      <w:r>
        <w:rPr>
          <w:rFonts w:hint="default" w:ascii="Times New Roman" w:hAnsi="Times New Roman" w:eastAsia="宋体" w:cs="Times New Roman"/>
          <w:color w:val="auto"/>
          <w:kern w:val="2"/>
          <w:sz w:val="21"/>
          <w:szCs w:val="21"/>
          <w:highlight w:val="none"/>
          <w:lang w:val="en-US" w:eastAsia="zh-CN"/>
        </w:rPr>
        <w:t>日</w:t>
      </w:r>
      <w:r>
        <w:rPr>
          <w:rFonts w:hint="eastAsia" w:ascii="Times New Roman" w:hAnsi="Times New Roman" w:eastAsia="宋体" w:cs="Times New Roman"/>
          <w:color w:val="auto"/>
          <w:kern w:val="2"/>
          <w:sz w:val="21"/>
          <w:szCs w:val="21"/>
          <w:highlight w:val="none"/>
          <w:lang w:val="en-US" w:eastAsia="zh-CN"/>
        </w:rPr>
        <w:t>-7</w:t>
      </w:r>
      <w:r>
        <w:rPr>
          <w:rFonts w:hint="default" w:ascii="Times New Roman" w:hAnsi="Times New Roman" w:eastAsia="宋体" w:cs="Times New Roman"/>
          <w:color w:val="auto"/>
          <w:kern w:val="2"/>
          <w:sz w:val="21"/>
          <w:szCs w:val="21"/>
          <w:highlight w:val="none"/>
          <w:lang w:val="en-US" w:eastAsia="zh-CN"/>
        </w:rPr>
        <w:t>日</w:t>
      </w:r>
      <w:r>
        <w:rPr>
          <w:rFonts w:hint="default" w:ascii="Times New Roman" w:hAnsi="Times New Roman" w:eastAsia="宋体" w:cs="Times New Roman"/>
          <w:color w:val="auto"/>
          <w:sz w:val="21"/>
          <w:szCs w:val="21"/>
          <w:highlight w:val="none"/>
        </w:rPr>
        <w:t>对</w:t>
      </w:r>
      <w:r>
        <w:rPr>
          <w:rFonts w:hint="eastAsia" w:ascii="Times New Roman" w:hAnsi="Times New Roman" w:eastAsia="宋体" w:cs="Times New Roman"/>
          <w:color w:val="auto"/>
          <w:sz w:val="21"/>
          <w:szCs w:val="21"/>
          <w:highlight w:val="none"/>
          <w:lang w:eastAsia="zh-CN"/>
        </w:rPr>
        <w:t>江苏汇富新型材料有限公司新建包装材料生产项目</w:t>
      </w:r>
      <w:r>
        <w:rPr>
          <w:rFonts w:hint="default" w:ascii="Times New Roman" w:hAnsi="Times New Roman" w:eastAsia="宋体" w:cs="Times New Roman"/>
          <w:color w:val="auto"/>
          <w:sz w:val="21"/>
          <w:szCs w:val="21"/>
          <w:highlight w:val="none"/>
        </w:rPr>
        <w:t>进行了现场验收监测，监测期间各项环保治理设施正常运行，符合验收监测要求</w:t>
      </w:r>
      <w:r>
        <w:rPr>
          <w:rFonts w:hint="eastAsia" w:ascii="Times New Roman" w:hAnsi="Times New Roman" w:eastAsia="宋体"/>
          <w:color w:val="auto"/>
          <w:sz w:val="21"/>
          <w:szCs w:val="21"/>
          <w:highlight w:val="none"/>
          <w:lang w:val="en-US" w:eastAsia="zh-CN"/>
        </w:rPr>
        <w:t>。</w:t>
      </w:r>
    </w:p>
    <w:p w14:paraId="62DF62A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根据</w:t>
      </w:r>
      <w:r>
        <w:rPr>
          <w:rFonts w:hint="eastAsia" w:ascii="Times New Roman" w:hAnsi="Times New Roman" w:eastAsia="宋体" w:cs="Times New Roman"/>
          <w:color w:val="auto"/>
          <w:sz w:val="21"/>
          <w:szCs w:val="21"/>
          <w:highlight w:val="none"/>
          <w:lang w:eastAsia="zh-CN"/>
        </w:rPr>
        <w:t>江苏华睿巨辉环境检测有限公司</w:t>
      </w:r>
      <w:r>
        <w:rPr>
          <w:rFonts w:hint="eastAsia" w:ascii="Times New Roman" w:hAnsi="Times New Roman" w:eastAsia="宋体" w:cs="Times New Roman"/>
          <w:color w:val="auto"/>
          <w:sz w:val="21"/>
          <w:szCs w:val="21"/>
          <w:highlight w:val="none"/>
        </w:rPr>
        <w:t>监测报告（</w:t>
      </w:r>
      <w:r>
        <w:rPr>
          <w:rFonts w:hint="eastAsia" w:ascii="Times New Roman" w:hAnsi="Times New Roman" w:eastAsia="宋体" w:cs="Times New Roman"/>
          <w:color w:val="auto"/>
          <w:sz w:val="21"/>
          <w:szCs w:val="21"/>
          <w:highlight w:val="none"/>
          <w:lang w:eastAsia="zh-CN"/>
        </w:rPr>
        <w:t>HR24120323</w:t>
      </w:r>
      <w:r>
        <w:rPr>
          <w:rFonts w:hint="eastAsia" w:ascii="Times New Roman" w:hAnsi="Times New Roman" w:eastAsia="宋体" w:cs="Times New Roman"/>
          <w:color w:val="auto"/>
          <w:sz w:val="21"/>
          <w:szCs w:val="21"/>
          <w:highlight w:val="none"/>
        </w:rPr>
        <w:t>）。</w:t>
      </w:r>
    </w:p>
    <w:p w14:paraId="3D4BC61A">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数据表明：</w:t>
      </w:r>
      <w:r>
        <w:rPr>
          <w:rFonts w:hint="eastAsia" w:ascii="Times New Roman" w:hAnsi="Times New Roman" w:eastAsia="宋体"/>
          <w:color w:val="auto"/>
          <w:sz w:val="21"/>
          <w:szCs w:val="21"/>
          <w:highlight w:val="none"/>
        </w:rPr>
        <w:t>在项目废水正常排放的情况下，验收监测期间厂区废水排污口各污染物浓度均能满足</w:t>
      </w:r>
      <w:r>
        <w:rPr>
          <w:rFonts w:hint="eastAsia" w:ascii="Times New Roman" w:hAnsi="Times New Roman" w:eastAsia="宋体"/>
          <w:color w:val="auto"/>
          <w:sz w:val="21"/>
          <w:szCs w:val="21"/>
          <w:highlight w:val="none"/>
          <w:lang w:eastAsia="zh-CN"/>
        </w:rPr>
        <w:t>常州金坛区第二污水处理有限公司</w:t>
      </w:r>
      <w:r>
        <w:rPr>
          <w:rFonts w:hint="eastAsia" w:ascii="Times New Roman" w:hAnsi="Times New Roman" w:eastAsia="宋体"/>
          <w:color w:val="auto"/>
          <w:sz w:val="21"/>
          <w:szCs w:val="21"/>
          <w:highlight w:val="none"/>
        </w:rPr>
        <w:t>接管要求。</w:t>
      </w:r>
    </w:p>
    <w:p w14:paraId="5F6B116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2、厂界噪声</w:t>
      </w:r>
    </w:p>
    <w:p w14:paraId="1A03B7C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根据</w:t>
      </w:r>
      <w:r>
        <w:rPr>
          <w:rFonts w:hint="eastAsia" w:ascii="Times New Roman" w:hAnsi="Times New Roman" w:eastAsia="宋体" w:cs="Times New Roman"/>
          <w:color w:val="auto"/>
          <w:sz w:val="21"/>
          <w:szCs w:val="21"/>
          <w:highlight w:val="none"/>
          <w:lang w:eastAsia="zh-CN"/>
        </w:rPr>
        <w:t>江苏华睿巨辉环境检测有限公司</w:t>
      </w:r>
      <w:r>
        <w:rPr>
          <w:rFonts w:hint="eastAsia" w:ascii="Times New Roman" w:hAnsi="Times New Roman" w:eastAsia="宋体" w:cs="Times New Roman"/>
          <w:color w:val="auto"/>
          <w:sz w:val="21"/>
          <w:szCs w:val="21"/>
          <w:highlight w:val="none"/>
        </w:rPr>
        <w:t>监测报告（</w:t>
      </w:r>
      <w:r>
        <w:rPr>
          <w:rFonts w:hint="eastAsia" w:ascii="Times New Roman" w:hAnsi="Times New Roman" w:eastAsia="宋体" w:cs="Times New Roman"/>
          <w:color w:val="auto"/>
          <w:sz w:val="21"/>
          <w:szCs w:val="21"/>
          <w:highlight w:val="none"/>
          <w:lang w:eastAsia="zh-CN"/>
        </w:rPr>
        <w:t>HR24120323</w:t>
      </w:r>
      <w:r>
        <w:rPr>
          <w:rFonts w:hint="eastAsia" w:ascii="Times New Roman" w:hAnsi="Times New Roman" w:eastAsia="宋体" w:cs="Times New Roman"/>
          <w:color w:val="auto"/>
          <w:sz w:val="21"/>
          <w:szCs w:val="21"/>
          <w:highlight w:val="none"/>
        </w:rPr>
        <w:t>）。</w:t>
      </w:r>
    </w:p>
    <w:p w14:paraId="6539042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数据表明，东、南、西、北厂界噪声昼</w:t>
      </w:r>
      <w:r>
        <w:rPr>
          <w:rFonts w:hint="eastAsia" w:ascii="Times New Roman" w:hAnsi="Times New Roman" w:eastAsia="宋体" w:cs="Times New Roman"/>
          <w:color w:val="auto"/>
          <w:sz w:val="21"/>
          <w:szCs w:val="21"/>
          <w:highlight w:val="none"/>
          <w:lang w:eastAsia="zh-CN"/>
        </w:rPr>
        <w:t>、</w:t>
      </w:r>
      <w:r>
        <w:rPr>
          <w:rFonts w:hint="eastAsia" w:ascii="Times New Roman" w:hAnsi="Times New Roman" w:eastAsia="宋体" w:cs="Times New Roman"/>
          <w:color w:val="auto"/>
          <w:sz w:val="21"/>
          <w:szCs w:val="21"/>
          <w:highlight w:val="none"/>
          <w:lang w:val="en-US" w:eastAsia="zh-CN"/>
        </w:rPr>
        <w:t>夜</w:t>
      </w:r>
      <w:r>
        <w:rPr>
          <w:rFonts w:ascii="Times New Roman" w:hAnsi="Times New Roman" w:eastAsia="宋体" w:cs="Times New Roman"/>
          <w:color w:val="auto"/>
          <w:sz w:val="21"/>
          <w:szCs w:val="21"/>
          <w:highlight w:val="none"/>
        </w:rPr>
        <w:t>间监测值均符合《工业企业厂界环境噪声排放标准》</w:t>
      </w:r>
      <w:r>
        <w:rPr>
          <w:rFonts w:hint="default" w:ascii="Times New Roman" w:hAnsi="Times New Roman" w:eastAsia="宋体" w:cs="Times New Roman"/>
          <w:color w:val="auto"/>
          <w:sz w:val="21"/>
          <w:szCs w:val="21"/>
          <w:highlight w:val="none"/>
        </w:rPr>
        <w:t>（GB12348-2008）</w:t>
      </w:r>
      <w:r>
        <w:rPr>
          <w:rFonts w:hint="eastAsia"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类标准要求。</w:t>
      </w:r>
    </w:p>
    <w:p w14:paraId="018AC623">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3、废气</w:t>
      </w:r>
    </w:p>
    <w:p w14:paraId="0DF7146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根据</w:t>
      </w:r>
      <w:r>
        <w:rPr>
          <w:rFonts w:hint="eastAsia" w:ascii="Times New Roman" w:hAnsi="Times New Roman" w:eastAsia="宋体" w:cs="Times New Roman"/>
          <w:color w:val="auto"/>
          <w:sz w:val="21"/>
          <w:szCs w:val="21"/>
          <w:highlight w:val="none"/>
          <w:lang w:eastAsia="zh-CN"/>
        </w:rPr>
        <w:t>江苏华睿巨辉环境检测有限公司</w:t>
      </w:r>
      <w:r>
        <w:rPr>
          <w:rFonts w:hint="default" w:ascii="Times New Roman" w:hAnsi="Times New Roman" w:eastAsia="宋体" w:cs="Times New Roman"/>
          <w:color w:val="auto"/>
          <w:sz w:val="21"/>
          <w:szCs w:val="21"/>
          <w:highlight w:val="none"/>
        </w:rPr>
        <w:t>监测报告（</w:t>
      </w:r>
      <w:r>
        <w:rPr>
          <w:rFonts w:hint="eastAsia" w:ascii="Times New Roman" w:hAnsi="Times New Roman" w:eastAsia="宋体" w:cs="Times New Roman"/>
          <w:color w:val="auto"/>
          <w:sz w:val="21"/>
          <w:szCs w:val="21"/>
          <w:highlight w:val="none"/>
          <w:lang w:eastAsia="zh-CN"/>
        </w:rPr>
        <w:t>HR24120323</w:t>
      </w:r>
      <w:r>
        <w:rPr>
          <w:rFonts w:hint="default" w:ascii="Times New Roman" w:hAnsi="Times New Roman" w:eastAsia="宋体" w:cs="Times New Roman"/>
          <w:color w:val="auto"/>
          <w:sz w:val="21"/>
          <w:szCs w:val="21"/>
          <w:highlight w:val="none"/>
        </w:rPr>
        <w:t>）。</w:t>
      </w:r>
    </w:p>
    <w:p w14:paraId="24E0EF1D">
      <w:pPr>
        <w:keepNext w:val="0"/>
        <w:keepLines w:val="0"/>
        <w:pageBreakBefore w:val="0"/>
        <w:widowControl w:val="0"/>
        <w:kinsoku/>
        <w:wordWrap/>
        <w:overflowPunct/>
        <w:topLinePunct w:val="0"/>
        <w:autoSpaceDE/>
        <w:autoSpaceDN/>
        <w:bidi w:val="0"/>
        <w:adjustRightInd w:val="0"/>
        <w:snapToGrid w:val="0"/>
        <w:spacing w:after="0" w:line="360" w:lineRule="auto"/>
        <w:ind w:firstLine="420" w:firstLineChars="200"/>
        <w:jc w:val="both"/>
        <w:textAlignment w:val="auto"/>
        <w:rPr>
          <w:rFonts w:hint="default" w:ascii="Times New Roman" w:hAnsi="Times New Roman" w:eastAsia="宋体" w:cs="Times New Roman"/>
          <w:bCs/>
          <w:color w:val="auto"/>
          <w:kern w:val="0"/>
          <w:sz w:val="21"/>
          <w:szCs w:val="21"/>
          <w:highlight w:val="none"/>
          <w:lang w:val="en-US" w:eastAsia="zh-CN"/>
        </w:rPr>
      </w:pPr>
      <w:r>
        <w:rPr>
          <w:rFonts w:hint="default" w:ascii="Times New Roman" w:hAnsi="Times New Roman" w:eastAsia="宋体" w:cs="Times New Roman"/>
          <w:bCs/>
          <w:color w:val="auto"/>
          <w:kern w:val="0"/>
          <w:sz w:val="21"/>
          <w:szCs w:val="21"/>
          <w:highlight w:val="none"/>
        </w:rPr>
        <w:t>监测结果表明，</w:t>
      </w:r>
      <w:r>
        <w:rPr>
          <w:rFonts w:hint="default" w:ascii="Times New Roman" w:hAnsi="Times New Roman" w:eastAsia="宋体" w:cs="Times New Roman"/>
          <w:bCs/>
          <w:color w:val="auto"/>
          <w:sz w:val="21"/>
          <w:szCs w:val="21"/>
          <w:highlight w:val="none"/>
        </w:rPr>
        <w:t>本项目</w:t>
      </w:r>
      <w:r>
        <w:rPr>
          <w:rFonts w:hint="default" w:ascii="Times New Roman" w:hAnsi="Times New Roman" w:eastAsia="宋体" w:cs="Times New Roman"/>
          <w:color w:val="auto"/>
          <w:sz w:val="21"/>
          <w:szCs w:val="21"/>
          <w:highlight w:val="none"/>
          <w:lang w:val="en-US" w:eastAsia="zh-CN"/>
        </w:rPr>
        <w:t>DA001非甲烷总烃有组织排放满足</w:t>
      </w:r>
      <w:r>
        <w:rPr>
          <w:rFonts w:hint="eastAsia" w:ascii="Times New Roman" w:hAnsi="Times New Roman" w:eastAsia="宋体" w:cs="Times New Roman"/>
          <w:color w:val="auto"/>
          <w:kern w:val="2"/>
          <w:sz w:val="21"/>
          <w:szCs w:val="21"/>
          <w:highlight w:val="none"/>
          <w:lang w:val="en-US" w:eastAsia="zh-CN"/>
        </w:rPr>
        <w:t>《合成树脂工业污染物排放标准》（GB31572-2015）及2024年修改单中表5标准</w:t>
      </w: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eastAsia="宋体" w:cs="Times New Roman"/>
          <w:bCs/>
          <w:color w:val="auto"/>
          <w:sz w:val="21"/>
          <w:szCs w:val="21"/>
          <w:highlight w:val="none"/>
          <w:lang w:val="en-US" w:eastAsia="zh-CN"/>
        </w:rPr>
        <w:t>即非甲烷总烃</w:t>
      </w:r>
      <w:r>
        <w:rPr>
          <w:rFonts w:hint="default" w:ascii="Times New Roman" w:hAnsi="Times New Roman" w:eastAsia="宋体" w:cs="Times New Roman"/>
          <w:bCs/>
          <w:color w:val="auto"/>
          <w:sz w:val="21"/>
          <w:szCs w:val="21"/>
          <w:highlight w:val="none"/>
        </w:rPr>
        <w:t>有组织排放浓度≤</w:t>
      </w:r>
      <w:r>
        <w:rPr>
          <w:rFonts w:hint="eastAsia" w:ascii="Times New Roman" w:hAnsi="Times New Roman" w:eastAsia="宋体" w:cs="Times New Roman"/>
          <w:bCs/>
          <w:color w:val="auto"/>
          <w:sz w:val="21"/>
          <w:szCs w:val="21"/>
          <w:highlight w:val="none"/>
          <w:lang w:val="en-US" w:eastAsia="zh-CN"/>
        </w:rPr>
        <w:t>60</w:t>
      </w:r>
      <w:r>
        <w:rPr>
          <w:rFonts w:hint="default" w:ascii="Times New Roman" w:hAnsi="Times New Roman" w:eastAsia="宋体" w:cs="Times New Roman"/>
          <w:bCs/>
          <w:color w:val="auto"/>
          <w:sz w:val="21"/>
          <w:szCs w:val="21"/>
          <w:highlight w:val="none"/>
        </w:rPr>
        <w:t>mg/m</w:t>
      </w:r>
      <w:r>
        <w:rPr>
          <w:rFonts w:hint="default" w:ascii="Times New Roman" w:hAnsi="Times New Roman" w:eastAsia="宋体" w:cs="Times New Roman"/>
          <w:bCs/>
          <w:color w:val="auto"/>
          <w:sz w:val="21"/>
          <w:szCs w:val="21"/>
          <w:highlight w:val="none"/>
          <w:vertAlign w:val="superscript"/>
        </w:rPr>
        <w:t>3</w:t>
      </w:r>
      <w:r>
        <w:rPr>
          <w:rFonts w:hint="eastAsia" w:ascii="Times New Roman" w:hAnsi="Times New Roman" w:eastAsia="宋体" w:cs="Times New Roman"/>
          <w:bCs/>
          <w:color w:val="auto"/>
          <w:sz w:val="21"/>
          <w:szCs w:val="21"/>
          <w:highlight w:val="none"/>
          <w:vertAlign w:val="baseline"/>
          <w:lang w:eastAsia="zh-CN"/>
        </w:rPr>
        <w:t>；</w:t>
      </w:r>
      <w:r>
        <w:rPr>
          <w:rFonts w:hint="default" w:ascii="Times New Roman" w:hAnsi="Times New Roman" w:eastAsia="宋体" w:cs="Times New Roman"/>
          <w:bCs/>
          <w:color w:val="auto"/>
          <w:sz w:val="21"/>
          <w:szCs w:val="21"/>
          <w:highlight w:val="none"/>
          <w:lang w:val="en-US" w:eastAsia="zh-CN"/>
        </w:rPr>
        <w:t>非甲烷总烃</w:t>
      </w:r>
      <w:r>
        <w:rPr>
          <w:rFonts w:hint="default" w:ascii="Times New Roman" w:hAnsi="Times New Roman" w:eastAsia="宋体" w:cs="Times New Roman"/>
          <w:bCs/>
          <w:color w:val="auto"/>
          <w:sz w:val="21"/>
          <w:szCs w:val="21"/>
          <w:highlight w:val="none"/>
        </w:rPr>
        <w:t>厂界无组织</w:t>
      </w:r>
      <w:r>
        <w:rPr>
          <w:rFonts w:hint="default" w:ascii="Times New Roman" w:hAnsi="Times New Roman" w:eastAsia="宋体" w:cs="Times New Roman"/>
          <w:bCs/>
          <w:color w:val="auto"/>
          <w:sz w:val="21"/>
          <w:szCs w:val="21"/>
          <w:highlight w:val="none"/>
          <w:lang w:val="en-US" w:eastAsia="zh-CN"/>
        </w:rPr>
        <w:t>排放满足</w:t>
      </w:r>
      <w:r>
        <w:rPr>
          <w:rFonts w:hint="eastAsia" w:ascii="Times New Roman" w:hAnsi="Times New Roman" w:eastAsia="宋体" w:cs="Times New Roman"/>
          <w:color w:val="auto"/>
          <w:sz w:val="21"/>
          <w:szCs w:val="21"/>
          <w:highlight w:val="none"/>
          <w:lang w:val="en-US" w:eastAsia="zh-CN"/>
        </w:rPr>
        <w:t>《合成树脂工业污染物排放标准》（GB31572-2015）及2024年</w:t>
      </w:r>
      <w:r>
        <w:rPr>
          <w:rFonts w:hint="default" w:ascii="Times New Roman" w:hAnsi="Times New Roman" w:eastAsia="宋体" w:cs="Times New Roman"/>
          <w:color w:val="auto"/>
          <w:sz w:val="21"/>
          <w:szCs w:val="21"/>
          <w:highlight w:val="none"/>
          <w:lang w:val="en-US" w:eastAsia="zh-CN"/>
        </w:rPr>
        <w:t>修改单</w:t>
      </w:r>
      <w:r>
        <w:rPr>
          <w:rFonts w:hint="eastAsia" w:ascii="Times New Roman" w:hAnsi="Times New Roman" w:eastAsia="宋体" w:cs="Times New Roman"/>
          <w:color w:val="auto"/>
          <w:sz w:val="21"/>
          <w:szCs w:val="21"/>
          <w:highlight w:val="none"/>
          <w:lang w:val="en-US" w:eastAsia="zh-CN"/>
        </w:rPr>
        <w:t>表9中标准，</w:t>
      </w:r>
      <w:r>
        <w:rPr>
          <w:rFonts w:hint="eastAsia" w:ascii="Times New Roman" w:hAnsi="Times New Roman" w:eastAsia="宋体" w:cs="Times New Roman"/>
          <w:bCs/>
          <w:color w:val="auto"/>
          <w:sz w:val="21"/>
          <w:szCs w:val="21"/>
          <w:highlight w:val="none"/>
          <w:lang w:val="en-US" w:eastAsia="zh-CN"/>
        </w:rPr>
        <w:t>颗粒物</w:t>
      </w:r>
      <w:r>
        <w:rPr>
          <w:rFonts w:hint="default" w:ascii="Times New Roman" w:hAnsi="Times New Roman" w:eastAsia="宋体" w:cs="Times New Roman"/>
          <w:bCs/>
          <w:color w:val="auto"/>
          <w:sz w:val="21"/>
          <w:szCs w:val="21"/>
          <w:highlight w:val="none"/>
        </w:rPr>
        <w:t>厂界无组织</w:t>
      </w:r>
      <w:r>
        <w:rPr>
          <w:rFonts w:hint="default" w:ascii="Times New Roman" w:hAnsi="Times New Roman" w:eastAsia="宋体" w:cs="Times New Roman"/>
          <w:bCs/>
          <w:color w:val="auto"/>
          <w:sz w:val="21"/>
          <w:szCs w:val="21"/>
          <w:highlight w:val="none"/>
          <w:lang w:val="en-US" w:eastAsia="zh-CN"/>
        </w:rPr>
        <w:t>排放满足</w:t>
      </w:r>
      <w:r>
        <w:rPr>
          <w:rFonts w:hint="default" w:ascii="Times New Roman" w:hAnsi="Times New Roman" w:eastAsia="宋体" w:cs="Times New Roman"/>
          <w:color w:val="auto"/>
          <w:kern w:val="0"/>
          <w:sz w:val="21"/>
          <w:szCs w:val="21"/>
          <w:highlight w:val="none"/>
        </w:rPr>
        <w:t>《大气污染物综合排放标准》（DB32/4041-2021）中表3中标准限值</w:t>
      </w:r>
      <w:r>
        <w:rPr>
          <w:rFonts w:hint="default" w:ascii="Times New Roman" w:hAnsi="Times New Roman" w:eastAsia="宋体" w:cs="Times New Roman"/>
          <w:b w:val="0"/>
          <w:bCs w:val="0"/>
          <w:color w:val="auto"/>
          <w:sz w:val="21"/>
          <w:szCs w:val="21"/>
          <w:highlight w:val="none"/>
          <w:lang w:val="en-US" w:eastAsia="zh-CN"/>
        </w:rPr>
        <w:t>，</w:t>
      </w:r>
      <w:r>
        <w:rPr>
          <w:rFonts w:hint="default" w:ascii="Times New Roman" w:hAnsi="Times New Roman" w:eastAsia="宋体" w:cs="Times New Roman"/>
          <w:bCs/>
          <w:color w:val="auto"/>
          <w:sz w:val="21"/>
          <w:szCs w:val="21"/>
          <w:highlight w:val="none"/>
          <w:lang w:val="en-US" w:eastAsia="zh-CN"/>
        </w:rPr>
        <w:t>即非甲烷总烃厂界</w:t>
      </w:r>
      <w:r>
        <w:rPr>
          <w:rFonts w:hint="default" w:ascii="Times New Roman" w:hAnsi="Times New Roman" w:eastAsia="宋体" w:cs="Times New Roman"/>
          <w:bCs/>
          <w:color w:val="auto"/>
          <w:sz w:val="21"/>
          <w:szCs w:val="21"/>
          <w:highlight w:val="none"/>
        </w:rPr>
        <w:t>无组织排放浓度≤</w:t>
      </w:r>
      <w:r>
        <w:rPr>
          <w:rFonts w:hint="default" w:ascii="Times New Roman" w:hAnsi="Times New Roman" w:eastAsia="宋体" w:cs="Times New Roman"/>
          <w:bCs/>
          <w:color w:val="auto"/>
          <w:sz w:val="21"/>
          <w:szCs w:val="21"/>
          <w:highlight w:val="none"/>
          <w:lang w:val="en-US" w:eastAsia="zh-CN"/>
        </w:rPr>
        <w:t>4.0</w:t>
      </w:r>
      <w:r>
        <w:rPr>
          <w:rFonts w:hint="default" w:ascii="Times New Roman" w:hAnsi="Times New Roman" w:eastAsia="宋体" w:cs="Times New Roman"/>
          <w:bCs/>
          <w:color w:val="auto"/>
          <w:sz w:val="21"/>
          <w:szCs w:val="21"/>
          <w:highlight w:val="none"/>
        </w:rPr>
        <w:t>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 w:val="0"/>
          <w:bCs w:val="0"/>
          <w:color w:val="auto"/>
          <w:sz w:val="21"/>
          <w:szCs w:val="21"/>
          <w:highlight w:val="none"/>
          <w:lang w:val="en-US" w:eastAsia="zh-CN"/>
        </w:rPr>
        <w:t>，</w:t>
      </w:r>
      <w:r>
        <w:rPr>
          <w:rFonts w:hint="eastAsia" w:ascii="Times New Roman" w:hAnsi="Times New Roman" w:eastAsia="宋体" w:cs="Times New Roman"/>
          <w:bCs/>
          <w:color w:val="auto"/>
          <w:sz w:val="21"/>
          <w:szCs w:val="21"/>
          <w:highlight w:val="none"/>
          <w:lang w:val="en-US" w:eastAsia="zh-CN"/>
        </w:rPr>
        <w:t>颗粒物</w:t>
      </w:r>
      <w:r>
        <w:rPr>
          <w:rFonts w:hint="default" w:ascii="Times New Roman" w:hAnsi="Times New Roman" w:eastAsia="宋体" w:cs="Times New Roman"/>
          <w:bCs/>
          <w:color w:val="auto"/>
          <w:sz w:val="21"/>
          <w:szCs w:val="21"/>
          <w:highlight w:val="none"/>
          <w:lang w:val="en-US" w:eastAsia="zh-CN"/>
        </w:rPr>
        <w:t>厂界</w:t>
      </w:r>
      <w:r>
        <w:rPr>
          <w:rFonts w:hint="default" w:ascii="Times New Roman" w:hAnsi="Times New Roman" w:eastAsia="宋体" w:cs="Times New Roman"/>
          <w:bCs/>
          <w:color w:val="auto"/>
          <w:sz w:val="21"/>
          <w:szCs w:val="21"/>
          <w:highlight w:val="none"/>
        </w:rPr>
        <w:t>无组织排放浓度≤</w:t>
      </w:r>
      <w:r>
        <w:rPr>
          <w:rFonts w:hint="eastAsia" w:ascii="Times New Roman" w:hAnsi="Times New Roman" w:eastAsia="宋体" w:cs="Times New Roman"/>
          <w:bCs/>
          <w:color w:val="auto"/>
          <w:sz w:val="21"/>
          <w:szCs w:val="21"/>
          <w:highlight w:val="none"/>
          <w:lang w:val="en-US" w:eastAsia="zh-CN"/>
        </w:rPr>
        <w:t>0.5</w:t>
      </w:r>
      <w:r>
        <w:rPr>
          <w:rFonts w:hint="default" w:ascii="Times New Roman" w:hAnsi="Times New Roman" w:eastAsia="宋体" w:cs="Times New Roman"/>
          <w:bCs/>
          <w:color w:val="auto"/>
          <w:sz w:val="21"/>
          <w:szCs w:val="21"/>
          <w:highlight w:val="none"/>
        </w:rPr>
        <w:t>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vertAlign w:val="baseline"/>
          <w:lang w:eastAsia="zh-CN"/>
        </w:rPr>
        <w:t>；</w:t>
      </w:r>
      <w:r>
        <w:rPr>
          <w:rFonts w:hint="default" w:ascii="Times New Roman" w:hAnsi="Times New Roman" w:eastAsia="宋体" w:cs="Times New Roman"/>
          <w:bCs/>
          <w:color w:val="auto"/>
          <w:sz w:val="21"/>
          <w:szCs w:val="21"/>
          <w:highlight w:val="none"/>
          <w:lang w:val="en-US" w:eastAsia="zh-CN"/>
        </w:rPr>
        <w:t>非甲烷总烃厂区内无组织排放满足</w:t>
      </w:r>
      <w:r>
        <w:rPr>
          <w:rFonts w:hint="eastAsia" w:ascii="Times New Roman" w:hAnsi="Times New Roman" w:eastAsia="宋体" w:cs="Times New Roman"/>
          <w:color w:val="auto"/>
          <w:sz w:val="21"/>
          <w:szCs w:val="21"/>
          <w:highlight w:val="none"/>
          <w:lang w:val="en-US" w:eastAsia="zh-CN"/>
        </w:rPr>
        <w:t>《大气污染物综合排放标准》（DB32/4041-2021）中表2中标准限值</w:t>
      </w:r>
      <w:r>
        <w:rPr>
          <w:rFonts w:hint="default" w:ascii="Times New Roman" w:hAnsi="Times New Roman" w:eastAsia="宋体"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val="en-US" w:eastAsia="zh-CN"/>
        </w:rPr>
        <w:t>即</w:t>
      </w:r>
      <w:r>
        <w:rPr>
          <w:rFonts w:hint="default" w:ascii="Times New Roman" w:hAnsi="Times New Roman" w:eastAsia="宋体" w:cs="Times New Roman"/>
          <w:bCs/>
          <w:color w:val="auto"/>
          <w:sz w:val="21"/>
          <w:szCs w:val="21"/>
          <w:highlight w:val="none"/>
          <w:vertAlign w:val="baseline"/>
          <w:lang w:val="en-US" w:eastAsia="zh-CN"/>
        </w:rPr>
        <w:t>厂区内非甲烷总烃</w:t>
      </w:r>
      <w:r>
        <w:rPr>
          <w:rFonts w:hint="default" w:ascii="Times New Roman" w:hAnsi="Times New Roman" w:eastAsia="宋体" w:cs="Times New Roman"/>
          <w:color w:val="auto"/>
          <w:sz w:val="21"/>
          <w:szCs w:val="21"/>
          <w:highlight w:val="none"/>
        </w:rPr>
        <w:t>1h平均浓度值</w:t>
      </w:r>
      <w:r>
        <w:rPr>
          <w:rFonts w:hint="default" w:ascii="Times New Roman" w:hAnsi="Times New Roman" w:eastAsia="宋体" w:cs="Times New Roman"/>
          <w:bCs/>
          <w:color w:val="auto"/>
          <w:sz w:val="21"/>
          <w:szCs w:val="21"/>
          <w:highlight w:val="none"/>
        </w:rPr>
        <w:t>≤</w:t>
      </w:r>
      <w:r>
        <w:rPr>
          <w:rFonts w:hint="default" w:ascii="Times New Roman" w:hAnsi="Times New Roman" w:eastAsia="宋体" w:cs="Times New Roman"/>
          <w:bCs/>
          <w:color w:val="auto"/>
          <w:sz w:val="21"/>
          <w:szCs w:val="21"/>
          <w:highlight w:val="none"/>
          <w:lang w:val="en-US" w:eastAsia="zh-CN"/>
        </w:rPr>
        <w:t>6</w:t>
      </w:r>
      <w:r>
        <w:rPr>
          <w:rFonts w:hint="default" w:ascii="Times New Roman" w:hAnsi="Times New Roman" w:eastAsia="宋体" w:cs="Times New Roman"/>
          <w:bCs/>
          <w:color w:val="auto"/>
          <w:sz w:val="21"/>
          <w:szCs w:val="21"/>
          <w:highlight w:val="none"/>
        </w:rPr>
        <w:t>mg/m</w:t>
      </w:r>
      <w:r>
        <w:rPr>
          <w:rFonts w:hint="default" w:ascii="Times New Roman" w:hAnsi="Times New Roman" w:eastAsia="宋体" w:cs="Times New Roman"/>
          <w:bCs/>
          <w:color w:val="auto"/>
          <w:sz w:val="21"/>
          <w:szCs w:val="21"/>
          <w:highlight w:val="none"/>
          <w:vertAlign w:val="superscript"/>
        </w:rPr>
        <w:t>3</w:t>
      </w:r>
      <w:r>
        <w:rPr>
          <w:rFonts w:hint="default" w:ascii="Times New Roman" w:hAnsi="Times New Roman" w:eastAsia="宋体" w:cs="Times New Roman"/>
          <w:bCs/>
          <w:color w:val="auto"/>
          <w:sz w:val="21"/>
          <w:szCs w:val="21"/>
          <w:highlight w:val="none"/>
          <w:vertAlign w:val="baseline"/>
          <w:lang w:eastAsia="zh-CN"/>
        </w:rPr>
        <w:t>。</w:t>
      </w:r>
    </w:p>
    <w:p w14:paraId="6E0E982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both"/>
        <w:textAlignment w:val="auto"/>
        <w:rPr>
          <w:rFonts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4</w:t>
      </w:r>
      <w:r>
        <w:rPr>
          <w:rFonts w:ascii="Times New Roman" w:hAnsi="Times New Roman" w:eastAsia="宋体" w:cs="Times New Roman"/>
          <w:color w:val="auto"/>
          <w:sz w:val="21"/>
          <w:szCs w:val="21"/>
          <w:highlight w:val="none"/>
        </w:rPr>
        <w:t>、污染物排放总量</w:t>
      </w:r>
    </w:p>
    <w:p w14:paraId="7041C274">
      <w:pPr>
        <w:keepNext w:val="0"/>
        <w:keepLines w:val="0"/>
        <w:pageBreakBefore w:val="0"/>
        <w:kinsoku/>
        <w:wordWrap/>
        <w:overflowPunct/>
        <w:topLinePunct w:val="0"/>
        <w:autoSpaceDE/>
        <w:autoSpaceDN/>
        <w:bidi w:val="0"/>
        <w:adjustRightInd w:val="0"/>
        <w:snapToGrid w:val="0"/>
        <w:spacing w:line="360" w:lineRule="auto"/>
        <w:ind w:firstLine="420" w:firstLineChars="200"/>
        <w:jc w:val="both"/>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color w:val="auto"/>
          <w:sz w:val="21"/>
          <w:szCs w:val="21"/>
          <w:highlight w:val="none"/>
        </w:rPr>
        <w:t>本次总量计算浓度参照监测</w:t>
      </w:r>
      <w:r>
        <w:rPr>
          <w:rFonts w:hint="eastAsia" w:ascii="Times New Roman" w:hAnsi="Times New Roman" w:eastAsia="宋体" w:cs="Times New Roman"/>
          <w:b w:val="0"/>
          <w:bCs w:val="0"/>
          <w:color w:val="auto"/>
          <w:sz w:val="21"/>
          <w:szCs w:val="21"/>
          <w:highlight w:val="none"/>
        </w:rPr>
        <w:t>数据中</w:t>
      </w:r>
      <w:r>
        <w:rPr>
          <w:rFonts w:hint="eastAsia" w:ascii="Times New Roman" w:hAnsi="Times New Roman" w:eastAsia="宋体" w:cs="Times New Roman"/>
          <w:b w:val="0"/>
          <w:bCs w:val="0"/>
          <w:color w:val="auto"/>
          <w:sz w:val="21"/>
          <w:szCs w:val="21"/>
          <w:highlight w:val="none"/>
          <w:lang w:val="en-US" w:eastAsia="zh-CN"/>
        </w:rPr>
        <w:t>平均值</w:t>
      </w:r>
      <w:r>
        <w:rPr>
          <w:rFonts w:hint="eastAsia" w:ascii="Times New Roman" w:hAnsi="Times New Roman" w:eastAsia="宋体" w:cs="Times New Roman"/>
          <w:b w:val="0"/>
          <w:bCs w:val="0"/>
          <w:color w:val="auto"/>
          <w:sz w:val="21"/>
          <w:szCs w:val="21"/>
          <w:highlight w:val="none"/>
        </w:rPr>
        <w:t>，排水量按照</w:t>
      </w:r>
      <w:r>
        <w:rPr>
          <w:rFonts w:hint="eastAsia" w:ascii="Times New Roman" w:hAnsi="Times New Roman" w:eastAsia="宋体" w:cs="Times New Roman"/>
          <w:b w:val="0"/>
          <w:bCs w:val="0"/>
          <w:color w:val="auto"/>
          <w:sz w:val="21"/>
          <w:szCs w:val="21"/>
          <w:highlight w:val="none"/>
          <w:lang w:val="en-US" w:eastAsia="zh-CN"/>
        </w:rPr>
        <w:t>192</w:t>
      </w:r>
      <w:r>
        <w:rPr>
          <w:rFonts w:hint="eastAsia" w:ascii="Times New Roman" w:hAnsi="Times New Roman" w:eastAsia="宋体" w:cs="Times New Roman"/>
          <w:b w:val="0"/>
          <w:bCs w:val="0"/>
          <w:color w:val="auto"/>
          <w:sz w:val="21"/>
          <w:szCs w:val="21"/>
          <w:highlight w:val="none"/>
        </w:rPr>
        <w:t>m</w:t>
      </w:r>
      <w:r>
        <w:rPr>
          <w:rFonts w:hint="eastAsia" w:ascii="Times New Roman" w:hAnsi="Times New Roman" w:eastAsia="宋体" w:cs="Times New Roman"/>
          <w:b w:val="0"/>
          <w:bCs w:val="0"/>
          <w:color w:val="auto"/>
          <w:sz w:val="21"/>
          <w:szCs w:val="21"/>
          <w:highlight w:val="none"/>
          <w:vertAlign w:val="superscript"/>
        </w:rPr>
        <w:t>3</w:t>
      </w:r>
      <w:r>
        <w:rPr>
          <w:rFonts w:hint="eastAsia" w:ascii="Times New Roman" w:hAnsi="Times New Roman" w:eastAsia="宋体" w:cs="Times New Roman"/>
          <w:b w:val="0"/>
          <w:bCs w:val="0"/>
          <w:color w:val="auto"/>
          <w:sz w:val="21"/>
          <w:szCs w:val="21"/>
          <w:highlight w:val="none"/>
        </w:rPr>
        <w:t>/a，COD接管量</w:t>
      </w:r>
      <w:r>
        <w:rPr>
          <w:rFonts w:hint="eastAsia" w:ascii="Times New Roman" w:hAnsi="Times New Roman" w:eastAsia="宋体" w:cs="Times New Roman"/>
          <w:color w:val="auto"/>
          <w:sz w:val="21"/>
          <w:szCs w:val="21"/>
          <w:highlight w:val="none"/>
          <w:lang w:val="en-US" w:eastAsia="zh-CN"/>
        </w:rPr>
        <w:t>0.044</w:t>
      </w:r>
      <w:r>
        <w:rPr>
          <w:rFonts w:hint="eastAsia" w:ascii="Times New Roman" w:hAnsi="Times New Roman" w:eastAsia="宋体" w:cs="Times New Roman"/>
          <w:b w:val="0"/>
          <w:bCs w:val="0"/>
          <w:color w:val="auto"/>
          <w:sz w:val="21"/>
          <w:szCs w:val="21"/>
          <w:highlight w:val="none"/>
        </w:rPr>
        <w:t>t/a</w:t>
      </w:r>
      <w:r>
        <w:rPr>
          <w:rFonts w:hint="default" w:ascii="Times New Roman" w:hAnsi="Times New Roman" w:eastAsia="宋体" w:cs="Times New Roman"/>
          <w:b w:val="0"/>
          <w:bCs w:val="0"/>
          <w:color w:val="auto"/>
          <w:sz w:val="21"/>
          <w:szCs w:val="21"/>
          <w:highlight w:val="none"/>
        </w:rPr>
        <w:t>（批复总量</w:t>
      </w:r>
      <w:r>
        <w:rPr>
          <w:rFonts w:hint="eastAsia" w:ascii="Times New Roman" w:hAnsi="Times New Roman" w:eastAsia="宋体" w:cs="Times New Roman"/>
          <w:color w:val="auto"/>
          <w:sz w:val="21"/>
          <w:szCs w:val="21"/>
          <w:highlight w:val="none"/>
          <w:lang w:val="en-US" w:eastAsia="zh-CN"/>
        </w:rPr>
        <w:t>0.144</w:t>
      </w:r>
      <w:r>
        <w:rPr>
          <w:rFonts w:hint="default" w:ascii="Times New Roman" w:hAnsi="Times New Roman" w:eastAsia="宋体" w:cs="Times New Roman"/>
          <w:b w:val="0"/>
          <w:bCs w:val="0"/>
          <w:color w:val="auto"/>
          <w:sz w:val="21"/>
          <w:szCs w:val="21"/>
          <w:highlight w:val="none"/>
        </w:rPr>
        <w:t>t/a），SS接管量</w:t>
      </w:r>
      <w:r>
        <w:rPr>
          <w:rFonts w:hint="eastAsia" w:ascii="Times New Roman" w:hAnsi="Times New Roman" w:eastAsia="宋体" w:cs="Times New Roman"/>
          <w:color w:val="auto"/>
          <w:sz w:val="21"/>
          <w:szCs w:val="21"/>
          <w:highlight w:val="none"/>
          <w:lang w:val="en-US" w:eastAsia="zh-CN"/>
        </w:rPr>
        <w:t>0.016</w:t>
      </w:r>
      <w:r>
        <w:rPr>
          <w:rFonts w:hint="default" w:ascii="Times New Roman" w:hAnsi="Times New Roman" w:eastAsia="宋体" w:cs="Times New Roman"/>
          <w:b w:val="0"/>
          <w:bCs w:val="0"/>
          <w:color w:val="auto"/>
          <w:sz w:val="21"/>
          <w:szCs w:val="21"/>
          <w:highlight w:val="none"/>
        </w:rPr>
        <w:t>t/a（批复总量</w:t>
      </w:r>
      <w:r>
        <w:rPr>
          <w:rFonts w:hint="eastAsia" w:ascii="Times New Roman" w:hAnsi="Times New Roman" w:eastAsia="宋体" w:cs="Times New Roman"/>
          <w:color w:val="auto"/>
          <w:sz w:val="21"/>
          <w:szCs w:val="21"/>
          <w:highlight w:val="none"/>
          <w:lang w:val="en-US" w:eastAsia="zh-CN"/>
        </w:rPr>
        <w:t>0.0727</w:t>
      </w:r>
      <w:r>
        <w:rPr>
          <w:rFonts w:hint="default" w:ascii="Times New Roman" w:hAnsi="Times New Roman" w:eastAsia="宋体" w:cs="Times New Roman"/>
          <w:b w:val="0"/>
          <w:bCs w:val="0"/>
          <w:color w:val="auto"/>
          <w:sz w:val="21"/>
          <w:szCs w:val="21"/>
          <w:highlight w:val="none"/>
        </w:rPr>
        <w:t>t/a），氨氮接管量</w:t>
      </w:r>
      <w:r>
        <w:rPr>
          <w:rFonts w:hint="eastAsia" w:ascii="Times New Roman" w:hAnsi="Times New Roman" w:eastAsia="宋体" w:cs="Times New Roman"/>
          <w:color w:val="auto"/>
          <w:sz w:val="21"/>
          <w:szCs w:val="21"/>
          <w:highlight w:val="none"/>
          <w:lang w:val="en-US" w:eastAsia="zh-CN"/>
        </w:rPr>
        <w:t>0.005</w:t>
      </w:r>
      <w:r>
        <w:rPr>
          <w:rFonts w:hint="default" w:ascii="Times New Roman" w:hAnsi="Times New Roman" w:eastAsia="宋体" w:cs="Times New Roman"/>
          <w:b w:val="0"/>
          <w:bCs w:val="0"/>
          <w:color w:val="auto"/>
          <w:sz w:val="21"/>
          <w:szCs w:val="21"/>
          <w:highlight w:val="none"/>
        </w:rPr>
        <w:t>t/a（批复总量</w:t>
      </w:r>
      <w:r>
        <w:rPr>
          <w:rFonts w:hint="eastAsia" w:ascii="Times New Roman" w:hAnsi="Times New Roman" w:eastAsia="宋体" w:cs="Times New Roman"/>
          <w:color w:val="auto"/>
          <w:sz w:val="21"/>
          <w:szCs w:val="21"/>
          <w:highlight w:val="none"/>
          <w:lang w:val="en-US" w:eastAsia="zh-CN"/>
        </w:rPr>
        <w:t>0.0126</w:t>
      </w:r>
      <w:r>
        <w:rPr>
          <w:rFonts w:hint="default" w:ascii="Times New Roman" w:hAnsi="Times New Roman" w:eastAsia="宋体" w:cs="Times New Roman"/>
          <w:b w:val="0"/>
          <w:bCs w:val="0"/>
          <w:color w:val="auto"/>
          <w:sz w:val="21"/>
          <w:szCs w:val="21"/>
          <w:highlight w:val="none"/>
        </w:rPr>
        <w:t>t/a），总磷接管量</w:t>
      </w:r>
      <w:r>
        <w:rPr>
          <w:rFonts w:hint="eastAsia" w:ascii="Times New Roman" w:hAnsi="Times New Roman" w:eastAsia="宋体" w:cs="Times New Roman"/>
          <w:color w:val="auto"/>
          <w:sz w:val="21"/>
          <w:szCs w:val="21"/>
          <w:highlight w:val="none"/>
          <w:lang w:val="en-US" w:eastAsia="zh-CN"/>
        </w:rPr>
        <w:t>0.0002</w:t>
      </w:r>
      <w:r>
        <w:rPr>
          <w:rFonts w:hint="default" w:ascii="Times New Roman" w:hAnsi="Times New Roman" w:eastAsia="宋体" w:cs="Times New Roman"/>
          <w:b w:val="0"/>
          <w:bCs w:val="0"/>
          <w:color w:val="auto"/>
          <w:sz w:val="21"/>
          <w:szCs w:val="21"/>
          <w:highlight w:val="none"/>
        </w:rPr>
        <w:t>t/a（批复总量</w:t>
      </w:r>
      <w:r>
        <w:rPr>
          <w:rFonts w:hint="eastAsia" w:ascii="Times New Roman" w:hAnsi="Times New Roman" w:eastAsia="宋体" w:cs="Times New Roman"/>
          <w:color w:val="auto"/>
          <w:sz w:val="21"/>
          <w:szCs w:val="21"/>
          <w:highlight w:val="none"/>
          <w:lang w:val="en-US" w:eastAsia="zh-CN"/>
        </w:rPr>
        <w:t>0.011</w:t>
      </w:r>
      <w:r>
        <w:rPr>
          <w:rFonts w:hint="default" w:ascii="Times New Roman" w:hAnsi="Times New Roman" w:eastAsia="宋体" w:cs="Times New Roman"/>
          <w:b w:val="0"/>
          <w:bCs w:val="0"/>
          <w:color w:val="auto"/>
          <w:sz w:val="21"/>
          <w:szCs w:val="21"/>
          <w:highlight w:val="none"/>
        </w:rPr>
        <w:t>t/a），</w:t>
      </w:r>
      <w:r>
        <w:rPr>
          <w:rFonts w:hint="eastAsia" w:ascii="Times New Roman" w:hAnsi="Times New Roman" w:eastAsia="宋体" w:cs="Times New Roman"/>
          <w:b w:val="0"/>
          <w:bCs w:val="0"/>
          <w:color w:val="auto"/>
          <w:sz w:val="21"/>
          <w:szCs w:val="21"/>
          <w:highlight w:val="none"/>
          <w:lang w:val="en-US" w:eastAsia="zh-CN"/>
        </w:rPr>
        <w:t>总氮</w:t>
      </w:r>
      <w:r>
        <w:rPr>
          <w:rFonts w:hint="default" w:ascii="Times New Roman" w:hAnsi="Times New Roman" w:eastAsia="宋体" w:cs="Times New Roman"/>
          <w:b w:val="0"/>
          <w:bCs w:val="0"/>
          <w:color w:val="auto"/>
          <w:sz w:val="21"/>
          <w:szCs w:val="21"/>
          <w:highlight w:val="none"/>
        </w:rPr>
        <w:t>接管量</w:t>
      </w:r>
      <w:r>
        <w:rPr>
          <w:rFonts w:hint="eastAsia" w:ascii="Times New Roman" w:hAnsi="Times New Roman" w:eastAsia="宋体" w:cs="Times New Roman"/>
          <w:color w:val="auto"/>
          <w:sz w:val="21"/>
          <w:szCs w:val="21"/>
          <w:highlight w:val="none"/>
          <w:lang w:val="en-US" w:eastAsia="zh-CN"/>
        </w:rPr>
        <w:t>0.008</w:t>
      </w:r>
      <w:r>
        <w:rPr>
          <w:rFonts w:hint="default" w:ascii="Times New Roman" w:hAnsi="Times New Roman" w:eastAsia="宋体" w:cs="Times New Roman"/>
          <w:b w:val="0"/>
          <w:bCs w:val="0"/>
          <w:color w:val="auto"/>
          <w:sz w:val="21"/>
          <w:szCs w:val="21"/>
          <w:highlight w:val="none"/>
        </w:rPr>
        <w:t>t/a（批复总量</w:t>
      </w:r>
      <w:r>
        <w:rPr>
          <w:rFonts w:hint="default" w:ascii="Times New Roman" w:hAnsi="Times New Roman" w:eastAsia="宋体" w:cs="Times New Roman"/>
          <w:color w:val="auto"/>
          <w:sz w:val="21"/>
          <w:szCs w:val="21"/>
          <w:highlight w:val="none"/>
          <w:lang w:val="en-US" w:eastAsia="zh-CN"/>
        </w:rPr>
        <w:t>0.0</w:t>
      </w:r>
      <w:r>
        <w:rPr>
          <w:rFonts w:hint="eastAsia" w:ascii="Times New Roman" w:hAnsi="Times New Roman" w:eastAsia="宋体" w:cs="Times New Roman"/>
          <w:color w:val="auto"/>
          <w:sz w:val="21"/>
          <w:szCs w:val="21"/>
          <w:highlight w:val="none"/>
          <w:lang w:val="en-US" w:eastAsia="zh-CN"/>
        </w:rPr>
        <w:t>18</w:t>
      </w:r>
      <w:r>
        <w:rPr>
          <w:rFonts w:hint="default" w:ascii="Times New Roman" w:hAnsi="Times New Roman" w:eastAsia="宋体" w:cs="Times New Roman"/>
          <w:b w:val="0"/>
          <w:bCs w:val="0"/>
          <w:color w:val="auto"/>
          <w:sz w:val="21"/>
          <w:szCs w:val="21"/>
          <w:highlight w:val="none"/>
        </w:rPr>
        <w:t>t/a）</w:t>
      </w:r>
      <w:r>
        <w:rPr>
          <w:rFonts w:hint="eastAsia" w:ascii="Times New Roman" w:hAnsi="Times New Roman" w:eastAsia="宋体" w:cs="Times New Roman"/>
          <w:b w:val="0"/>
          <w:bCs w:val="0"/>
          <w:color w:val="auto"/>
          <w:sz w:val="21"/>
          <w:szCs w:val="21"/>
          <w:highlight w:val="none"/>
          <w:lang w:eastAsia="zh-CN"/>
        </w:rPr>
        <w:t>，</w:t>
      </w:r>
      <w:r>
        <w:rPr>
          <w:rFonts w:hint="eastAsia" w:ascii="Times New Roman" w:hAnsi="Times New Roman" w:eastAsia="宋体"/>
          <w:b w:val="0"/>
          <w:bCs w:val="0"/>
          <w:color w:val="auto"/>
          <w:kern w:val="2"/>
          <w:sz w:val="21"/>
          <w:szCs w:val="21"/>
          <w:highlight w:val="none"/>
          <w:lang w:val="en-US" w:eastAsia="zh-CN"/>
        </w:rPr>
        <w:t>非甲烷总烃</w:t>
      </w:r>
      <w:r>
        <w:rPr>
          <w:rFonts w:hint="default" w:ascii="Times New Roman" w:hAnsi="Times New Roman" w:eastAsia="宋体" w:cs="Times New Roman"/>
          <w:b w:val="0"/>
          <w:bCs w:val="0"/>
          <w:color w:val="auto"/>
          <w:sz w:val="21"/>
          <w:szCs w:val="21"/>
          <w:highlight w:val="none"/>
          <w:lang w:val="en-US" w:eastAsia="zh-CN"/>
        </w:rPr>
        <w:t>排放量</w:t>
      </w:r>
      <w:r>
        <w:rPr>
          <w:rFonts w:hint="eastAsia" w:ascii="Times New Roman" w:hAnsi="Times New Roman" w:eastAsia="宋体" w:cs="Times New Roman"/>
          <w:color w:val="auto"/>
          <w:sz w:val="21"/>
          <w:szCs w:val="21"/>
          <w:highlight w:val="none"/>
          <w:lang w:val="en-US" w:eastAsia="zh-CN"/>
        </w:rPr>
        <w:t>0.015</w:t>
      </w:r>
      <w:r>
        <w:rPr>
          <w:rFonts w:hint="default" w:ascii="Times New Roman" w:hAnsi="Times New Roman" w:eastAsia="宋体" w:cs="Times New Roman"/>
          <w:b w:val="0"/>
          <w:bCs w:val="0"/>
          <w:color w:val="auto"/>
          <w:sz w:val="21"/>
          <w:szCs w:val="21"/>
          <w:highlight w:val="none"/>
        </w:rPr>
        <w:t>t/a（批复总量</w:t>
      </w:r>
      <w:r>
        <w:rPr>
          <w:rFonts w:hint="eastAsia" w:ascii="Times New Roman" w:hAnsi="Times New Roman" w:eastAsia="宋体" w:cs="Times New Roman"/>
          <w:color w:val="auto"/>
          <w:sz w:val="21"/>
          <w:szCs w:val="21"/>
          <w:highlight w:val="none"/>
          <w:lang w:val="en-US" w:eastAsia="zh-CN"/>
        </w:rPr>
        <w:t>0.082</w:t>
      </w:r>
      <w:r>
        <w:rPr>
          <w:rFonts w:hint="default" w:ascii="Times New Roman" w:hAnsi="Times New Roman" w:eastAsia="宋体" w:cs="Times New Roman"/>
          <w:b w:val="0"/>
          <w:bCs w:val="0"/>
          <w:color w:val="auto"/>
          <w:sz w:val="21"/>
          <w:szCs w:val="21"/>
          <w:highlight w:val="none"/>
        </w:rPr>
        <w:t>t/a）</w:t>
      </w:r>
      <w:r>
        <w:rPr>
          <w:rFonts w:hint="eastAsia" w:ascii="Times New Roman" w:hAnsi="Times New Roman" w:eastAsia="宋体" w:cs="Times New Roman"/>
          <w:b w:val="0"/>
          <w:bCs w:val="0"/>
          <w:color w:val="auto"/>
          <w:sz w:val="21"/>
          <w:szCs w:val="21"/>
          <w:highlight w:val="none"/>
          <w:lang w:val="en-US" w:eastAsia="zh-CN"/>
        </w:rPr>
        <w:t>。</w:t>
      </w:r>
    </w:p>
    <w:p w14:paraId="0E09157F">
      <w:pPr>
        <w:pStyle w:val="4"/>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textAlignment w:val="baseline"/>
        <w:rPr>
          <w:rFonts w:hint="default" w:ascii="Times New Roman" w:hAnsi="Times New Roman" w:eastAsia="宋体" w:cs="Times New Roman"/>
          <w:color w:val="auto"/>
          <w:sz w:val="21"/>
          <w:szCs w:val="21"/>
          <w:highlight w:val="none"/>
        </w:rPr>
      </w:pPr>
      <w:r>
        <w:rPr>
          <w:rFonts w:hint="eastAsia" w:ascii="Times New Roman" w:hAnsi="Times New Roman" w:eastAsia="宋体" w:cs="Times New Roman"/>
          <w:color w:val="auto"/>
          <w:kern w:val="0"/>
          <w:sz w:val="21"/>
          <w:szCs w:val="21"/>
          <w:highlight w:val="none"/>
          <w:lang w:val="en-US" w:eastAsia="zh-CN"/>
        </w:rPr>
        <w:t>项目实际排放量</w:t>
      </w:r>
      <w:r>
        <w:rPr>
          <w:rFonts w:hint="default" w:ascii="Times New Roman" w:hAnsi="Times New Roman" w:eastAsia="宋体" w:cs="Times New Roman"/>
          <w:color w:val="auto"/>
          <w:kern w:val="0"/>
          <w:sz w:val="21"/>
          <w:szCs w:val="21"/>
          <w:highlight w:val="none"/>
        </w:rPr>
        <w:t>未突破环评以及批复总量，废水排放总量纳入</w:t>
      </w:r>
      <w:r>
        <w:rPr>
          <w:rFonts w:hint="eastAsia" w:ascii="Times New Roman" w:hAnsi="Times New Roman" w:eastAsia="宋体" w:cs="Times New Roman"/>
          <w:color w:val="auto"/>
          <w:kern w:val="0"/>
          <w:sz w:val="21"/>
          <w:szCs w:val="21"/>
          <w:highlight w:val="none"/>
          <w:lang w:eastAsia="zh-CN"/>
        </w:rPr>
        <w:t>常州金坛区第二污水处理有限公司</w:t>
      </w:r>
      <w:r>
        <w:rPr>
          <w:rFonts w:hint="default" w:ascii="Times New Roman" w:hAnsi="Times New Roman" w:eastAsia="宋体" w:cs="Times New Roman"/>
          <w:color w:val="auto"/>
          <w:kern w:val="0"/>
          <w:sz w:val="21"/>
          <w:szCs w:val="21"/>
          <w:highlight w:val="none"/>
        </w:rPr>
        <w:t>集中处理排污总量中，在</w:t>
      </w:r>
      <w:r>
        <w:rPr>
          <w:rFonts w:hint="eastAsia" w:ascii="Times New Roman" w:hAnsi="Times New Roman" w:eastAsia="宋体" w:cs="Times New Roman"/>
          <w:color w:val="auto"/>
          <w:kern w:val="0"/>
          <w:sz w:val="21"/>
          <w:szCs w:val="21"/>
          <w:highlight w:val="none"/>
          <w:lang w:eastAsia="zh-CN"/>
        </w:rPr>
        <w:t>常州金坛区第二污水处理有限公司</w:t>
      </w:r>
      <w:r>
        <w:rPr>
          <w:rFonts w:hint="default" w:ascii="Times New Roman" w:hAnsi="Times New Roman" w:eastAsia="宋体" w:cs="Times New Roman"/>
          <w:color w:val="auto"/>
          <w:kern w:val="0"/>
          <w:sz w:val="21"/>
          <w:szCs w:val="21"/>
          <w:highlight w:val="none"/>
        </w:rPr>
        <w:t>集中处理的污染物排放总量控制指标内进行平衡</w:t>
      </w:r>
      <w:r>
        <w:rPr>
          <w:rFonts w:hint="default" w:ascii="Times New Roman" w:hAnsi="Times New Roman" w:eastAsia="宋体" w:cs="Times New Roman"/>
          <w:color w:val="auto"/>
          <w:sz w:val="21"/>
          <w:szCs w:val="21"/>
          <w:highlight w:val="none"/>
        </w:rPr>
        <w:t>。</w:t>
      </w:r>
    </w:p>
    <w:p w14:paraId="2555419C">
      <w:pPr>
        <w:keepNext w:val="0"/>
        <w:keepLines w:val="0"/>
        <w:pageBreakBefore w:val="0"/>
        <w:kinsoku/>
        <w:wordWrap/>
        <w:overflowPunct/>
        <w:topLinePunct w:val="0"/>
        <w:autoSpaceDE/>
        <w:autoSpaceDN/>
        <w:bidi w:val="0"/>
        <w:adjustRightInd w:val="0"/>
        <w:snapToGrid w:val="0"/>
        <w:spacing w:line="360" w:lineRule="auto"/>
        <w:ind w:firstLine="482" w:firstLineChars="200"/>
        <w:jc w:val="both"/>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五、工程建设对环境的影响</w:t>
      </w:r>
    </w:p>
    <w:p w14:paraId="6B1A0FEA">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both"/>
        <w:textAlignment w:val="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olor w:val="auto"/>
          <w:szCs w:val="21"/>
          <w:highlight w:val="none"/>
          <w:lang w:val="en-US" w:eastAsia="zh-CN"/>
        </w:rPr>
        <w:t>根据建设项目环境影响评价报告要求，项目无需开展周边环境空气、地表水、敏感点环境噪声等环境质量监测。</w:t>
      </w:r>
    </w:p>
    <w:p w14:paraId="2557E8D4">
      <w:pPr>
        <w:keepNext w:val="0"/>
        <w:keepLines w:val="0"/>
        <w:pageBreakBefore w:val="0"/>
        <w:kinsoku/>
        <w:wordWrap/>
        <w:overflowPunct/>
        <w:topLinePunct w:val="0"/>
        <w:autoSpaceDE/>
        <w:autoSpaceDN/>
        <w:bidi w:val="0"/>
        <w:adjustRightInd w:val="0"/>
        <w:snapToGrid w:val="0"/>
        <w:spacing w:line="360" w:lineRule="auto"/>
        <w:ind w:firstLine="482" w:firstLineChars="200"/>
        <w:jc w:val="both"/>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六、验收结论</w:t>
      </w:r>
    </w:p>
    <w:p w14:paraId="1B332846">
      <w:pPr>
        <w:keepNext w:val="0"/>
        <w:keepLines w:val="0"/>
        <w:pageBreakBefore w:val="0"/>
        <w:kinsoku/>
        <w:wordWrap/>
        <w:overflowPunct/>
        <w:topLinePunct w:val="0"/>
        <w:autoSpaceDE/>
        <w:autoSpaceDN/>
        <w:bidi w:val="0"/>
        <w:adjustRightInd w:val="0"/>
        <w:snapToGrid w:val="0"/>
        <w:spacing w:line="360" w:lineRule="auto"/>
        <w:ind w:firstLine="420" w:firstLineChars="200"/>
        <w:jc w:val="both"/>
        <w:rPr>
          <w:rFonts w:hint="eastAsia" w:ascii="Times New Roman" w:hAnsi="Times New Roman" w:eastAsia="宋体"/>
          <w:color w:val="auto"/>
          <w:sz w:val="21"/>
          <w:szCs w:val="21"/>
          <w:highlight w:val="none"/>
        </w:rPr>
      </w:pPr>
      <w:bookmarkStart w:id="3" w:name="_Toc26103588"/>
      <w:r>
        <w:rPr>
          <w:rFonts w:hint="eastAsia" w:ascii="Times New Roman" w:hAnsi="Times New Roman" w:eastAsia="宋体"/>
          <w:color w:val="auto"/>
          <w:sz w:val="21"/>
          <w:szCs w:val="21"/>
          <w:highlight w:val="none"/>
        </w:rPr>
        <w:t>经现场勘查，本项目建设地址未发生变化；厂区总图布置未发生重大变化；生产工艺未发生重大变化；使用的原辅材料种类及数量未发生重大变化；环保“三同时”措施已经落实到位，污染防治措施符合环评及批复要求；经监测，各类污染物均达标排放；污染物排放总量符合环评批复及环评要求；按《建设项目竣工环境保护验收暂行办法》中所规定的验收不合格情形对项目逐一对照检查（具体见表8-</w:t>
      </w:r>
      <w:r>
        <w:rPr>
          <w:rFonts w:hint="eastAsia" w:ascii="Times New Roman" w:hAnsi="Times New Roman" w:eastAsia="宋体"/>
          <w:color w:val="auto"/>
          <w:sz w:val="21"/>
          <w:szCs w:val="21"/>
          <w:highlight w:val="none"/>
          <w:lang w:val="en-US" w:eastAsia="zh-CN"/>
        </w:rPr>
        <w:t>2</w:t>
      </w:r>
      <w:r>
        <w:rPr>
          <w:rFonts w:hint="eastAsia" w:ascii="Times New Roman" w:hAnsi="Times New Roman" w:eastAsia="宋体"/>
          <w:color w:val="auto"/>
          <w:sz w:val="21"/>
          <w:szCs w:val="21"/>
          <w:highlight w:val="none"/>
        </w:rPr>
        <w:t>），本项目不属于验收不合格的九项情形之列。本次竣工环境保护验收监测报告认为该项目基本符合验收条件，可以通过验收。</w:t>
      </w:r>
      <w:bookmarkEnd w:id="3"/>
    </w:p>
    <w:p w14:paraId="1FDDBDF0">
      <w:pPr>
        <w:keepNext w:val="0"/>
        <w:keepLines w:val="0"/>
        <w:pageBreakBefore w:val="0"/>
        <w:kinsoku/>
        <w:wordWrap/>
        <w:overflowPunct/>
        <w:topLinePunct w:val="0"/>
        <w:autoSpaceDE/>
        <w:autoSpaceDN/>
        <w:bidi w:val="0"/>
        <w:adjustRightInd w:val="0"/>
        <w:snapToGrid w:val="0"/>
        <w:spacing w:line="360" w:lineRule="auto"/>
        <w:ind w:firstLine="482" w:firstLineChars="200"/>
        <w:jc w:val="both"/>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七、后续要求</w:t>
      </w:r>
    </w:p>
    <w:p w14:paraId="2A62AB32">
      <w:pPr>
        <w:keepNext w:val="0"/>
        <w:keepLines w:val="0"/>
        <w:pageBreakBefore w:val="0"/>
        <w:kinsoku/>
        <w:wordWrap/>
        <w:overflowPunct/>
        <w:topLinePunct w:val="0"/>
        <w:autoSpaceDE/>
        <w:autoSpaceDN/>
        <w:bidi w:val="0"/>
        <w:adjustRightInd w:val="0"/>
        <w:snapToGrid w:val="0"/>
        <w:spacing w:line="360" w:lineRule="auto"/>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加强污染防治措施运行管理，落实责任，确保各类污染物长期、稳定达标排放，并按相关规范要求进行定期自查自测。</w:t>
      </w:r>
    </w:p>
    <w:p w14:paraId="3BBD0C9E">
      <w:pPr>
        <w:keepNext w:val="0"/>
        <w:keepLines w:val="0"/>
        <w:pageBreakBefore w:val="0"/>
        <w:kinsoku/>
        <w:wordWrap/>
        <w:overflowPunct/>
        <w:topLinePunct w:val="0"/>
        <w:autoSpaceDE/>
        <w:autoSpaceDN/>
        <w:bidi w:val="0"/>
        <w:adjustRightInd w:val="0"/>
        <w:snapToGrid w:val="0"/>
        <w:spacing w:line="360" w:lineRule="auto"/>
        <w:ind w:firstLine="482" w:firstLineChars="200"/>
        <w:jc w:val="both"/>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八、验收人员信息</w:t>
      </w:r>
    </w:p>
    <w:p w14:paraId="4C82C6F8">
      <w:pPr>
        <w:keepNext w:val="0"/>
        <w:keepLines w:val="0"/>
        <w:pageBreakBefore w:val="0"/>
        <w:kinsoku/>
        <w:wordWrap/>
        <w:overflowPunct/>
        <w:topLinePunct w:val="0"/>
        <w:autoSpaceDE/>
        <w:autoSpaceDN/>
        <w:bidi w:val="0"/>
        <w:adjustRightInd w:val="0"/>
        <w:snapToGrid w:val="0"/>
        <w:spacing w:line="360" w:lineRule="auto"/>
        <w:ind w:firstLine="420" w:firstLineChars="200"/>
        <w:jc w:val="both"/>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具体见签到表。</w:t>
      </w:r>
    </w:p>
    <w:p w14:paraId="387267A9">
      <w:pPr>
        <w:keepNext w:val="0"/>
        <w:keepLines w:val="0"/>
        <w:pageBreakBefore w:val="0"/>
        <w:kinsoku/>
        <w:wordWrap/>
        <w:overflowPunct/>
        <w:topLinePunct w:val="0"/>
        <w:autoSpaceDE/>
        <w:autoSpaceDN/>
        <w:bidi w:val="0"/>
        <w:adjustRightInd w:val="0"/>
        <w:snapToGrid w:val="0"/>
        <w:spacing w:line="360" w:lineRule="auto"/>
        <w:rPr>
          <w:rFonts w:ascii="Times New Roman" w:hAnsi="Times New Roman" w:eastAsia="宋体" w:cs="Times New Roman"/>
          <w:color w:val="auto"/>
          <w:sz w:val="21"/>
          <w:szCs w:val="21"/>
          <w:highlight w:val="none"/>
        </w:rPr>
      </w:pPr>
    </w:p>
    <w:p w14:paraId="1A5EAD2D">
      <w:pPr>
        <w:pStyle w:val="2"/>
        <w:keepNext w:val="0"/>
        <w:keepLines w:val="0"/>
        <w:pageBreakBefore w:val="0"/>
        <w:kinsoku/>
        <w:wordWrap/>
        <w:overflowPunct/>
        <w:topLinePunct w:val="0"/>
        <w:autoSpaceDE/>
        <w:autoSpaceDN/>
        <w:bidi w:val="0"/>
        <w:adjustRightInd w:val="0"/>
        <w:snapToGrid w:val="0"/>
        <w:spacing w:line="360" w:lineRule="auto"/>
        <w:rPr>
          <w:rFonts w:ascii="Times New Roman" w:hAnsi="Times New Roman" w:eastAsia="宋体" w:cs="Times New Roman"/>
          <w:color w:val="auto"/>
          <w:sz w:val="21"/>
          <w:szCs w:val="21"/>
          <w:highlight w:val="none"/>
        </w:rPr>
      </w:pPr>
    </w:p>
    <w:p w14:paraId="70C60180">
      <w:pPr>
        <w:pStyle w:val="8"/>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rPr>
          <w:rFonts w:ascii="Times New Roman" w:hAnsi="Times New Roman" w:eastAsia="宋体" w:cs="Times New Roman"/>
          <w:color w:val="auto"/>
          <w:sz w:val="21"/>
          <w:szCs w:val="21"/>
          <w:highlight w:val="none"/>
        </w:rPr>
      </w:pPr>
    </w:p>
    <w:p w14:paraId="01F0BCEC">
      <w:pPr>
        <w:keepNext w:val="0"/>
        <w:keepLines w:val="0"/>
        <w:pageBreakBefore w:val="0"/>
        <w:kinsoku/>
        <w:wordWrap/>
        <w:overflowPunct/>
        <w:topLinePunct w:val="0"/>
        <w:autoSpaceDE/>
        <w:autoSpaceDN/>
        <w:bidi w:val="0"/>
        <w:adjustRightInd w:val="0"/>
        <w:snapToGrid w:val="0"/>
        <w:spacing w:line="360" w:lineRule="auto"/>
        <w:jc w:val="right"/>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江苏汇富新型材料有限公司</w:t>
      </w:r>
    </w:p>
    <w:p w14:paraId="34FFE7BB">
      <w:pPr>
        <w:keepNext w:val="0"/>
        <w:keepLines w:val="0"/>
        <w:pageBreakBefore w:val="0"/>
        <w:kinsoku/>
        <w:wordWrap/>
        <w:overflowPunct/>
        <w:topLinePunct w:val="0"/>
        <w:autoSpaceDE/>
        <w:autoSpaceDN/>
        <w:bidi w:val="0"/>
        <w:adjustRightInd w:val="0"/>
        <w:snapToGrid w:val="0"/>
        <w:spacing w:line="360" w:lineRule="auto"/>
        <w:jc w:val="right"/>
        <w:rPr>
          <w:rFonts w:ascii="Times New Roman" w:hAnsi="Times New Roman" w:eastAsia="宋体" w:cs="Times New Roman"/>
          <w:color w:val="auto"/>
          <w:sz w:val="21"/>
          <w:szCs w:val="21"/>
          <w:highlight w:val="none"/>
        </w:rPr>
        <w:sectPr>
          <w:head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eastAsia="宋体" w:cs="Times New Roman"/>
          <w:color w:val="auto"/>
          <w:sz w:val="21"/>
          <w:szCs w:val="21"/>
          <w:highlight w:val="none"/>
        </w:rPr>
        <w:t>20</w:t>
      </w:r>
      <w:r>
        <w:rPr>
          <w:rFonts w:hint="eastAsia" w:ascii="Times New Roman" w:hAnsi="Times New Roman" w:eastAsia="宋体" w:cs="Times New Roman"/>
          <w:color w:val="auto"/>
          <w:sz w:val="21"/>
          <w:szCs w:val="21"/>
          <w:highlight w:val="none"/>
        </w:rPr>
        <w:t>2</w:t>
      </w:r>
      <w:r>
        <w:rPr>
          <w:rFonts w:hint="eastAsia" w:ascii="Times New Roman" w:hAnsi="Times New Roman" w:eastAsia="宋体" w:cs="Times New Roman"/>
          <w:color w:val="auto"/>
          <w:sz w:val="21"/>
          <w:szCs w:val="21"/>
          <w:highlight w:val="none"/>
          <w:lang w:val="en-US" w:eastAsia="zh-CN"/>
        </w:rPr>
        <w:t>5</w:t>
      </w:r>
      <w:r>
        <w:rPr>
          <w:rFonts w:ascii="Times New Roman" w:hAnsi="Times New Roman" w:eastAsia="宋体" w:cs="Times New Roman"/>
          <w:color w:val="auto"/>
          <w:sz w:val="21"/>
          <w:szCs w:val="21"/>
          <w:highlight w:val="none"/>
        </w:rPr>
        <w:t>年</w:t>
      </w:r>
      <w:r>
        <w:rPr>
          <w:rFonts w:hint="eastAsia" w:ascii="Times New Roman" w:hAnsi="Times New Roman" w:eastAsia="宋体" w:cs="Times New Roman"/>
          <w:color w:val="auto"/>
          <w:sz w:val="21"/>
          <w:szCs w:val="21"/>
          <w:highlight w:val="none"/>
          <w:lang w:val="en-US" w:eastAsia="zh-CN"/>
        </w:rPr>
        <w:t>8</w:t>
      </w:r>
      <w:r>
        <w:rPr>
          <w:rFonts w:ascii="Times New Roman" w:hAnsi="Times New Roman" w:eastAsia="宋体" w:cs="Times New Roman"/>
          <w:color w:val="auto"/>
          <w:sz w:val="21"/>
          <w:szCs w:val="21"/>
          <w:highlight w:val="none"/>
        </w:rPr>
        <w:t>月</w:t>
      </w:r>
      <w:r>
        <w:rPr>
          <w:rFonts w:hint="eastAsia" w:ascii="Times New Roman" w:hAnsi="Times New Roman" w:eastAsia="宋体" w:cs="Times New Roman"/>
          <w:color w:val="auto"/>
          <w:sz w:val="21"/>
          <w:szCs w:val="21"/>
          <w:highlight w:val="none"/>
          <w:lang w:val="en-US" w:eastAsia="zh-CN"/>
        </w:rPr>
        <w:t>27</w:t>
      </w:r>
      <w:r>
        <w:rPr>
          <w:rFonts w:ascii="Times New Roman" w:hAnsi="Times New Roman" w:eastAsia="宋体" w:cs="Times New Roman"/>
          <w:color w:val="auto"/>
          <w:sz w:val="21"/>
          <w:szCs w:val="21"/>
          <w:highlight w:val="none"/>
        </w:rPr>
        <w:t>日</w:t>
      </w:r>
    </w:p>
    <w:p w14:paraId="1E28A1A4">
      <w:pPr>
        <w:keepNext w:val="0"/>
        <w:keepLines w:val="0"/>
        <w:pageBreakBefore w:val="0"/>
        <w:kinsoku/>
        <w:wordWrap/>
        <w:overflowPunct/>
        <w:topLinePunct w:val="0"/>
        <w:autoSpaceDE/>
        <w:autoSpaceDN/>
        <w:bidi w:val="0"/>
        <w:adjustRightInd w:val="0"/>
        <w:snapToGrid w:val="0"/>
        <w:spacing w:line="360" w:lineRule="auto"/>
        <w:jc w:val="right"/>
        <w:rPr>
          <w:rFonts w:ascii="Times New Roman" w:hAnsi="Times New Roman" w:eastAsia="宋体" w:cs="Times New Roman"/>
          <w:color w:val="auto"/>
          <w:sz w:val="21"/>
          <w:szCs w:val="21"/>
          <w:highlight w:val="none"/>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0998E">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9DE4E1"/>
    <w:multiLevelType w:val="singleLevel"/>
    <w:tmpl w:val="CD9DE4E1"/>
    <w:lvl w:ilvl="0" w:tentative="0">
      <w:start w:val="2"/>
      <w:numFmt w:val="decimal"/>
      <w:suff w:val="nothing"/>
      <w:lvlText w:val="%1、"/>
      <w:lvlJc w:val="left"/>
    </w:lvl>
  </w:abstractNum>
  <w:abstractNum w:abstractNumId="1">
    <w:nsid w:val="D62B68D9"/>
    <w:multiLevelType w:val="singleLevel"/>
    <w:tmpl w:val="D62B68D9"/>
    <w:lvl w:ilvl="0" w:tentative="0">
      <w:start w:val="1"/>
      <w:numFmt w:val="bullet"/>
      <w:pStyle w:val="8"/>
      <w:lvlText w:val=""/>
      <w:lvlJc w:val="left"/>
      <w:pPr>
        <w:tabs>
          <w:tab w:val="left" w:pos="2040"/>
        </w:tabs>
        <w:ind w:left="2040" w:hanging="360"/>
      </w:pPr>
      <w:rPr>
        <w:rFonts w:hint="default" w:ascii="Wingdings" w:hAnsi="Wingdings"/>
      </w:rPr>
    </w:lvl>
  </w:abstractNum>
  <w:abstractNum w:abstractNumId="2">
    <w:nsid w:val="71A72ED8"/>
    <w:multiLevelType w:val="singleLevel"/>
    <w:tmpl w:val="71A72ED8"/>
    <w:lvl w:ilvl="0" w:tentative="0">
      <w:start w:val="3"/>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lZGY1MzRlZTI1Njg5YTk1MDRhYWEzMWU1YzkwYWMifQ=="/>
  </w:docVars>
  <w:rsids>
    <w:rsidRoot w:val="00DA0CC2"/>
    <w:rsid w:val="000E1685"/>
    <w:rsid w:val="00167BA8"/>
    <w:rsid w:val="001A28BA"/>
    <w:rsid w:val="00252C62"/>
    <w:rsid w:val="00280D5D"/>
    <w:rsid w:val="003724C8"/>
    <w:rsid w:val="003E01C7"/>
    <w:rsid w:val="00477E68"/>
    <w:rsid w:val="00491B3B"/>
    <w:rsid w:val="0049418A"/>
    <w:rsid w:val="004F3547"/>
    <w:rsid w:val="00526712"/>
    <w:rsid w:val="005306A0"/>
    <w:rsid w:val="0053623A"/>
    <w:rsid w:val="00546F4B"/>
    <w:rsid w:val="006D1FA9"/>
    <w:rsid w:val="00712432"/>
    <w:rsid w:val="007861A6"/>
    <w:rsid w:val="0081701F"/>
    <w:rsid w:val="00862538"/>
    <w:rsid w:val="009B6875"/>
    <w:rsid w:val="00B94394"/>
    <w:rsid w:val="00C42DD0"/>
    <w:rsid w:val="00C962A1"/>
    <w:rsid w:val="00D57C75"/>
    <w:rsid w:val="00DA0CC2"/>
    <w:rsid w:val="00DB57DD"/>
    <w:rsid w:val="00DD679B"/>
    <w:rsid w:val="00E21505"/>
    <w:rsid w:val="00E4414F"/>
    <w:rsid w:val="00EB49AE"/>
    <w:rsid w:val="011D2F4A"/>
    <w:rsid w:val="02361BCC"/>
    <w:rsid w:val="025B249C"/>
    <w:rsid w:val="027125E7"/>
    <w:rsid w:val="02AF14BE"/>
    <w:rsid w:val="02C6029B"/>
    <w:rsid w:val="030050C2"/>
    <w:rsid w:val="03427FE8"/>
    <w:rsid w:val="035241C7"/>
    <w:rsid w:val="03AA1CBC"/>
    <w:rsid w:val="03DA1659"/>
    <w:rsid w:val="04447FB3"/>
    <w:rsid w:val="04476372"/>
    <w:rsid w:val="07175E20"/>
    <w:rsid w:val="07491977"/>
    <w:rsid w:val="077C5CB6"/>
    <w:rsid w:val="07D060A8"/>
    <w:rsid w:val="09776735"/>
    <w:rsid w:val="0978425B"/>
    <w:rsid w:val="099A07CD"/>
    <w:rsid w:val="0A3C0902"/>
    <w:rsid w:val="0A6F1B02"/>
    <w:rsid w:val="0A7113D6"/>
    <w:rsid w:val="0A850360"/>
    <w:rsid w:val="0ADB3F74"/>
    <w:rsid w:val="0B0347E9"/>
    <w:rsid w:val="0B3D575C"/>
    <w:rsid w:val="0B6B051B"/>
    <w:rsid w:val="0BDF4F58"/>
    <w:rsid w:val="0C3D28FD"/>
    <w:rsid w:val="0CBC56E4"/>
    <w:rsid w:val="0CC123AB"/>
    <w:rsid w:val="0D2239C4"/>
    <w:rsid w:val="0D7E6E35"/>
    <w:rsid w:val="0DD735E0"/>
    <w:rsid w:val="0EB96E6F"/>
    <w:rsid w:val="0FBC0DE6"/>
    <w:rsid w:val="10C9606A"/>
    <w:rsid w:val="10D821AF"/>
    <w:rsid w:val="1199197F"/>
    <w:rsid w:val="119E6933"/>
    <w:rsid w:val="12235457"/>
    <w:rsid w:val="128123D2"/>
    <w:rsid w:val="12EC1DC3"/>
    <w:rsid w:val="13166FBF"/>
    <w:rsid w:val="1323348A"/>
    <w:rsid w:val="133A60E7"/>
    <w:rsid w:val="13D845EC"/>
    <w:rsid w:val="14902DA1"/>
    <w:rsid w:val="153876C0"/>
    <w:rsid w:val="1670016B"/>
    <w:rsid w:val="16753FFC"/>
    <w:rsid w:val="17755567"/>
    <w:rsid w:val="19134D37"/>
    <w:rsid w:val="19BB33A4"/>
    <w:rsid w:val="1A317358"/>
    <w:rsid w:val="1A4729C7"/>
    <w:rsid w:val="1B714B36"/>
    <w:rsid w:val="1B723200"/>
    <w:rsid w:val="1C032F6C"/>
    <w:rsid w:val="1C111FEC"/>
    <w:rsid w:val="1C5F01A7"/>
    <w:rsid w:val="1CBE1848"/>
    <w:rsid w:val="1CC07414"/>
    <w:rsid w:val="1CC55716"/>
    <w:rsid w:val="1CE4012E"/>
    <w:rsid w:val="1D201A5D"/>
    <w:rsid w:val="1D3F5364"/>
    <w:rsid w:val="1E0A1566"/>
    <w:rsid w:val="1E1F7EB0"/>
    <w:rsid w:val="1E8F48B0"/>
    <w:rsid w:val="1E9F18F2"/>
    <w:rsid w:val="1EBD4792"/>
    <w:rsid w:val="1F5B798C"/>
    <w:rsid w:val="204F58BE"/>
    <w:rsid w:val="20890647"/>
    <w:rsid w:val="22CB5B0C"/>
    <w:rsid w:val="23597536"/>
    <w:rsid w:val="237E284C"/>
    <w:rsid w:val="24FB3C60"/>
    <w:rsid w:val="255319AC"/>
    <w:rsid w:val="259D70CC"/>
    <w:rsid w:val="25FC0296"/>
    <w:rsid w:val="261C6242"/>
    <w:rsid w:val="26702915"/>
    <w:rsid w:val="269A2AA4"/>
    <w:rsid w:val="26A96726"/>
    <w:rsid w:val="26ED5E31"/>
    <w:rsid w:val="27DB7FD8"/>
    <w:rsid w:val="28FF33EE"/>
    <w:rsid w:val="29626662"/>
    <w:rsid w:val="29B05D6A"/>
    <w:rsid w:val="2A8E3487"/>
    <w:rsid w:val="2ABE5B1A"/>
    <w:rsid w:val="2B2D3D88"/>
    <w:rsid w:val="2B907A84"/>
    <w:rsid w:val="2CBA6E36"/>
    <w:rsid w:val="2D12039F"/>
    <w:rsid w:val="2D1C0ED6"/>
    <w:rsid w:val="2D632348"/>
    <w:rsid w:val="2D780B16"/>
    <w:rsid w:val="2DB2164D"/>
    <w:rsid w:val="2DBA2E0B"/>
    <w:rsid w:val="2E1662A0"/>
    <w:rsid w:val="2EAB478E"/>
    <w:rsid w:val="2F191EB9"/>
    <w:rsid w:val="301E705B"/>
    <w:rsid w:val="3057323D"/>
    <w:rsid w:val="3062495E"/>
    <w:rsid w:val="30CD4789"/>
    <w:rsid w:val="31293F09"/>
    <w:rsid w:val="315A2315"/>
    <w:rsid w:val="31E777D1"/>
    <w:rsid w:val="31E950F5"/>
    <w:rsid w:val="32560D2E"/>
    <w:rsid w:val="325A36FD"/>
    <w:rsid w:val="32773893"/>
    <w:rsid w:val="329D6E25"/>
    <w:rsid w:val="32FD7C04"/>
    <w:rsid w:val="33884267"/>
    <w:rsid w:val="341F5258"/>
    <w:rsid w:val="34945B3E"/>
    <w:rsid w:val="35586E5F"/>
    <w:rsid w:val="357E0CC8"/>
    <w:rsid w:val="36430D15"/>
    <w:rsid w:val="37CE1367"/>
    <w:rsid w:val="37D961FD"/>
    <w:rsid w:val="388D0E3C"/>
    <w:rsid w:val="39C72E64"/>
    <w:rsid w:val="39D11CD6"/>
    <w:rsid w:val="39D54C2E"/>
    <w:rsid w:val="39F036E5"/>
    <w:rsid w:val="3A184B1B"/>
    <w:rsid w:val="3ABA3933"/>
    <w:rsid w:val="3B33745E"/>
    <w:rsid w:val="3BE850ED"/>
    <w:rsid w:val="3C0B367C"/>
    <w:rsid w:val="3D05503F"/>
    <w:rsid w:val="3DB95134"/>
    <w:rsid w:val="3E4F3303"/>
    <w:rsid w:val="3EA82517"/>
    <w:rsid w:val="3F7E4622"/>
    <w:rsid w:val="400D48C5"/>
    <w:rsid w:val="40453107"/>
    <w:rsid w:val="40B77FBF"/>
    <w:rsid w:val="40F679F4"/>
    <w:rsid w:val="419D0FBD"/>
    <w:rsid w:val="41A90A28"/>
    <w:rsid w:val="41B54330"/>
    <w:rsid w:val="42FB5070"/>
    <w:rsid w:val="430C34B6"/>
    <w:rsid w:val="43265FFE"/>
    <w:rsid w:val="436575FF"/>
    <w:rsid w:val="43690A03"/>
    <w:rsid w:val="43BC29BB"/>
    <w:rsid w:val="43BF4390"/>
    <w:rsid w:val="43C2256E"/>
    <w:rsid w:val="43ED0DC6"/>
    <w:rsid w:val="443D4BAF"/>
    <w:rsid w:val="443F7874"/>
    <w:rsid w:val="444445E0"/>
    <w:rsid w:val="447908AA"/>
    <w:rsid w:val="45971911"/>
    <w:rsid w:val="45A86198"/>
    <w:rsid w:val="45D3550F"/>
    <w:rsid w:val="46252A99"/>
    <w:rsid w:val="462C3E28"/>
    <w:rsid w:val="476B1E0A"/>
    <w:rsid w:val="478163F5"/>
    <w:rsid w:val="48526661"/>
    <w:rsid w:val="491C596A"/>
    <w:rsid w:val="49431C55"/>
    <w:rsid w:val="4AAE3FFE"/>
    <w:rsid w:val="4AD4579D"/>
    <w:rsid w:val="4C196BFC"/>
    <w:rsid w:val="4C3B628C"/>
    <w:rsid w:val="4C4C24AE"/>
    <w:rsid w:val="4CDE2396"/>
    <w:rsid w:val="4CF50635"/>
    <w:rsid w:val="4D1B4088"/>
    <w:rsid w:val="4D270415"/>
    <w:rsid w:val="4F18763F"/>
    <w:rsid w:val="4F345662"/>
    <w:rsid w:val="4F8503B5"/>
    <w:rsid w:val="4F912F4E"/>
    <w:rsid w:val="4FC357FD"/>
    <w:rsid w:val="4FCC4808"/>
    <w:rsid w:val="4FD1095E"/>
    <w:rsid w:val="504D3EE5"/>
    <w:rsid w:val="506863A4"/>
    <w:rsid w:val="50A7559D"/>
    <w:rsid w:val="50BC6852"/>
    <w:rsid w:val="520153A0"/>
    <w:rsid w:val="52143C7F"/>
    <w:rsid w:val="52632895"/>
    <w:rsid w:val="5265221C"/>
    <w:rsid w:val="52AF742B"/>
    <w:rsid w:val="52C41B2D"/>
    <w:rsid w:val="52DE46FC"/>
    <w:rsid w:val="52F81343"/>
    <w:rsid w:val="52FA60B6"/>
    <w:rsid w:val="53CA4D5B"/>
    <w:rsid w:val="53DE7084"/>
    <w:rsid w:val="54081D74"/>
    <w:rsid w:val="54320667"/>
    <w:rsid w:val="543D39C2"/>
    <w:rsid w:val="543F7555"/>
    <w:rsid w:val="545D53B3"/>
    <w:rsid w:val="54AD28DD"/>
    <w:rsid w:val="54AF3009"/>
    <w:rsid w:val="561062BE"/>
    <w:rsid w:val="56A13C90"/>
    <w:rsid w:val="56C9121F"/>
    <w:rsid w:val="574D25BF"/>
    <w:rsid w:val="589A2757"/>
    <w:rsid w:val="59706B7A"/>
    <w:rsid w:val="59E44CEE"/>
    <w:rsid w:val="5A32381B"/>
    <w:rsid w:val="5A5A55F7"/>
    <w:rsid w:val="5A6F2D14"/>
    <w:rsid w:val="5AB6152D"/>
    <w:rsid w:val="5ADA1C4D"/>
    <w:rsid w:val="5ADF734D"/>
    <w:rsid w:val="5B27625A"/>
    <w:rsid w:val="5B590DC3"/>
    <w:rsid w:val="5B637E94"/>
    <w:rsid w:val="5B802108"/>
    <w:rsid w:val="5B9C144F"/>
    <w:rsid w:val="5C117A4E"/>
    <w:rsid w:val="5CDF179C"/>
    <w:rsid w:val="5D02548B"/>
    <w:rsid w:val="5D694F8C"/>
    <w:rsid w:val="5D8C70F1"/>
    <w:rsid w:val="5DD230AF"/>
    <w:rsid w:val="5E140BEF"/>
    <w:rsid w:val="5E2009B6"/>
    <w:rsid w:val="5E5205ED"/>
    <w:rsid w:val="5EDB5B06"/>
    <w:rsid w:val="5EEA49FC"/>
    <w:rsid w:val="5F223BC2"/>
    <w:rsid w:val="5FB213EA"/>
    <w:rsid w:val="5FFE462F"/>
    <w:rsid w:val="60077599"/>
    <w:rsid w:val="60133B4D"/>
    <w:rsid w:val="60591194"/>
    <w:rsid w:val="60823DEB"/>
    <w:rsid w:val="60E455D3"/>
    <w:rsid w:val="6168456D"/>
    <w:rsid w:val="617D1584"/>
    <w:rsid w:val="61C64D38"/>
    <w:rsid w:val="62683FE2"/>
    <w:rsid w:val="63275C4B"/>
    <w:rsid w:val="637C1792"/>
    <w:rsid w:val="63EE2FEC"/>
    <w:rsid w:val="64363309"/>
    <w:rsid w:val="64E67893"/>
    <w:rsid w:val="64FB2B32"/>
    <w:rsid w:val="652E5DD2"/>
    <w:rsid w:val="654059BD"/>
    <w:rsid w:val="655D3BA6"/>
    <w:rsid w:val="65EE47FE"/>
    <w:rsid w:val="661216E7"/>
    <w:rsid w:val="66417024"/>
    <w:rsid w:val="667B3FDC"/>
    <w:rsid w:val="66F127F8"/>
    <w:rsid w:val="67955727"/>
    <w:rsid w:val="67CD51F9"/>
    <w:rsid w:val="68464DC5"/>
    <w:rsid w:val="685748DD"/>
    <w:rsid w:val="68FC06AB"/>
    <w:rsid w:val="693E746D"/>
    <w:rsid w:val="694E3769"/>
    <w:rsid w:val="69A5238B"/>
    <w:rsid w:val="6A4F5456"/>
    <w:rsid w:val="6A5027D2"/>
    <w:rsid w:val="6C0D41AC"/>
    <w:rsid w:val="6CDA249B"/>
    <w:rsid w:val="6CF078DA"/>
    <w:rsid w:val="6D2515A4"/>
    <w:rsid w:val="6D560AC8"/>
    <w:rsid w:val="6DAC56CB"/>
    <w:rsid w:val="6DF262A7"/>
    <w:rsid w:val="6EDF1489"/>
    <w:rsid w:val="6F175D76"/>
    <w:rsid w:val="6F5B73A8"/>
    <w:rsid w:val="6FD131C7"/>
    <w:rsid w:val="700C41FF"/>
    <w:rsid w:val="703050AE"/>
    <w:rsid w:val="7057013E"/>
    <w:rsid w:val="71675109"/>
    <w:rsid w:val="719C5A56"/>
    <w:rsid w:val="71C86D01"/>
    <w:rsid w:val="72945716"/>
    <w:rsid w:val="72A9042B"/>
    <w:rsid w:val="72CF20D9"/>
    <w:rsid w:val="72DB2900"/>
    <w:rsid w:val="738E6408"/>
    <w:rsid w:val="743774ED"/>
    <w:rsid w:val="74385A05"/>
    <w:rsid w:val="74930A3A"/>
    <w:rsid w:val="7549117E"/>
    <w:rsid w:val="7589009F"/>
    <w:rsid w:val="75964274"/>
    <w:rsid w:val="75F57230"/>
    <w:rsid w:val="765F42E6"/>
    <w:rsid w:val="766E516F"/>
    <w:rsid w:val="767639B9"/>
    <w:rsid w:val="76AA52E2"/>
    <w:rsid w:val="76BB0C45"/>
    <w:rsid w:val="779613A6"/>
    <w:rsid w:val="77AE0A71"/>
    <w:rsid w:val="77B04009"/>
    <w:rsid w:val="77B63CFD"/>
    <w:rsid w:val="77DE72AE"/>
    <w:rsid w:val="792648BE"/>
    <w:rsid w:val="7956473D"/>
    <w:rsid w:val="79ED50A1"/>
    <w:rsid w:val="7A467BC5"/>
    <w:rsid w:val="7B441599"/>
    <w:rsid w:val="7C15268D"/>
    <w:rsid w:val="7D086EDE"/>
    <w:rsid w:val="7D717159"/>
    <w:rsid w:val="7DA939D5"/>
    <w:rsid w:val="7E1150D6"/>
    <w:rsid w:val="7E1A3F8B"/>
    <w:rsid w:val="7EE127C7"/>
    <w:rsid w:val="7F431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outlineLvl w:val="2"/>
    </w:pPr>
    <w:rPr>
      <w:b/>
      <w:bCs/>
      <w:szCs w:val="32"/>
    </w:rPr>
  </w:style>
  <w:style w:type="character" w:default="1" w:styleId="17">
    <w:name w:val="Default Paragraph Font"/>
    <w:autoRedefine/>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8"/>
    <w:qFormat/>
    <w:uiPriority w:val="0"/>
    <w:rPr>
      <w:rFonts w:ascii="仿宋_GB2312" w:hAnsi="Calibri" w:eastAsia="仿宋_GB2312"/>
      <w:sz w:val="24"/>
      <w:szCs w:val="24"/>
    </w:rPr>
  </w:style>
  <w:style w:type="paragraph" w:styleId="4">
    <w:name w:val="Normal Indent"/>
    <w:basedOn w:val="1"/>
    <w:qFormat/>
    <w:uiPriority w:val="99"/>
    <w:pPr>
      <w:adjustRightInd w:val="0"/>
      <w:spacing w:line="312" w:lineRule="atLeast"/>
      <w:ind w:firstLine="420"/>
      <w:textAlignment w:val="baseline"/>
    </w:pPr>
    <w:rPr>
      <w:rFonts w:ascii="宋体" w:hAnsi="Courier New"/>
      <w:kern w:val="0"/>
      <w:szCs w:val="20"/>
    </w:rPr>
  </w:style>
  <w:style w:type="paragraph" w:styleId="5">
    <w:name w:val="annotation text"/>
    <w:basedOn w:val="1"/>
    <w:link w:val="21"/>
    <w:semiHidden/>
    <w:unhideWhenUsed/>
    <w:qFormat/>
    <w:uiPriority w:val="99"/>
    <w:pPr>
      <w:jc w:val="left"/>
    </w:pPr>
  </w:style>
  <w:style w:type="paragraph" w:styleId="6">
    <w:name w:val="Body Text Indent"/>
    <w:basedOn w:val="1"/>
    <w:qFormat/>
    <w:uiPriority w:val="0"/>
    <w:pPr>
      <w:spacing w:after="120"/>
      <w:ind w:left="420" w:leftChars="200"/>
    </w:pPr>
  </w:style>
  <w:style w:type="paragraph" w:styleId="7">
    <w:name w:val="Block Text"/>
    <w:basedOn w:val="1"/>
    <w:qFormat/>
    <w:uiPriority w:val="0"/>
    <w:pPr>
      <w:adjustRightInd w:val="0"/>
      <w:snapToGrid w:val="0"/>
      <w:spacing w:line="490" w:lineRule="atLeast"/>
      <w:ind w:left="10" w:leftChars="5" w:right="-449" w:rightChars="-214" w:firstLine="560" w:firstLineChars="200"/>
    </w:pPr>
    <w:rPr>
      <w:color w:val="000000"/>
      <w:sz w:val="28"/>
      <w:szCs w:val="24"/>
    </w:rPr>
  </w:style>
  <w:style w:type="paragraph" w:styleId="8">
    <w:name w:val="List Bullet 5"/>
    <w:basedOn w:val="1"/>
    <w:semiHidden/>
    <w:unhideWhenUsed/>
    <w:qFormat/>
    <w:uiPriority w:val="99"/>
    <w:pPr>
      <w:numPr>
        <w:ilvl w:val="0"/>
        <w:numId w:val="1"/>
      </w:numPr>
    </w:pPr>
  </w:style>
  <w:style w:type="paragraph" w:styleId="9">
    <w:name w:val="Balloon Text"/>
    <w:basedOn w:val="1"/>
    <w:link w:val="23"/>
    <w:autoRedefine/>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2"/>
    <w:basedOn w:val="1"/>
    <w:next w:val="1"/>
    <w:autoRedefine/>
    <w:qFormat/>
    <w:uiPriority w:val="0"/>
    <w:rPr>
      <w:rFonts w:ascii="Times New Roman" w:hAnsi="Times New Roman" w:eastAsia="宋体" w:cs="Times New Roman"/>
      <w:kern w:val="2"/>
    </w:rPr>
  </w:style>
  <w:style w:type="paragraph" w:styleId="13">
    <w:name w:val="Normal (Web)"/>
    <w:basedOn w:val="1"/>
    <w:autoRedefine/>
    <w:semiHidden/>
    <w:unhideWhenUsed/>
    <w:qFormat/>
    <w:uiPriority w:val="99"/>
    <w:rPr>
      <w:sz w:val="24"/>
    </w:rPr>
  </w:style>
  <w:style w:type="paragraph" w:styleId="14">
    <w:name w:val="annotation subject"/>
    <w:basedOn w:val="5"/>
    <w:next w:val="5"/>
    <w:link w:val="22"/>
    <w:autoRedefine/>
    <w:semiHidden/>
    <w:unhideWhenUsed/>
    <w:qFormat/>
    <w:uiPriority w:val="99"/>
    <w:rPr>
      <w:b/>
      <w:bCs/>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qFormat/>
    <w:uiPriority w:val="99"/>
    <w:rPr>
      <w:sz w:val="18"/>
      <w:szCs w:val="18"/>
    </w:rPr>
  </w:style>
  <w:style w:type="character" w:customStyle="1" w:styleId="21">
    <w:name w:val="批注文字 字符"/>
    <w:basedOn w:val="17"/>
    <w:link w:val="5"/>
    <w:autoRedefine/>
    <w:semiHidden/>
    <w:qFormat/>
    <w:uiPriority w:val="99"/>
  </w:style>
  <w:style w:type="character" w:customStyle="1" w:styleId="22">
    <w:name w:val="批注主题 字符"/>
    <w:basedOn w:val="21"/>
    <w:link w:val="14"/>
    <w:autoRedefine/>
    <w:semiHidden/>
    <w:qFormat/>
    <w:uiPriority w:val="99"/>
    <w:rPr>
      <w:b/>
      <w:bCs/>
    </w:rPr>
  </w:style>
  <w:style w:type="character" w:customStyle="1" w:styleId="23">
    <w:name w:val="批注框文本 字符"/>
    <w:basedOn w:val="17"/>
    <w:link w:val="9"/>
    <w:autoRedefine/>
    <w:semiHidden/>
    <w:qFormat/>
    <w:uiPriority w:val="99"/>
    <w:rPr>
      <w:sz w:val="18"/>
      <w:szCs w:val="18"/>
    </w:rPr>
  </w:style>
  <w:style w:type="character" w:customStyle="1" w:styleId="24">
    <w:name w:val="表格 Char"/>
    <w:link w:val="25"/>
    <w:autoRedefine/>
    <w:qFormat/>
    <w:uiPriority w:val="0"/>
    <w:rPr>
      <w:rFonts w:ascii="Times New Roman" w:hAnsi="Times New Roman" w:eastAsia="宋体"/>
    </w:rPr>
  </w:style>
  <w:style w:type="paragraph" w:customStyle="1" w:styleId="25">
    <w:name w:val="表格"/>
    <w:basedOn w:val="1"/>
    <w:next w:val="1"/>
    <w:link w:val="24"/>
    <w:qFormat/>
    <w:uiPriority w:val="0"/>
    <w:pPr>
      <w:jc w:val="center"/>
    </w:pPr>
    <w:rPr>
      <w:rFonts w:ascii="Times New Roman" w:hAnsi="Times New Roman" w:eastAsia="宋体"/>
    </w:rPr>
  </w:style>
  <w:style w:type="paragraph" w:customStyle="1" w:styleId="26">
    <w:name w:val="Table Paragraph"/>
    <w:basedOn w:val="1"/>
    <w:autoRedefine/>
    <w:qFormat/>
    <w:uiPriority w:val="1"/>
    <w:pPr>
      <w:autoSpaceDE w:val="0"/>
      <w:autoSpaceDN w:val="0"/>
    </w:pPr>
    <w:rPr>
      <w:rFonts w:ascii="宋体" w:hAnsi="Times New Roman" w:eastAsia="宋体" w:cs="宋体"/>
      <w:sz w:val="24"/>
      <w:szCs w:val="24"/>
    </w:rPr>
  </w:style>
  <w:style w:type="paragraph" w:customStyle="1" w:styleId="27">
    <w:name w:val="表题"/>
    <w:autoRedefine/>
    <w:qFormat/>
    <w:uiPriority w:val="0"/>
    <w:pPr>
      <w:adjustRightInd w:val="0"/>
      <w:jc w:val="center"/>
    </w:pPr>
    <w:rPr>
      <w:rFonts w:ascii="Times New Roman" w:hAnsi="Times New Roman" w:eastAsia="宋体" w:cs="Times New Roman"/>
      <w:b/>
      <w:sz w:val="21"/>
      <w:szCs w:val="21"/>
      <w:lang w:val="en-GB" w:eastAsia="zh-CN" w:bidi="ar-SA"/>
    </w:rPr>
  </w:style>
  <w:style w:type="character" w:customStyle="1" w:styleId="28">
    <w:name w:val="正文文本 字符"/>
    <w:basedOn w:val="17"/>
    <w:link w:val="2"/>
    <w:autoRedefine/>
    <w:qFormat/>
    <w:uiPriority w:val="0"/>
    <w:rPr>
      <w:kern w:val="2"/>
      <w:sz w:val="24"/>
      <w:szCs w:val="21"/>
    </w:rPr>
  </w:style>
  <w:style w:type="character" w:customStyle="1" w:styleId="29">
    <w:name w:val="表格正文 Char"/>
    <w:basedOn w:val="17"/>
    <w:link w:val="30"/>
    <w:autoRedefine/>
    <w:qFormat/>
    <w:uiPriority w:val="0"/>
    <w:rPr>
      <w:kern w:val="2"/>
      <w:sz w:val="21"/>
      <w:szCs w:val="21"/>
    </w:rPr>
  </w:style>
  <w:style w:type="paragraph" w:customStyle="1" w:styleId="30">
    <w:name w:val="表格正文"/>
    <w:basedOn w:val="1"/>
    <w:next w:val="1"/>
    <w:link w:val="29"/>
    <w:qFormat/>
    <w:uiPriority w:val="0"/>
    <w:pPr>
      <w:jc w:val="center"/>
    </w:pPr>
    <w:rPr>
      <w:rFonts w:ascii="Times New Roman" w:hAnsi="Times New Roman" w:eastAsia="宋体" w:cs="Times New Roman"/>
      <w:szCs w:val="21"/>
    </w:rPr>
  </w:style>
  <w:style w:type="character" w:customStyle="1" w:styleId="31">
    <w:name w:val="表格首行字体 Char"/>
    <w:basedOn w:val="17"/>
    <w:link w:val="32"/>
    <w:autoRedefine/>
    <w:qFormat/>
    <w:uiPriority w:val="0"/>
    <w:rPr>
      <w:rFonts w:hint="eastAsia" w:ascii="宋体" w:hAnsi="宋体" w:eastAsia="宋体" w:cs="宋体"/>
      <w:b/>
      <w:kern w:val="2"/>
      <w:sz w:val="21"/>
    </w:rPr>
  </w:style>
  <w:style w:type="paragraph" w:customStyle="1" w:styleId="32">
    <w:name w:val="表格首行字体"/>
    <w:basedOn w:val="1"/>
    <w:link w:val="31"/>
    <w:autoRedefine/>
    <w:qFormat/>
    <w:uiPriority w:val="0"/>
    <w:pPr>
      <w:jc w:val="center"/>
    </w:pPr>
    <w:rPr>
      <w:rFonts w:ascii="Times New Roman" w:hAnsi="Times New Roman" w:eastAsia="宋体" w:cs="Times New Roman"/>
      <w:b/>
      <w:szCs w:val="20"/>
    </w:rPr>
  </w:style>
  <w:style w:type="character" w:customStyle="1" w:styleId="33">
    <w:name w:val="表格 Char1"/>
    <w:autoRedefine/>
    <w:qFormat/>
    <w:uiPriority w:val="0"/>
    <w:rPr>
      <w:sz w:val="21"/>
    </w:rPr>
  </w:style>
  <w:style w:type="paragraph" w:customStyle="1" w:styleId="34">
    <w:name w:val="表格中文字"/>
    <w:basedOn w:val="1"/>
    <w:unhideWhenUsed/>
    <w:qFormat/>
    <w:uiPriority w:val="0"/>
    <w:pPr>
      <w:adjustRightInd w:val="0"/>
      <w:snapToGrid w:val="0"/>
      <w:spacing w:beforeLines="0" w:afterLines="0" w:line="240" w:lineRule="auto"/>
      <w:jc w:val="center"/>
    </w:pPr>
    <w:rPr>
      <w:rFonts w:hint="default"/>
      <w:kern w:val="18"/>
      <w:sz w:val="21"/>
      <w:szCs w:val="21"/>
    </w:rPr>
  </w:style>
  <w:style w:type="paragraph" w:customStyle="1" w:styleId="35">
    <w:name w:val="111111"/>
    <w:basedOn w:val="1"/>
    <w:autoRedefine/>
    <w:qFormat/>
    <w:uiPriority w:val="0"/>
    <w:pPr>
      <w:adjustRightInd w:val="0"/>
      <w:snapToGrid w:val="0"/>
      <w:jc w:val="center"/>
    </w:pPr>
    <w:rPr>
      <w:rFonts w:ascii="Times New Roman" w:hAnsi="Times New Roman" w:eastAsia="宋体"/>
      <w:szCs w:val="21"/>
    </w:rPr>
  </w:style>
  <w:style w:type="character" w:customStyle="1" w:styleId="36">
    <w:name w:val="NormalCharacter"/>
    <w:autoRedefine/>
    <w:semiHidden/>
    <w:qFormat/>
    <w:uiPriority w:val="0"/>
    <w:rPr>
      <w:rFonts w:ascii="Tahoma" w:hAnsi="Tahoma" w:eastAsia="微软雅黑"/>
      <w:sz w:val="22"/>
      <w:szCs w:val="22"/>
      <w:lang w:val="en-US" w:eastAsia="zh-CN" w:bidi="ar-SA"/>
    </w:rPr>
  </w:style>
  <w:style w:type="paragraph" w:customStyle="1" w:styleId="37">
    <w:name w:val="表格普通"/>
    <w:basedOn w:val="1"/>
    <w:qFormat/>
    <w:uiPriority w:val="0"/>
    <w:pPr>
      <w:jc w:val="center"/>
    </w:pPr>
    <w:rPr>
      <w:rFonts w:eastAsia="仿宋_GB2312"/>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6</Pages>
  <Words>3821</Words>
  <Characters>4267</Characters>
  <Lines>35</Lines>
  <Paragraphs>9</Paragraphs>
  <TotalTime>24</TotalTime>
  <ScaleCrop>false</ScaleCrop>
  <LinksUpToDate>false</LinksUpToDate>
  <CharactersWithSpaces>4270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2019-01-13T03:28:00Z</dcterms:created>
  <dc:creator> </dc:creator>
  <cp:lastModifiedBy>小魏</cp:lastModifiedBy>
  <cp:lastPrinted>2019-06-05T10:04:00Z</cp:lastPrinted>
  <dcterms:modified xsi:type="dcterms:W3CDTF">2025-12-09T09:39:58Z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2AFE8E8613964DE4ABB06168FF5B97CE</vt:lpwstr>
  </property>
  <property fmtid="{D5CDD505-2E9C-101B-9397-08002B2CF9AE}" pid="4" name="commondata">
    <vt:lpwstr>eyJoZGlkIjoiYTBlZGY1MzRlZTI1Njg5YTk1MDRhYWEzMWU1YzkwYWMifQ==</vt:lpwstr>
  </property>
  <property fmtid="{D5CDD505-2E9C-101B-9397-08002B2CF9AE}" pid="5" name="KSOTemplateDocerSaveRecord">
    <vt:lpwstr>eyJoZGlkIjoiYTI1OWY3YWY2NTA0Nzc3ZmYzNjAwNmY3YTUzMmVjMmEiLCJ1c2VySWQiOiI3MTc4NTcyODMifQ==</vt:lpwstr>
  </property>
</Properties>
</file>